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20" w:lineRule="exact"/>
        <w:rPr>
          <w:sz w:val="24"/>
          <w:szCs w:val="24"/>
          <w:color w:val="auto"/>
        </w:rPr>
      </w:pPr>
    </w:p>
    <w:p>
      <w:pPr>
        <w:ind w:left="3920" w:right="1960" w:hanging="1947"/>
        <w:spacing w:after="0" w:line="280" w:lineRule="auto"/>
        <w:tabs>
          <w:tab w:leader="none" w:pos="233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October 31, 2014</w:t>
      </w:r>
    </w:p>
    <w:p>
      <w:pPr>
        <w:spacing w:after="0" w:line="152" w:lineRule="exact"/>
        <w:rPr>
          <w:sz w:val="24"/>
          <w:szCs w:val="24"/>
          <w:color w:val="auto"/>
        </w:rPr>
      </w:pPr>
    </w:p>
    <w:p>
      <w:pPr>
        <w:ind w:left="2320" w:hanging="289"/>
        <w:spacing w:after="0"/>
        <w:tabs>
          <w:tab w:leader="none" w:pos="23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9" w:lineRule="exact"/>
        <w:rPr>
          <w:sz w:val="24"/>
          <w:szCs w:val="24"/>
          <w:color w:val="auto"/>
        </w:rPr>
      </w:pPr>
    </w:p>
    <w:p>
      <w:pPr>
        <w:ind w:left="394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5" w:right="239" w:bottom="66" w:gutter="0" w:footer="0" w:header="0"/>
        </w:sectPr>
      </w:pPr>
    </w:p>
    <w:p>
      <w:pPr>
        <w:spacing w:after="0" w:line="195"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1-8649</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41-0580470</w:t>
      </w:r>
    </w:p>
    <w:p>
      <w:pPr>
        <w:spacing w:after="0" w:line="29" w:lineRule="exact"/>
        <w:rPr>
          <w:sz w:val="24"/>
          <w:szCs w:val="24"/>
          <w:color w:val="auto"/>
        </w:rPr>
      </w:pPr>
    </w:p>
    <w:p>
      <w:pPr>
        <w:sectPr>
          <w:pgSz w:w="11900" w:h="16838" w:orient="portrait"/>
          <w:cols w:equalWidth="0" w:num="3">
            <w:col w:w="5900" w:space="720"/>
            <w:col w:w="2420" w:space="720"/>
            <w:col w:w="1660"/>
          </w:cols>
          <w:pgMar w:left="240" w:top="685" w:right="239" w:bottom="66" w:gutter="0" w:footer="0" w:header="0"/>
          <w:type w:val="continuous"/>
        </w:sectPr>
      </w:pPr>
    </w:p>
    <w:p>
      <w:pPr>
        <w:ind w:left="284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83" w:lineRule="exact"/>
        <w:rPr>
          <w:sz w:val="24"/>
          <w:szCs w:val="24"/>
          <w:color w:val="auto"/>
        </w:rPr>
      </w:pPr>
    </w:p>
    <w:p>
      <w:pPr>
        <w:sectPr>
          <w:pgSz w:w="11900" w:h="16838" w:orient="portrait"/>
          <w:cols w:equalWidth="0" w:num="3">
            <w:col w:w="5280" w:space="720"/>
            <w:col w:w="2180" w:space="720"/>
            <w:col w:w="2520"/>
          </w:cols>
          <w:pgMar w:left="240" w:top="685" w:right="239" w:bottom="6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132715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1720" w:type="dxa"/>
        <w:tblCellMar>
          <w:top w:w="0" w:type="dxa"/>
          <w:left w:w="0" w:type="dxa"/>
          <w:bottom w:w="0" w:type="dxa"/>
          <w:right w:w="0" w:type="dxa"/>
        </w:tblCellMar>
      </w:tblP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500" w:type="dxa"/>
            <w:vAlign w:val="bottom"/>
            <w:gridSpan w:val="3"/>
          </w:tcPr>
          <w:p>
            <w:pPr>
              <w:ind w:left="680"/>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Common Stock, par value $1.00 per share</w:t>
            </w:r>
          </w:p>
        </w:tc>
        <w:tc>
          <w:tcPr>
            <w:tcW w:w="4500" w:type="dxa"/>
            <w:vAlign w:val="bottom"/>
            <w:gridSpan w:val="3"/>
          </w:tcPr>
          <w:p>
            <w:pPr>
              <w:ind w:left="680"/>
              <w:spacing w:after="0"/>
              <w:rPr>
                <w:sz w:val="20"/>
                <w:szCs w:val="20"/>
                <w:color w:val="auto"/>
              </w:rPr>
            </w:pPr>
            <w:r>
              <w:rPr>
                <w:rFonts w:ascii="Arial" w:cs="Arial" w:eastAsia="Arial" w:hAnsi="Arial"/>
                <w:sz w:val="18"/>
                <w:szCs w:val="18"/>
                <w:color w:val="auto"/>
              </w:rPr>
              <w:t>New York Stock Exchange</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jc w:val="center"/>
        <w:ind w:right="-19"/>
        <w:spacing w:after="0"/>
        <w:rPr>
          <w:sz w:val="20"/>
          <w:szCs w:val="20"/>
          <w:color w:val="auto"/>
        </w:rPr>
      </w:pPr>
      <w:r>
        <w:rPr>
          <w:rFonts w:ascii="Arial" w:cs="Arial" w:eastAsia="Arial" w:hAnsi="Arial"/>
          <w:sz w:val="18"/>
          <w:szCs w:val="18"/>
          <w:color w:val="auto"/>
        </w:rPr>
        <w:t>None</w:t>
      </w:r>
    </w:p>
    <w:p>
      <w:pPr>
        <w:spacing w:after="0" w:line="1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ind w:right="28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9" w:lineRule="exact"/>
        <w:rPr>
          <w:sz w:val="24"/>
          <w:szCs w:val="24"/>
          <w:color w:val="auto"/>
        </w:rPr>
      </w:pPr>
    </w:p>
    <w:p>
      <w:pPr>
        <w:ind w:left="1140"/>
        <w:spacing w:after="0" w:line="207" w:lineRule="exact"/>
        <w:tabs>
          <w:tab w:leader="none" w:pos="3840" w:val="left"/>
          <w:tab w:leader="none" w:pos="5960" w:val="left"/>
          <w:tab w:leader="none" w:pos="8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40"/>
        <w:spacing w:after="0" w:line="238"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price of the common stock on May 2, 2014, the last business day of the registrant's most recently completed second fiscal quarter, as reported by the New York Stock Exchange, was approximately $3.6 billion.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12, 2014 was 55,758,612.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Portions of the registrant's Proxy Statement for the 2015 Annual Meeting of Shareholders expected to be held March 17, 2015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66"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2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97"/>
              </w:rPr>
              <w:t>THE TORO COMPANY</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tcPr>
          <w:p>
            <w:pPr>
              <w:jc w:val="center"/>
              <w:ind w:right="1492"/>
              <w:spacing w:after="0" w:line="243" w:lineRule="exact"/>
              <w:rPr>
                <w:sz w:val="20"/>
                <w:szCs w:val="20"/>
                <w:color w:val="auto"/>
              </w:rPr>
            </w:pPr>
            <w:r>
              <w:rPr>
                <w:rFonts w:ascii="Arial" w:cs="Arial" w:eastAsia="Arial" w:hAnsi="Arial"/>
                <w:sz w:val="22"/>
                <w:szCs w:val="22"/>
                <w:b w:val="1"/>
                <w:bCs w:val="1"/>
                <w:color w:val="auto"/>
                <w:w w:val="97"/>
              </w:rPr>
              <w:t>FORM 10-K</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2"/>
          </w:tcPr>
          <w:p>
            <w:pPr>
              <w:jc w:val="center"/>
              <w:ind w:right="932"/>
              <w:spacing w:after="0"/>
              <w:rPr>
                <w:sz w:val="20"/>
                <w:szCs w:val="20"/>
                <w:color w:val="auto"/>
              </w:rPr>
            </w:pPr>
            <w:r>
              <w:rPr>
                <w:rFonts w:ascii="Arial" w:cs="Arial" w:eastAsia="Arial" w:hAnsi="Arial"/>
                <w:sz w:val="22"/>
                <w:szCs w:val="22"/>
                <w:b w:val="1"/>
                <w:bCs w:val="1"/>
                <w:color w:val="auto"/>
                <w:w w:val="97"/>
              </w:rPr>
              <w:t>TABLE OF CONTENTS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Description</w:t>
            </w:r>
          </w:p>
        </w:tc>
        <w:tc>
          <w:tcPr>
            <w:tcW w:w="230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w w:val="98"/>
              </w:rPr>
              <w:t>Page Number</w:t>
            </w:r>
          </w:p>
        </w:tc>
        <w:tc>
          <w:tcPr>
            <w:tcW w:w="0" w:type="dxa"/>
            <w:vAlign w:val="bottom"/>
          </w:tcPr>
          <w:p>
            <w:pPr>
              <w:spacing w:after="0"/>
              <w:rPr>
                <w:sz w:val="1"/>
                <w:szCs w:val="1"/>
                <w:color w:val="auto"/>
              </w:rPr>
            </w:pPr>
          </w:p>
        </w:tc>
      </w:tr>
      <w:tr>
        <w:trPr>
          <w:trHeight w:val="446"/>
        </w:trPr>
        <w:tc>
          <w:tcPr>
            <w:tcW w:w="800" w:type="dxa"/>
            <w:vAlign w:val="bottom"/>
            <w:tcBorders>
              <w:bottom w:val="single" w:sz="8" w:color="0000EE"/>
            </w:tcBorders>
            <w:gridSpan w:val="4"/>
          </w:tcPr>
          <w:p>
            <w:pPr>
              <w:spacing w:after="0"/>
              <w:rPr>
                <w:rFonts w:ascii="Arial" w:cs="Arial" w:eastAsia="Arial" w:hAnsi="Arial"/>
                <w:sz w:val="24"/>
                <w:szCs w:val="24"/>
                <w:b w:val="1"/>
                <w:bCs w:val="1"/>
                <w:color w:val="0000EE"/>
                <w:w w:val="99"/>
              </w:rPr>
            </w:pPr>
            <w:hyperlink w:anchor="page3">
              <w:r>
                <w:rPr>
                  <w:rFonts w:ascii="Arial" w:cs="Arial" w:eastAsia="Arial" w:hAnsi="Arial"/>
                  <w:sz w:val="24"/>
                  <w:szCs w:val="24"/>
                  <w:b w:val="1"/>
                  <w:bCs w:val="1"/>
                  <w:color w:val="0000EE"/>
                  <w:w w:val="99"/>
                </w:rPr>
                <w:t>PART I</w:t>
              </w:r>
            </w:hyperlink>
          </w:p>
        </w:tc>
        <w:tc>
          <w:tcPr>
            <w:tcW w:w="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3"/>
            <w:vMerge w:val="restart"/>
          </w:tcPr>
          <w:p>
            <w:pPr>
              <w:spacing w:after="0"/>
              <w:rPr>
                <w:rFonts w:ascii="Arial" w:cs="Arial" w:eastAsia="Arial" w:hAnsi="Arial"/>
                <w:sz w:val="22"/>
                <w:szCs w:val="22"/>
                <w:b w:val="1"/>
                <w:bCs w:val="1"/>
                <w:color w:val="0000EE"/>
                <w:w w:val="98"/>
              </w:rPr>
            </w:pPr>
            <w:hyperlink w:anchor="page3">
              <w:r>
                <w:rPr>
                  <w:rFonts w:ascii="Arial" w:cs="Arial" w:eastAsia="Arial" w:hAnsi="Arial"/>
                  <w:sz w:val="22"/>
                  <w:szCs w:val="22"/>
                  <w:b w:val="1"/>
                  <w:bCs w:val="1"/>
                  <w:color w:val="0000EE"/>
                  <w:w w:val="98"/>
                </w:rPr>
                <w:t>ITEM 1.</w:t>
              </w:r>
            </w:hyperlink>
          </w:p>
        </w:tc>
        <w:tc>
          <w:tcPr>
            <w:tcW w:w="36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700" w:type="dxa"/>
            <w:vAlign w:val="bottom"/>
            <w:tcBorders>
              <w:bottom w:val="single" w:sz="8" w:color="0000EE"/>
            </w:tcBorders>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Business</w:t>
              </w:r>
            </w:hyperlink>
          </w:p>
        </w:tc>
        <w:tc>
          <w:tcPr>
            <w:tcW w:w="8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2960" w:type="dxa"/>
            <w:vAlign w:val="bottom"/>
            <w:vMerge w:val="restart"/>
          </w:tcPr>
          <w:p>
            <w:pPr>
              <w:spacing w:after="0"/>
              <w:rPr>
                <w:sz w:val="24"/>
                <w:szCs w:val="24"/>
                <w:color w:val="auto"/>
              </w:rPr>
            </w:pPr>
          </w:p>
        </w:tc>
        <w:tc>
          <w:tcPr>
            <w:tcW w:w="1920" w:type="dxa"/>
            <w:vAlign w:val="bottom"/>
            <w:vMerge w:val="restart"/>
          </w:tcPr>
          <w:p>
            <w:pPr>
              <w:spacing w:after="0"/>
              <w:rPr>
                <w:sz w:val="24"/>
                <w:szCs w:val="24"/>
                <w:color w:val="auto"/>
              </w:rPr>
            </w:pPr>
          </w:p>
        </w:tc>
        <w:tc>
          <w:tcPr>
            <w:tcW w:w="360" w:type="dxa"/>
            <w:vAlign w:val="bottom"/>
            <w:gridSpan w:val="3"/>
            <w:vMerge w:val="restart"/>
          </w:tcPr>
          <w:p>
            <w:pPr>
              <w:jc w:val="right"/>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3-12</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0000EE"/>
            </w:tcBorders>
            <w:gridSpan w:val="3"/>
            <w:vMerge w:val="continue"/>
          </w:tcPr>
          <w:p>
            <w:pPr>
              <w:spacing w:after="0"/>
              <w:rPr>
                <w:sz w:val="3"/>
                <w:szCs w:val="3"/>
                <w:color w:val="auto"/>
              </w:rPr>
            </w:pPr>
          </w:p>
        </w:tc>
        <w:tc>
          <w:tcPr>
            <w:tcW w:w="3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360" w:type="dxa"/>
            <w:vAlign w:val="bottom"/>
            <w:tcBorders>
              <w:bottom w:val="single" w:sz="8" w:color="0000EE"/>
            </w:tcBorders>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40" w:type="dxa"/>
            <w:vAlign w:val="bottom"/>
            <w:gridSpan w:val="6"/>
          </w:tcPr>
          <w:p>
            <w:pPr>
              <w:spacing w:after="0" w:line="164"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1A.</w:t>
              </w:r>
            </w:hyperlink>
          </w:p>
        </w:tc>
        <w:tc>
          <w:tcPr>
            <w:tcW w:w="20" w:type="dxa"/>
            <w:vAlign w:val="bottom"/>
          </w:tcPr>
          <w:p>
            <w:pPr>
              <w:spacing w:after="0"/>
              <w:rPr>
                <w:sz w:val="14"/>
                <w:szCs w:val="14"/>
                <w:color w:val="auto"/>
              </w:rPr>
            </w:pPr>
          </w:p>
        </w:tc>
        <w:tc>
          <w:tcPr>
            <w:tcW w:w="960" w:type="dxa"/>
            <w:vAlign w:val="bottom"/>
            <w:tcBorders>
              <w:bottom w:val="single" w:sz="8" w:color="0000EE"/>
            </w:tcBorders>
            <w:gridSpan w:val="3"/>
          </w:tcPr>
          <w:p>
            <w:pPr>
              <w:spacing w:after="0" w:line="164"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260" w:type="dxa"/>
            <w:vAlign w:val="bottom"/>
            <w:tcBorders>
              <w:bottom w:val="single" w:sz="8" w:color="0000EE"/>
            </w:tcBorders>
            <w:gridSpan w:val="2"/>
          </w:tcPr>
          <w:p>
            <w:pPr>
              <w:jc w:val="right"/>
              <w:spacing w:after="0" w:line="164"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12-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gridSpan w:val="3"/>
            <w:vMerge w:val="restart"/>
          </w:tcPr>
          <w:p>
            <w:pPr>
              <w:spacing w:after="0" w:line="20" w:lineRule="exact"/>
              <w:rPr>
                <w:sz w:val="1"/>
                <w:szCs w:val="1"/>
                <w:color w:val="auto"/>
              </w:rPr>
            </w:pPr>
          </w:p>
        </w:tc>
        <w:tc>
          <w:tcPr>
            <w:tcW w:w="200" w:type="dxa"/>
            <w:vAlign w:val="bottom"/>
            <w:vMerge w:val="restart"/>
          </w:tcPr>
          <w:p>
            <w:pPr>
              <w:jc w:val="right"/>
              <w:spacing w:after="0" w:line="18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23</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6"/>
            <w:vMerge w:val="restart"/>
          </w:tcPr>
          <w:p>
            <w:pPr>
              <w:spacing w:after="0"/>
              <w:rPr>
                <w:rFonts w:ascii="Arial" w:cs="Arial" w:eastAsia="Arial" w:hAnsi="Arial"/>
                <w:sz w:val="22"/>
                <w:szCs w:val="22"/>
                <w:b w:val="1"/>
                <w:bCs w:val="1"/>
                <w:color w:val="0000EE"/>
              </w:rPr>
            </w:pPr>
            <w:hyperlink w:anchor="page23">
              <w:r>
                <w:rPr>
                  <w:rFonts w:ascii="Arial" w:cs="Arial" w:eastAsia="Arial" w:hAnsi="Arial"/>
                  <w:sz w:val="22"/>
                  <w:szCs w:val="22"/>
                  <w:b w:val="1"/>
                  <w:bCs w:val="1"/>
                  <w:color w:val="0000EE"/>
                </w:rPr>
                <w:t>ITEM 1B.</w:t>
              </w:r>
            </w:hyperlink>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gridSpan w:val="6"/>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2180" w:type="dxa"/>
            <w:vAlign w:val="bottom"/>
            <w:tcBorders>
              <w:bottom w:val="single" w:sz="8" w:color="0000EE"/>
            </w:tcBorders>
            <w:gridSpan w:val="6"/>
          </w:tcPr>
          <w:p>
            <w:pPr>
              <w:spacing w:after="0" w:line="170"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Unresolved Staff Comments</w:t>
              </w:r>
            </w:hyperlink>
          </w:p>
        </w:tc>
        <w:tc>
          <w:tcPr>
            <w:tcW w:w="560" w:type="dxa"/>
            <w:vAlign w:val="bottom"/>
            <w:vMerge w:val="restart"/>
          </w:tcPr>
          <w:p>
            <w:pPr>
              <w:spacing w:after="0"/>
              <w:rPr>
                <w:sz w:val="15"/>
                <w:szCs w:val="15"/>
                <w:color w:val="auto"/>
              </w:rPr>
            </w:pPr>
          </w:p>
        </w:tc>
        <w:tc>
          <w:tcPr>
            <w:tcW w:w="2960" w:type="dxa"/>
            <w:vAlign w:val="bottom"/>
            <w:vMerge w:val="restart"/>
          </w:tcPr>
          <w:p>
            <w:pPr>
              <w:spacing w:after="0"/>
              <w:rPr>
                <w:sz w:val="15"/>
                <w:szCs w:val="15"/>
                <w:color w:val="auto"/>
              </w:rPr>
            </w:pPr>
          </w:p>
        </w:tc>
        <w:tc>
          <w:tcPr>
            <w:tcW w:w="2300" w:type="dxa"/>
            <w:vAlign w:val="bottom"/>
            <w:gridSpan w:val="5"/>
            <w:vMerge w:val="restart"/>
          </w:tcPr>
          <w:p>
            <w:pPr>
              <w:jc w:val="right"/>
              <w:ind w:righ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0"/>
        </w:trPr>
        <w:tc>
          <w:tcPr>
            <w:tcW w:w="114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3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920" w:type="dxa"/>
            <w:vAlign w:val="bottom"/>
            <w:tcBorders>
              <w:top w:val="single" w:sz="8" w:color="0000EE"/>
              <w:bottom w:val="single" w:sz="8" w:color="0000EE"/>
            </w:tcBorders>
            <w:gridSpan w:val="5"/>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2.</w:t>
              </w:r>
            </w:hyperlink>
          </w:p>
        </w:tc>
        <w:tc>
          <w:tcPr>
            <w:tcW w:w="2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780" w:type="dxa"/>
            <w:vAlign w:val="bottom"/>
            <w:tcBorders>
              <w:bottom w:val="single" w:sz="8" w:color="0000EE"/>
            </w:tcBorders>
            <w:gridSpan w:val="2"/>
          </w:tcPr>
          <w:p>
            <w:pPr>
              <w:spacing w:after="0" w:line="164"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Properties</w:t>
              </w:r>
            </w:hyperlink>
          </w:p>
        </w:tc>
        <w:tc>
          <w:tcPr>
            <w:tcW w:w="660" w:type="dxa"/>
            <w:vAlign w:val="bottom"/>
            <w:gridSpan w:val="2"/>
            <w:vMerge w:val="restart"/>
          </w:tcPr>
          <w:p>
            <w:pPr>
              <w:spacing w:after="0"/>
              <w:rPr>
                <w:sz w:val="14"/>
                <w:szCs w:val="14"/>
                <w:color w:val="auto"/>
              </w:rPr>
            </w:pPr>
          </w:p>
        </w:tc>
        <w:tc>
          <w:tcPr>
            <w:tcW w:w="420" w:type="dxa"/>
            <w:vAlign w:val="bottom"/>
            <w:vMerge w:val="restart"/>
          </w:tcPr>
          <w:p>
            <w:pPr>
              <w:spacing w:after="0"/>
              <w:rPr>
                <w:sz w:val="14"/>
                <w:szCs w:val="14"/>
                <w:color w:val="auto"/>
              </w:rPr>
            </w:pPr>
          </w:p>
        </w:tc>
        <w:tc>
          <w:tcPr>
            <w:tcW w:w="880" w:type="dxa"/>
            <w:vAlign w:val="bottom"/>
            <w:gridSpan w:val="2"/>
            <w:vMerge w:val="restart"/>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920" w:type="dxa"/>
            <w:vAlign w:val="bottom"/>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60" w:type="dxa"/>
            <w:vAlign w:val="bottom"/>
            <w:tcBorders>
              <w:top w:val="single" w:sz="8" w:color="0000EE"/>
              <w:bottom w:val="single" w:sz="8" w:color="0000EE"/>
            </w:tcBorders>
            <w:gridSpan w:val="2"/>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440" w:type="dxa"/>
            <w:vAlign w:val="bottom"/>
            <w:tcBorders>
              <w:bottom w:val="single" w:sz="8" w:color="0000EE"/>
            </w:tcBorders>
            <w:gridSpan w:val="4"/>
          </w:tcPr>
          <w:p>
            <w:pPr>
              <w:spacing w:after="0" w:line="164"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Legal Proceedings</w:t>
              </w:r>
            </w:hyperlink>
          </w:p>
        </w:tc>
        <w:tc>
          <w:tcPr>
            <w:tcW w:w="420" w:type="dxa"/>
            <w:vAlign w:val="bottom"/>
            <w:vMerge w:val="restart"/>
          </w:tcPr>
          <w:p>
            <w:pPr>
              <w:spacing w:after="0"/>
              <w:rPr>
                <w:sz w:val="14"/>
                <w:szCs w:val="14"/>
                <w:color w:val="auto"/>
              </w:rPr>
            </w:pPr>
          </w:p>
        </w:tc>
        <w:tc>
          <w:tcPr>
            <w:tcW w:w="880" w:type="dxa"/>
            <w:vAlign w:val="bottom"/>
            <w:gridSpan w:val="2"/>
            <w:vMerge w:val="restart"/>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40" w:type="dxa"/>
            <w:vAlign w:val="bottom"/>
            <w:gridSpan w:val="4"/>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960" w:type="dxa"/>
            <w:vAlign w:val="bottom"/>
            <w:vMerge w:val="continue"/>
          </w:tcPr>
          <w:p>
            <w:pPr>
              <w:spacing w:after="0"/>
              <w:rPr>
                <w:sz w:val="3"/>
                <w:szCs w:val="3"/>
                <w:color w:val="auto"/>
              </w:rPr>
            </w:pPr>
          </w:p>
        </w:tc>
        <w:tc>
          <w:tcPr>
            <w:tcW w:w="2080" w:type="dxa"/>
            <w:vAlign w:val="bottom"/>
            <w:gridSpan w:val="3"/>
            <w:vMerge w:val="continue"/>
          </w:tcPr>
          <w:p>
            <w:pPr>
              <w:spacing w:after="0"/>
              <w:rPr>
                <w:sz w:val="3"/>
                <w:szCs w:val="3"/>
                <w:color w:val="auto"/>
              </w:rPr>
            </w:pPr>
          </w:p>
        </w:tc>
        <w:tc>
          <w:tcPr>
            <w:tcW w:w="200" w:type="dxa"/>
            <w:vAlign w:val="bottom"/>
            <w:tcBorders>
              <w:bottom w:val="single" w:sz="8" w:color="0000EE"/>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60" w:type="dxa"/>
            <w:vAlign w:val="bottom"/>
            <w:gridSpan w:val="2"/>
            <w:vMerge w:val="restart"/>
          </w:tcPr>
          <w:p>
            <w:pPr>
              <w:spacing w:after="0" w:line="190"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ITEM 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0000EE"/>
            </w:tcBorders>
            <w:gridSpan w:val="5"/>
          </w:tcPr>
          <w:p>
            <w:pPr>
              <w:spacing w:after="0" w:line="164"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Mine Safety Disclosures</w:t>
              </w:r>
            </w:hyperlink>
          </w:p>
        </w:tc>
        <w:tc>
          <w:tcPr>
            <w:tcW w:w="880" w:type="dxa"/>
            <w:vAlign w:val="bottom"/>
            <w:gridSpan w:val="2"/>
          </w:tcPr>
          <w:p>
            <w:pPr>
              <w:spacing w:after="0"/>
              <w:rPr>
                <w:sz w:val="14"/>
                <w:szCs w:val="14"/>
                <w:color w:val="auto"/>
              </w:rPr>
            </w:pPr>
          </w:p>
        </w:tc>
        <w:tc>
          <w:tcPr>
            <w:tcW w:w="2960" w:type="dxa"/>
            <w:vAlign w:val="bottom"/>
            <w:vMerge w:val="restart"/>
          </w:tcPr>
          <w:p>
            <w:pPr>
              <w:spacing w:after="0"/>
              <w:rPr>
                <w:sz w:val="14"/>
                <w:szCs w:val="14"/>
                <w:color w:val="auto"/>
              </w:rPr>
            </w:pPr>
          </w:p>
        </w:tc>
        <w:tc>
          <w:tcPr>
            <w:tcW w:w="2080" w:type="dxa"/>
            <w:vAlign w:val="bottom"/>
            <w:gridSpan w:val="3"/>
            <w:vMerge w:val="restart"/>
          </w:tcPr>
          <w:p>
            <w:pPr>
              <w:spacing w:after="0"/>
              <w:rPr>
                <w:sz w:val="14"/>
                <w:szCs w:val="14"/>
                <w:color w:val="auto"/>
              </w:rPr>
            </w:pPr>
          </w:p>
        </w:tc>
        <w:tc>
          <w:tcPr>
            <w:tcW w:w="200" w:type="dxa"/>
            <w:vAlign w:val="bottom"/>
            <w:vMerge w:val="restart"/>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6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8"/>
            <w:vMerge w:val="restart"/>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Executive Officers of the Registrant</w:t>
              </w:r>
            </w:hyperlink>
          </w:p>
        </w:tc>
        <w:tc>
          <w:tcPr>
            <w:tcW w:w="2960" w:type="dxa"/>
            <w:vAlign w:val="bottom"/>
            <w:vMerge w:val="continue"/>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tcBorders>
              <w:bottom w:val="single" w:sz="8" w:color="0000EE"/>
            </w:tcBorders>
            <w:gridSpan w:val="8"/>
            <w:vMerge w:val="continue"/>
          </w:tcPr>
          <w:p>
            <w:pPr>
              <w:spacing w:after="0"/>
              <w:rPr>
                <w:sz w:val="15"/>
                <w:szCs w:val="15"/>
                <w:color w:val="auto"/>
              </w:rPr>
            </w:pPr>
          </w:p>
        </w:tc>
        <w:tc>
          <w:tcPr>
            <w:tcW w:w="2960" w:type="dxa"/>
            <w:vAlign w:val="bottom"/>
            <w:vMerge w:val="restart"/>
          </w:tcPr>
          <w:p>
            <w:pPr>
              <w:spacing w:after="0"/>
              <w:rPr>
                <w:sz w:val="15"/>
                <w:szCs w:val="15"/>
                <w:color w:val="auto"/>
              </w:rPr>
            </w:pPr>
          </w:p>
        </w:tc>
        <w:tc>
          <w:tcPr>
            <w:tcW w:w="2080" w:type="dxa"/>
            <w:vAlign w:val="bottom"/>
            <w:gridSpan w:val="3"/>
            <w:vMerge w:val="restart"/>
          </w:tcPr>
          <w:p>
            <w:pPr>
              <w:spacing w:after="0"/>
              <w:rPr>
                <w:sz w:val="15"/>
                <w:szCs w:val="15"/>
                <w:color w:val="auto"/>
              </w:rPr>
            </w:pPr>
          </w:p>
        </w:tc>
        <w:tc>
          <w:tcPr>
            <w:tcW w:w="200" w:type="dxa"/>
            <w:vAlign w:val="bottom"/>
            <w:vMerge w:val="restart"/>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080" w:type="dxa"/>
            <w:vAlign w:val="bottom"/>
            <w:gridSpan w:val="3"/>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140"/>
        <w:spacing w:after="0"/>
        <w:rPr>
          <w:rFonts w:ascii="Arial" w:cs="Arial" w:eastAsia="Arial" w:hAnsi="Arial"/>
          <w:sz w:val="24"/>
          <w:szCs w:val="24"/>
          <w:b w:val="1"/>
          <w:bCs w:val="1"/>
          <w:u w:val="single" w:color="auto"/>
          <w:color w:val="0000EE"/>
        </w:rPr>
      </w:pPr>
      <w:hyperlink w:anchor="page27">
        <w:r>
          <w:rPr>
            <w:rFonts w:ascii="Arial" w:cs="Arial" w:eastAsia="Arial" w:hAnsi="Arial"/>
            <w:sz w:val="24"/>
            <w:szCs w:val="24"/>
            <w:b w:val="1"/>
            <w:bCs w:val="1"/>
            <w:u w:val="single" w:color="auto"/>
            <w:color w:val="0000EE"/>
          </w:rPr>
          <w:t>PART II</w:t>
        </w:r>
      </w:hyperlink>
    </w:p>
    <w:p>
      <w:pPr>
        <w:sectPr>
          <w:pgSz w:w="11900" w:h="16838" w:orient="portrait"/>
          <w:cols w:equalWidth="0" w:num="1">
            <w:col w:w="10280"/>
          </w:cols>
          <w:pgMar w:left="240" w:top="143" w:right="1379" w:bottom="1440" w:gutter="0" w:footer="0" w:header="0"/>
        </w:sectPr>
      </w:pP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59"/>
        </w:trPr>
        <w:tc>
          <w:tcPr>
            <w:tcW w:w="1140" w:type="dxa"/>
            <w:vAlign w:val="bottom"/>
            <w:gridSpan w:val="3"/>
          </w:tcPr>
          <w:p>
            <w:pPr>
              <w:spacing w:after="0"/>
              <w:rPr>
                <w:rFonts w:ascii="Arial" w:cs="Arial" w:eastAsia="Arial" w:hAnsi="Arial"/>
                <w:sz w:val="22"/>
                <w:szCs w:val="22"/>
                <w:b w:val="1"/>
                <w:bCs w:val="1"/>
                <w:color w:val="0000EE"/>
              </w:rPr>
            </w:pPr>
            <w:hyperlink w:anchor="page27">
              <w:r>
                <w:rPr>
                  <w:rFonts w:ascii="Arial" w:cs="Arial" w:eastAsia="Arial" w:hAnsi="Arial"/>
                  <w:sz w:val="22"/>
                  <w:szCs w:val="22"/>
                  <w:b w:val="1"/>
                  <w:bCs w:val="1"/>
                  <w:color w:val="0000EE"/>
                </w:rPr>
                <w:t>ITEM 5.</w:t>
              </w:r>
            </w:hyperlink>
          </w:p>
        </w:tc>
        <w:tc>
          <w:tcPr>
            <w:tcW w:w="20" w:type="dxa"/>
            <w:vAlign w:val="bottom"/>
          </w:tcPr>
          <w:p>
            <w:pPr>
              <w:spacing w:after="0"/>
              <w:rPr>
                <w:sz w:val="22"/>
                <w:szCs w:val="22"/>
                <w:color w:val="auto"/>
              </w:rPr>
            </w:pPr>
          </w:p>
        </w:tc>
        <w:tc>
          <w:tcPr>
            <w:tcW w:w="734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Market for Registrant's Common Equity, Related Stockholder Matters, and Issuer Purchases of</w:t>
              </w:r>
            </w:hyperlink>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gridSpan w:val="5"/>
            <w:vMerge w:val="restart"/>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Equity Securities</w:t>
              </w:r>
            </w:hyperlink>
          </w:p>
        </w:tc>
        <w:tc>
          <w:tcPr>
            <w:tcW w:w="5920" w:type="dxa"/>
            <w:vAlign w:val="bottom"/>
            <w:gridSpan w:val="1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320" w:type="dxa"/>
            <w:vAlign w:val="bottom"/>
            <w:tcBorders>
              <w:bottom w:val="single" w:sz="8" w:color="0000EE"/>
            </w:tcBorders>
            <w:gridSpan w:val="5"/>
            <w:vMerge w:val="continue"/>
          </w:tcPr>
          <w:p>
            <w:pPr>
              <w:spacing w:after="0"/>
              <w:rPr>
                <w:sz w:val="12"/>
                <w:szCs w:val="12"/>
                <w:color w:val="auto"/>
              </w:rPr>
            </w:pPr>
          </w:p>
        </w:tc>
        <w:tc>
          <w:tcPr>
            <w:tcW w:w="5920" w:type="dxa"/>
            <w:vAlign w:val="bottom"/>
            <w:gridSpan w:val="1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gridSpan w:val="3"/>
            <w:vMerge w:val="restart"/>
          </w:tcPr>
          <w:p>
            <w:pPr>
              <w:spacing w:after="0"/>
              <w:rPr>
                <w:sz w:val="20"/>
                <w:szCs w:val="20"/>
                <w:color w:val="auto"/>
              </w:rPr>
            </w:pPr>
            <w:r>
              <w:rPr>
                <w:rFonts w:ascii="Arial" w:cs="Arial" w:eastAsia="Arial" w:hAnsi="Arial"/>
                <w:sz w:val="22"/>
                <w:szCs w:val="22"/>
                <w:b w:val="1"/>
                <w:bCs w:val="1"/>
                <w:color w:val="0000EE"/>
              </w:rPr>
              <w:t>ITEM 6.</w:t>
            </w:r>
          </w:p>
        </w:tc>
        <w:tc>
          <w:tcPr>
            <w:tcW w:w="53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The Toro Company Common Stock Comparative Performance Graph</w:t>
              </w:r>
            </w:hyperlink>
          </w:p>
        </w:tc>
        <w:tc>
          <w:tcPr>
            <w:tcW w:w="20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Selected Financial Data</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top w:val="single" w:sz="8" w:color="0000EE"/>
              <w:bottom w:val="single" w:sz="8" w:color="0000EE"/>
            </w:tcBorders>
          </w:tcPr>
          <w:p>
            <w:pPr>
              <w:spacing w:after="0" w:line="183" w:lineRule="exact"/>
              <w:rPr>
                <w:rFonts w:ascii="Arial" w:cs="Arial" w:eastAsia="Arial" w:hAnsi="Arial"/>
                <w:sz w:val="21"/>
                <w:szCs w:val="21"/>
                <w:b w:val="1"/>
                <w:bCs w:val="1"/>
                <w:color w:val="0000EE"/>
              </w:rPr>
            </w:pPr>
            <w:hyperlink w:anchor="page29">
              <w:r>
                <w:rPr>
                  <w:rFonts w:ascii="Arial" w:cs="Arial" w:eastAsia="Arial" w:hAnsi="Arial"/>
                  <w:sz w:val="21"/>
                  <w:szCs w:val="21"/>
                  <w:b w:val="1"/>
                  <w:bCs w:val="1"/>
                  <w:color w:val="0000EE"/>
                </w:rPr>
                <w:t>ITEM 7.</w:t>
              </w:r>
            </w:hyperlink>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Management's Discussion and Analysis of Financial Condition and Results of Operations</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22"/>
                <w:szCs w:val="22"/>
                <w:b w:val="1"/>
                <w:bCs w:val="1"/>
                <w:color w:val="0000EE"/>
              </w:rPr>
              <w:t>ITEM 7A.</w:t>
            </w:r>
          </w:p>
        </w:tc>
        <w:tc>
          <w:tcPr>
            <w:tcW w:w="20" w:type="dxa"/>
            <w:vAlign w:val="bottom"/>
          </w:tcPr>
          <w:p>
            <w:pPr>
              <w:spacing w:after="0"/>
              <w:rPr>
                <w:sz w:val="24"/>
                <w:szCs w:val="24"/>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Quantitative and Qualitative Disclosures about Market Risk</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22"/>
                <w:szCs w:val="22"/>
                <w:b w:val="1"/>
                <w:bCs w:val="1"/>
                <w:color w:val="0000EE"/>
              </w:rPr>
              <w:t>ITEM 8.</w:t>
            </w:r>
          </w:p>
        </w:tc>
        <w:tc>
          <w:tcPr>
            <w:tcW w:w="2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Financial Statements and Supplementary Data</w:t>
              </w:r>
            </w:hyperlink>
          </w:p>
        </w:tc>
        <w:tc>
          <w:tcPr>
            <w:tcW w:w="10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80" w:type="dxa"/>
            <w:vAlign w:val="bottom"/>
            <w:gridSpan w:val="16"/>
            <w:vMerge w:val="restart"/>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Management's Report on Internal Control over Financial Reporting</w:t>
              </w:r>
            </w:hyperlink>
          </w:p>
        </w:tc>
        <w:tc>
          <w:tcPr>
            <w:tcW w:w="2080" w:type="dxa"/>
            <w:vAlign w:val="bottom"/>
            <w:gridSpan w:val="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tcBorders>
              <w:bottom w:val="single" w:sz="8" w:color="0000EE"/>
            </w:tcBorders>
            <w:gridSpan w:val="16"/>
            <w:vMerge w:val="continue"/>
          </w:tcPr>
          <w:p>
            <w:pPr>
              <w:spacing w:after="0"/>
              <w:rPr>
                <w:sz w:val="15"/>
                <w:szCs w:val="15"/>
                <w:color w:val="auto"/>
              </w:rPr>
            </w:pPr>
          </w:p>
        </w:tc>
        <w:tc>
          <w:tcPr>
            <w:tcW w:w="20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0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Report of Independent Registered Public Accounting Firm</w:t>
              </w:r>
            </w:hyperlink>
          </w:p>
        </w:tc>
        <w:tc>
          <w:tcPr>
            <w:tcW w:w="27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Consolidated Statements of Earnings for the fiscal years ended October 31, 2014, 2013, and</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2012</w:t>
              </w:r>
            </w:hyperlink>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Income for the fiscal years ended October 31,</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7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2014, 2013, and 2012</w:t>
              </w:r>
            </w:hyperlink>
          </w:p>
        </w:tc>
        <w:tc>
          <w:tcPr>
            <w:tcW w:w="5140" w:type="dxa"/>
            <w:vAlign w:val="bottom"/>
            <w:tcBorders>
              <w:top w:val="single" w:sz="8" w:color="0000EE"/>
            </w:tcBorders>
            <w:gridSpan w:val="10"/>
          </w:tcPr>
          <w:p>
            <w:pPr>
              <w:spacing w:after="0"/>
              <w:rPr>
                <w:sz w:val="15"/>
                <w:szCs w:val="15"/>
                <w:color w:val="auto"/>
              </w:rPr>
            </w:pP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as of October 31, 2014 and 2013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60" w:type="dxa"/>
            <w:vAlign w:val="bottom"/>
            <w:gridSpan w:val="24"/>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Consolidated Statements of Cash Flows for the fiscal years ended October 31, 2014, 2013,</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and 2012</w:t>
              </w:r>
            </w:hyperlink>
          </w:p>
        </w:tc>
        <w:tc>
          <w:tcPr>
            <w:tcW w:w="6160" w:type="dxa"/>
            <w:vAlign w:val="bottom"/>
            <w:tcBorders>
              <w:top w:val="single" w:sz="8" w:color="0000EE"/>
            </w:tcBorders>
            <w:gridSpan w:val="17"/>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Consolidated Statements of Stockholders' Equity for the fiscal years ended October 31, 2014,</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2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2013, and 2012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4"/>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0" w:type="dxa"/>
            <w:vAlign w:val="bottom"/>
          </w:tcPr>
          <w:p>
            <w:pPr>
              <w:spacing w:after="0"/>
              <w:rPr>
                <w:sz w:val="1"/>
                <w:szCs w:val="1"/>
                <w:color w:val="auto"/>
              </w:rPr>
            </w:pPr>
          </w:p>
        </w:tc>
      </w:tr>
      <w:tr>
        <w:trPr>
          <w:trHeight w:val="20"/>
        </w:trPr>
        <w:tc>
          <w:tcPr>
            <w:tcW w:w="1140" w:type="dxa"/>
            <w:vAlign w:val="bottom"/>
            <w:gridSpan w:val="3"/>
            <w:vMerge w:val="restart"/>
          </w:tcPr>
          <w:p>
            <w:pPr>
              <w:spacing w:after="0"/>
              <w:rPr>
                <w:sz w:val="20"/>
                <w:szCs w:val="20"/>
                <w:color w:val="auto"/>
              </w:rPr>
            </w:pPr>
            <w:r>
              <w:rPr>
                <w:rFonts w:ascii="Arial" w:cs="Arial" w:eastAsia="Arial" w:hAnsi="Arial"/>
                <w:sz w:val="22"/>
                <w:szCs w:val="22"/>
                <w:b w:val="1"/>
                <w:bCs w:val="1"/>
                <w:color w:val="0000EE"/>
              </w:rPr>
              <w:t>ITEM 9.</w:t>
            </w:r>
          </w:p>
        </w:tc>
        <w:tc>
          <w:tcPr>
            <w:tcW w:w="160" w:type="dxa"/>
            <w:vAlign w:val="bottom"/>
            <w:gridSpan w:val="2"/>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Changes in and Disagreements with Accountants on Accounting and Financial Disclosure</w:t>
              </w:r>
            </w:hyperlink>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gridSpan w:val="4"/>
          </w:tcPr>
          <w:p>
            <w:pPr>
              <w:spacing w:after="0" w:line="183" w:lineRule="exact"/>
              <w:rPr>
                <w:rFonts w:ascii="Arial" w:cs="Arial" w:eastAsia="Arial" w:hAnsi="Arial"/>
                <w:sz w:val="21"/>
                <w:szCs w:val="21"/>
                <w:b w:val="1"/>
                <w:bCs w:val="1"/>
                <w:color w:val="0000EE"/>
              </w:rPr>
            </w:pPr>
            <w:hyperlink w:anchor="page71">
              <w:r>
                <w:rPr>
                  <w:rFonts w:ascii="Arial" w:cs="Arial" w:eastAsia="Arial" w:hAnsi="Arial"/>
                  <w:sz w:val="21"/>
                  <w:szCs w:val="21"/>
                  <w:b w:val="1"/>
                  <w:bCs w:val="1"/>
                  <w:color w:val="0000EE"/>
                </w:rPr>
                <w:t>ITEM 9A.</w:t>
              </w:r>
            </w:hyperlink>
          </w:p>
        </w:tc>
        <w:tc>
          <w:tcPr>
            <w:tcW w:w="1920" w:type="dxa"/>
            <w:vAlign w:val="bottom"/>
            <w:tcBorders>
              <w:bottom w:val="single" w:sz="8" w:color="0000EE"/>
            </w:tcBorders>
            <w:gridSpan w:val="10"/>
          </w:tcPr>
          <w:p>
            <w:pPr>
              <w:spacing w:after="0" w:line="182"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Controls and Procedures</w:t>
              </w:r>
            </w:hyperlink>
          </w:p>
        </w:tc>
        <w:tc>
          <w:tcPr>
            <w:tcW w:w="54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top w:val="single" w:sz="8" w:color="0000EE"/>
              <w:bottom w:val="single" w:sz="8" w:color="0000EE"/>
            </w:tcBorders>
            <w:gridSpan w:val="2"/>
          </w:tcPr>
          <w:p>
            <w:pPr>
              <w:spacing w:after="0" w:line="183" w:lineRule="exact"/>
              <w:rPr>
                <w:rFonts w:ascii="Arial" w:cs="Arial" w:eastAsia="Arial" w:hAnsi="Arial"/>
                <w:sz w:val="21"/>
                <w:szCs w:val="21"/>
                <w:b w:val="1"/>
                <w:bCs w:val="1"/>
                <w:color w:val="0000EE"/>
              </w:rPr>
            </w:pPr>
            <w:hyperlink w:anchor="page71">
              <w:r>
                <w:rPr>
                  <w:rFonts w:ascii="Arial" w:cs="Arial" w:eastAsia="Arial" w:hAnsi="Arial"/>
                  <w:sz w:val="21"/>
                  <w:szCs w:val="21"/>
                  <w:b w:val="1"/>
                  <w:bCs w:val="1"/>
                  <w:color w:val="0000EE"/>
                </w:rPr>
                <w:t>ITEM 9B.</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Other Information</w:t>
              </w:r>
            </w:hyperlink>
          </w:p>
        </w:tc>
        <w:tc>
          <w:tcPr>
            <w:tcW w:w="60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28-</w:t>
        </w:r>
      </w:hyperlink>
    </w:p>
    <w:p>
      <w:pPr>
        <w:spacing w:after="0" w:line="14" w:lineRule="exact"/>
        <w:rPr>
          <w:sz w:val="20"/>
          <w:szCs w:val="20"/>
          <w:color w:val="auto"/>
        </w:rPr>
      </w:pPr>
    </w:p>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42</w:t>
        </w:r>
      </w:hyperlink>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42-</w:t>
        </w:r>
      </w:hyperlink>
    </w:p>
    <w:p>
      <w:pPr>
        <w:spacing w:after="0" w:line="19" w:lineRule="exact"/>
        <w:rPr>
          <w:sz w:val="20"/>
          <w:szCs w:val="20"/>
          <w:color w:val="auto"/>
        </w:rPr>
      </w:pPr>
    </w:p>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p>
      <w:pPr>
        <w:spacing w:after="0" w:line="198"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48</w:t>
        </w:r>
      </w:hyperlink>
    </w:p>
    <w:p>
      <w:pPr>
        <w:spacing w:after="0" w:line="194"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49</w:t>
        </w:r>
      </w:hyperlink>
    </w:p>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50-</w:t>
        </w:r>
      </w:hyperlink>
    </w:p>
    <w:p>
      <w:pPr>
        <w:spacing w:after="0" w:line="19"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69</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70</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70</w:t>
        </w:r>
      </w:hyperlink>
    </w:p>
    <w:p>
      <w:pPr>
        <w:spacing w:after="0" w:line="36"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70</w:t>
        </w:r>
      </w:hyperlink>
    </w:p>
    <w:p>
      <w:pPr>
        <w:spacing w:after="0" w:line="161" w:lineRule="exact"/>
        <w:rPr>
          <w:sz w:val="20"/>
          <w:szCs w:val="20"/>
          <w:color w:val="auto"/>
        </w:rPr>
      </w:pPr>
    </w:p>
    <w:p>
      <w:pPr>
        <w:sectPr>
          <w:pgSz w:w="11900" w:h="16838" w:orient="portrait"/>
          <w:cols w:equalWidth="0" w:num="2">
            <w:col w:w="9700" w:space="320"/>
            <w:col w:w="260"/>
          </w:cols>
          <w:pgMar w:left="240" w:top="143" w:right="1379" w:bottom="1440" w:gutter="0" w:footer="0" w:header="0"/>
          <w:type w:val="continuous"/>
        </w:sectPr>
      </w:pPr>
    </w:p>
    <w:p>
      <w:pPr>
        <w:ind w:left="1140"/>
        <w:spacing w:after="0"/>
        <w:rPr>
          <w:rFonts w:ascii="Arial" w:cs="Arial" w:eastAsia="Arial" w:hAnsi="Arial"/>
          <w:sz w:val="24"/>
          <w:szCs w:val="24"/>
          <w:b w:val="1"/>
          <w:bCs w:val="1"/>
          <w:u w:val="single" w:color="auto"/>
          <w:color w:val="0000EE"/>
        </w:rPr>
      </w:pPr>
      <w:hyperlink w:anchor="page71">
        <w:r>
          <w:rPr>
            <w:rFonts w:ascii="Arial" w:cs="Arial" w:eastAsia="Arial" w:hAnsi="Arial"/>
            <w:sz w:val="24"/>
            <w:szCs w:val="24"/>
            <w:b w:val="1"/>
            <w:bCs w:val="1"/>
            <w:u w:val="single" w:color="auto"/>
            <w:color w:val="0000EE"/>
          </w:rPr>
          <w:t>PART III</w:t>
        </w:r>
      </w:hyperlink>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46"/>
        </w:trPr>
        <w:tc>
          <w:tcPr>
            <w:tcW w:w="1140" w:type="dxa"/>
            <w:vAlign w:val="bottom"/>
            <w:gridSpan w:val="3"/>
            <w:vMerge w:val="restart"/>
          </w:tcPr>
          <w:p>
            <w:pPr>
              <w:spacing w:after="0"/>
              <w:rPr>
                <w:rFonts w:ascii="Arial" w:cs="Arial" w:eastAsia="Arial" w:hAnsi="Arial"/>
                <w:sz w:val="22"/>
                <w:szCs w:val="22"/>
                <w:b w:val="1"/>
                <w:bCs w:val="1"/>
                <w:color w:val="0000EE"/>
              </w:rPr>
            </w:pPr>
            <w:hyperlink w:anchor="page71">
              <w:r>
                <w:rPr>
                  <w:rFonts w:ascii="Arial" w:cs="Arial" w:eastAsia="Arial" w:hAnsi="Arial"/>
                  <w:sz w:val="22"/>
                  <w:szCs w:val="22"/>
                  <w:b w:val="1"/>
                  <w:bCs w:val="1"/>
                  <w:color w:val="0000EE"/>
                </w:rPr>
                <w:t>ITEM 10.</w:t>
              </w:r>
            </w:hyperlink>
          </w:p>
        </w:tc>
        <w:tc>
          <w:tcPr>
            <w:tcW w:w="20" w:type="dxa"/>
            <w:vAlign w:val="bottom"/>
            <w:vMerge w:val="restart"/>
          </w:tcPr>
          <w:p>
            <w:pPr>
              <w:spacing w:after="0"/>
              <w:rPr>
                <w:sz w:val="21"/>
                <w:szCs w:val="21"/>
                <w:color w:val="auto"/>
              </w:rPr>
            </w:pPr>
          </w:p>
        </w:tc>
        <w:tc>
          <w:tcPr>
            <w:tcW w:w="43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Directors, Executive Officers and Corporate Governance</w:t>
              </w:r>
            </w:hyperlink>
          </w:p>
        </w:tc>
        <w:tc>
          <w:tcPr>
            <w:tcW w:w="1540" w:type="dxa"/>
            <w:vAlign w:val="bottom"/>
            <w:vMerge w:val="restart"/>
          </w:tcPr>
          <w:p>
            <w:pPr>
              <w:spacing w:after="0"/>
              <w:rPr>
                <w:sz w:val="21"/>
                <w:szCs w:val="21"/>
                <w:color w:val="auto"/>
              </w:rPr>
            </w:pPr>
          </w:p>
        </w:tc>
        <w:tc>
          <w:tcPr>
            <w:tcW w:w="1240" w:type="dxa"/>
            <w:vAlign w:val="bottom"/>
            <w:vMerge w:val="restart"/>
          </w:tcPr>
          <w:p>
            <w:pPr>
              <w:spacing w:after="0"/>
              <w:rPr>
                <w:sz w:val="21"/>
                <w:szCs w:val="21"/>
                <w:color w:val="auto"/>
              </w:rPr>
            </w:pPr>
          </w:p>
        </w:tc>
        <w:tc>
          <w:tcPr>
            <w:tcW w:w="840" w:type="dxa"/>
            <w:vAlign w:val="bottom"/>
            <w:gridSpan w:val="4"/>
            <w:vMerge w:val="restart"/>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40"/>
        </w:trPr>
        <w:tc>
          <w:tcPr>
            <w:tcW w:w="114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80" w:type="dxa"/>
            <w:vAlign w:val="bottom"/>
            <w:tcBorders>
              <w:top w:val="single" w:sz="8" w:color="0000EE"/>
              <w:bottom w:val="single" w:sz="8" w:color="0000EE"/>
            </w:tcBorders>
            <w:vMerge w:val="restart"/>
          </w:tcPr>
          <w:p>
            <w:pPr>
              <w:spacing w:after="0" w:line="190" w:lineRule="exact"/>
              <w:rPr>
                <w:rFonts w:ascii="Arial" w:cs="Arial" w:eastAsia="Arial" w:hAnsi="Arial"/>
                <w:sz w:val="21"/>
                <w:szCs w:val="21"/>
                <w:b w:val="1"/>
                <w:bCs w:val="1"/>
                <w:color w:val="0000EE"/>
              </w:rPr>
            </w:pPr>
            <w:hyperlink w:anchor="page72">
              <w:r>
                <w:rPr>
                  <w:rFonts w:ascii="Arial" w:cs="Arial" w:eastAsia="Arial" w:hAnsi="Arial"/>
                  <w:sz w:val="21"/>
                  <w:szCs w:val="21"/>
                  <w:b w:val="1"/>
                  <w:bCs w:val="1"/>
                  <w:color w:val="0000EE"/>
                </w:rPr>
                <w:t>ITEM 11.</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920" w:type="dxa"/>
            <w:vAlign w:val="bottom"/>
            <w:tcBorders>
              <w:bottom w:val="single" w:sz="8" w:color="0000EE"/>
            </w:tcBorders>
            <w:gridSpan w:val="4"/>
          </w:tcPr>
          <w:p>
            <w:pPr>
              <w:spacing w:after="0" w:line="163"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Executive Compensation</w:t>
              </w:r>
            </w:hyperlink>
          </w:p>
        </w:tc>
        <w:tc>
          <w:tcPr>
            <w:tcW w:w="11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800" w:type="dxa"/>
            <w:vAlign w:val="bottom"/>
            <w:gridSpan w:val="2"/>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620" w:type="dxa"/>
            <w:vAlign w:val="bottom"/>
            <w:gridSpan w:val="2"/>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80" w:type="dxa"/>
            <w:vAlign w:val="bottom"/>
            <w:tcBorders>
              <w:bottom w:val="single" w:sz="8" w:color="0000EE"/>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80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200" w:type="dxa"/>
            <w:vAlign w:val="bottom"/>
            <w:tcBorders>
              <w:bottom w:val="single" w:sz="8" w:color="0000EE"/>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line="163"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ITEM 12.</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tcBorders>
              <w:bottom w:val="single" w:sz="8" w:color="0000EE"/>
            </w:tcBorders>
            <w:gridSpan w:val="9"/>
          </w:tcPr>
          <w:p>
            <w:pPr>
              <w:spacing w:after="0" w:line="163"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Security Ownership of Certain Beneficial Owners and Management and Related Stockholder</w:t>
              </w:r>
            </w:hyperlink>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0" w:type="dxa"/>
            <w:vAlign w:val="bottom"/>
            <w:gridSpan w:val="8"/>
            <w:vMerge w:val="restart"/>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Matters</w:t>
              </w:r>
            </w:hyperlink>
          </w:p>
        </w:tc>
        <w:tc>
          <w:tcPr>
            <w:tcW w:w="840" w:type="dxa"/>
            <w:vAlign w:val="bottom"/>
            <w:gridSpan w:val="4"/>
            <w:vMerge w:val="restart"/>
          </w:tcPr>
          <w:p>
            <w:pPr>
              <w:jc w:val="right"/>
              <w:ind w:right="20"/>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0" w:type="dxa"/>
            <w:vAlign w:val="bottom"/>
          </w:tcPr>
          <w:p>
            <w:pPr>
              <w:spacing w:after="0" w:line="20" w:lineRule="exact"/>
              <w:rPr>
                <w:sz w:val="1"/>
                <w:szCs w:val="1"/>
                <w:color w:val="auto"/>
              </w:rPr>
            </w:pPr>
          </w:p>
        </w:tc>
      </w:tr>
      <w:tr>
        <w:trPr>
          <w:trHeight w:val="143"/>
        </w:trPr>
        <w:tc>
          <w:tcPr>
            <w:tcW w:w="1140" w:type="dxa"/>
            <w:vAlign w:val="bottom"/>
            <w:gridSpan w:val="3"/>
            <w:vMerge w:val="restart"/>
          </w:tcPr>
          <w:p>
            <w:pPr>
              <w:spacing w:after="0"/>
              <w:rPr>
                <w:rFonts w:ascii="Arial" w:cs="Arial" w:eastAsia="Arial" w:hAnsi="Arial"/>
                <w:sz w:val="22"/>
                <w:szCs w:val="22"/>
                <w:b w:val="1"/>
                <w:bCs w:val="1"/>
                <w:color w:val="0000EE"/>
              </w:rPr>
            </w:pPr>
            <w:hyperlink w:anchor="page72">
              <w:r>
                <w:rPr>
                  <w:rFonts w:ascii="Arial" w:cs="Arial" w:eastAsia="Arial" w:hAnsi="Arial"/>
                  <w:sz w:val="22"/>
                  <w:szCs w:val="22"/>
                  <w:b w:val="1"/>
                  <w:bCs w:val="1"/>
                  <w:color w:val="0000EE"/>
                </w:rPr>
                <w:t>ITEM 13.</w:t>
              </w:r>
            </w:hyperlink>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000" w:type="dxa"/>
            <w:vAlign w:val="bottom"/>
            <w:gridSpan w:val="8"/>
            <w:vMerge w:val="continue"/>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3"/>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3"/>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5920" w:type="dxa"/>
            <w:vAlign w:val="bottom"/>
            <w:tcBorders>
              <w:bottom w:val="single" w:sz="8" w:color="0000EE"/>
            </w:tcBorders>
            <w:gridSpan w:val="8"/>
          </w:tcPr>
          <w:p>
            <w:pPr>
              <w:spacing w:after="0" w:line="170"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Certain Relationships and Related Transactions, and Director Independence</w:t>
              </w:r>
            </w:hyperlink>
          </w:p>
        </w:tc>
        <w:tc>
          <w:tcPr>
            <w:tcW w:w="1240" w:type="dxa"/>
            <w:vAlign w:val="bottom"/>
            <w:vMerge w:val="restart"/>
          </w:tcPr>
          <w:p>
            <w:pPr>
              <w:spacing w:after="0"/>
              <w:rPr>
                <w:sz w:val="15"/>
                <w:szCs w:val="15"/>
                <w:color w:val="auto"/>
              </w:rPr>
            </w:pPr>
          </w:p>
        </w:tc>
        <w:tc>
          <w:tcPr>
            <w:tcW w:w="840" w:type="dxa"/>
            <w:vAlign w:val="bottom"/>
            <w:gridSpan w:val="4"/>
            <w:vMerge w:val="restart"/>
          </w:tcPr>
          <w:p>
            <w:pPr>
              <w:jc w:val="right"/>
              <w:ind w:righ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40"/>
        </w:trPr>
        <w:tc>
          <w:tcPr>
            <w:tcW w:w="114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20" w:type="dxa"/>
            <w:vAlign w:val="bottom"/>
            <w:gridSpan w:val="3"/>
          </w:tcPr>
          <w:p>
            <w:pPr>
              <w:spacing w:after="0"/>
              <w:rPr>
                <w:sz w:val="3"/>
                <w:szCs w:val="3"/>
                <w:color w:val="auto"/>
              </w:rPr>
            </w:pPr>
          </w:p>
        </w:tc>
        <w:tc>
          <w:tcPr>
            <w:tcW w:w="2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800" w:type="dxa"/>
            <w:vAlign w:val="bottom"/>
            <w:gridSpan w:val="2"/>
          </w:tcPr>
          <w:p>
            <w:pPr>
              <w:spacing w:after="0"/>
              <w:rPr>
                <w:sz w:val="3"/>
                <w:szCs w:val="3"/>
                <w:color w:val="auto"/>
              </w:rPr>
            </w:pPr>
          </w:p>
        </w:tc>
        <w:tc>
          <w:tcPr>
            <w:tcW w:w="1240" w:type="dxa"/>
            <w:vAlign w:val="bottom"/>
            <w:vMerge w:val="continue"/>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80" w:type="dxa"/>
            <w:vAlign w:val="bottom"/>
            <w:tcBorders>
              <w:top w:val="single" w:sz="8" w:color="0000EE"/>
              <w:bottom w:val="single" w:sz="8" w:color="0000EE"/>
            </w:tcBorders>
            <w:vMerge w:val="restart"/>
          </w:tcPr>
          <w:p>
            <w:pPr>
              <w:spacing w:after="0" w:line="190" w:lineRule="exact"/>
              <w:rPr>
                <w:rFonts w:ascii="Arial" w:cs="Arial" w:eastAsia="Arial" w:hAnsi="Arial"/>
                <w:sz w:val="21"/>
                <w:szCs w:val="21"/>
                <w:b w:val="1"/>
                <w:bCs w:val="1"/>
                <w:color w:val="0000EE"/>
              </w:rPr>
            </w:pPr>
            <w:hyperlink w:anchor="page72">
              <w:r>
                <w:rPr>
                  <w:rFonts w:ascii="Arial" w:cs="Arial" w:eastAsia="Arial" w:hAnsi="Arial"/>
                  <w:sz w:val="21"/>
                  <w:szCs w:val="21"/>
                  <w:b w:val="1"/>
                  <w:bCs w:val="1"/>
                  <w:color w:val="0000EE"/>
                </w:rPr>
                <w:t>ITEM 14.</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3080" w:type="dxa"/>
            <w:vAlign w:val="bottom"/>
            <w:tcBorders>
              <w:bottom w:val="single" w:sz="8" w:color="0000EE"/>
            </w:tcBorders>
            <w:gridSpan w:val="5"/>
          </w:tcPr>
          <w:p>
            <w:pPr>
              <w:spacing w:after="0" w:line="163"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Principal Accountant Fees and Services</w:t>
              </w:r>
            </w:hyperlink>
          </w:p>
        </w:tc>
        <w:tc>
          <w:tcPr>
            <w:tcW w:w="40" w:type="dxa"/>
            <w:vAlign w:val="bottom"/>
            <w:vMerge w:val="restart"/>
          </w:tcPr>
          <w:p>
            <w:pPr>
              <w:spacing w:after="0"/>
              <w:rPr>
                <w:sz w:val="14"/>
                <w:szCs w:val="14"/>
                <w:color w:val="auto"/>
              </w:rPr>
            </w:pPr>
          </w:p>
        </w:tc>
        <w:tc>
          <w:tcPr>
            <w:tcW w:w="4040" w:type="dxa"/>
            <w:vAlign w:val="bottom"/>
            <w:gridSpan w:val="3"/>
            <w:vMerge w:val="restart"/>
          </w:tcPr>
          <w:p>
            <w:pPr>
              <w:spacing w:after="0"/>
              <w:rPr>
                <w:sz w:val="14"/>
                <w:szCs w:val="14"/>
                <w:color w:val="auto"/>
              </w:rPr>
            </w:pPr>
          </w:p>
        </w:tc>
        <w:tc>
          <w:tcPr>
            <w:tcW w:w="620" w:type="dxa"/>
            <w:vAlign w:val="bottom"/>
            <w:gridSpan w:val="2"/>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jc w:val="right"/>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80" w:type="dxa"/>
            <w:vAlign w:val="bottom"/>
            <w:tcBorders>
              <w:bottom w:val="single" w:sz="8" w:color="0000EE"/>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20" w:type="dxa"/>
            <w:vAlign w:val="bottom"/>
            <w:gridSpan w:val="3"/>
          </w:tcPr>
          <w:p>
            <w:pPr>
              <w:spacing w:after="0"/>
              <w:rPr>
                <w:sz w:val="3"/>
                <w:szCs w:val="3"/>
                <w:color w:val="auto"/>
              </w:rPr>
            </w:pPr>
          </w:p>
        </w:tc>
        <w:tc>
          <w:tcPr>
            <w:tcW w:w="226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4040" w:type="dxa"/>
            <w:vAlign w:val="bottom"/>
            <w:gridSpan w:val="3"/>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200" w:type="dxa"/>
            <w:vAlign w:val="bottom"/>
            <w:tcBorders>
              <w:bottom w:val="single" w:sz="8" w:color="0000EE"/>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0"/>
        </w:trPr>
        <w:tc>
          <w:tcPr>
            <w:tcW w:w="1140" w:type="dxa"/>
            <w:vAlign w:val="bottom"/>
            <w:gridSpan w:val="3"/>
          </w:tcPr>
          <w:p>
            <w:pPr>
              <w:spacing w:after="0"/>
              <w:rPr>
                <w:rFonts w:ascii="Arial" w:cs="Arial" w:eastAsia="Arial" w:hAnsi="Arial"/>
                <w:sz w:val="24"/>
                <w:szCs w:val="24"/>
                <w:b w:val="1"/>
                <w:bCs w:val="1"/>
                <w:color w:val="0000EE"/>
              </w:rPr>
            </w:pPr>
            <w:hyperlink w:anchor="page72">
              <w:r>
                <w:rPr>
                  <w:rFonts w:ascii="Arial" w:cs="Arial" w:eastAsia="Arial" w:hAnsi="Arial"/>
                  <w:sz w:val="24"/>
                  <w:szCs w:val="24"/>
                  <w:b w:val="1"/>
                  <w:bCs w:val="1"/>
                  <w:color w:val="0000EE"/>
                </w:rPr>
                <w:t>PART IV</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22"/>
                <w:szCs w:val="22"/>
                <w:b w:val="1"/>
                <w:bCs w:val="1"/>
                <w:color w:val="0000EE"/>
              </w:rPr>
              <w:t>ITEM 15.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Exhibits, Financial Statement Schedules</w:t>
              </w:r>
            </w:hyperlink>
          </w:p>
        </w:tc>
        <w:tc>
          <w:tcPr>
            <w:tcW w:w="40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71-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vMerge w:val="restart"/>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Signatures</w:t>
              </w:r>
            </w:hyperlink>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00" w:type="dxa"/>
            <w:vAlign w:val="bottom"/>
            <w:vMerge w:val="restart"/>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75</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0000EE"/>
            </w:tcBorders>
            <w:gridSpan w:val="4"/>
            <w:vMerge w:val="continue"/>
          </w:tcPr>
          <w:p>
            <w:pPr>
              <w:spacing w:after="0"/>
              <w:rPr>
                <w:sz w:val="15"/>
                <w:szCs w:val="15"/>
                <w:color w:val="auto"/>
              </w:rPr>
            </w:pPr>
          </w:p>
        </w:tc>
        <w:tc>
          <w:tcPr>
            <w:tcW w:w="6340" w:type="dxa"/>
            <w:vAlign w:val="bottom"/>
            <w:gridSpan w:val="6"/>
            <w:vMerge w:val="restart"/>
          </w:tcPr>
          <w:p>
            <w:pPr>
              <w:spacing w:after="0"/>
              <w:rPr>
                <w:sz w:val="15"/>
                <w:szCs w:val="15"/>
                <w:color w:val="auto"/>
              </w:rPr>
            </w:pPr>
          </w:p>
        </w:tc>
        <w:tc>
          <w:tcPr>
            <w:tcW w:w="620" w:type="dxa"/>
            <w:vAlign w:val="bottom"/>
            <w:gridSpan w:val="2"/>
            <w:vMerge w:val="restart"/>
          </w:tcPr>
          <w:p>
            <w:pPr>
              <w:spacing w:after="0"/>
              <w:rPr>
                <w:sz w:val="15"/>
                <w:szCs w:val="15"/>
                <w:color w:val="auto"/>
              </w:rPr>
            </w:pPr>
          </w:p>
        </w:tc>
        <w:tc>
          <w:tcPr>
            <w:tcW w:w="200" w:type="dxa"/>
            <w:vAlign w:val="bottom"/>
            <w:vMerge w:val="restart"/>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340" w:type="dxa"/>
            <w:vAlign w:val="bottom"/>
            <w:gridSpan w:val="6"/>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0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43" w:right="1379" w:bottom="1440" w:gutter="0" w:footer="0" w:header="0"/>
          <w:type w:val="continuous"/>
        </w:sectPr>
      </w:pPr>
    </w:p>
    <w:p>
      <w:pPr>
        <w:spacing w:after="0" w:line="3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and our telephone number is</w:t>
      </w:r>
    </w:p>
    <w:p>
      <w:pPr>
        <w:spacing w:after="0" w:line="1" w:lineRule="exact"/>
        <w:rPr>
          <w:sz w:val="20"/>
          <w:szCs w:val="20"/>
          <w:color w:val="auto"/>
        </w:rPr>
      </w:pPr>
    </w:p>
    <w:p>
      <w:pPr>
        <w:ind w:right="20" w:firstLine="8"/>
        <w:spacing w:after="0" w:line="238"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888-8801.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208" w:lineRule="exact"/>
        <w:rPr>
          <w:sz w:val="20"/>
          <w:szCs w:val="20"/>
          <w:color w:val="auto"/>
        </w:rPr>
      </w:pPr>
    </w:p>
    <w:p>
      <w:pPr>
        <w:ind w:right="100" w:firstLine="146"/>
        <w:spacing w:after="0" w:line="264" w:lineRule="auto"/>
        <w:rPr>
          <w:sz w:val="20"/>
          <w:szCs w:val="20"/>
          <w:color w:val="auto"/>
        </w:rPr>
      </w:pPr>
      <w:r>
        <w:rPr>
          <w:rFonts w:ascii="Arial" w:cs="Arial" w:eastAsia="Arial" w:hAnsi="Arial"/>
          <w:sz w:val="16"/>
          <w:szCs w:val="16"/>
          <w:color w:val="auto"/>
        </w:rPr>
        <w:t>We design, manufacture, and market professional turf maintenance equipment and services, turf irrigation systems, landscaping equipment and lighting, agricultural micro-irrigation systems, rental and specialty construction equipment, and residential yard and snow thrower products. With our recent acquisition of the BOSS® professional snow and ice management business, we also design, manufacture, and market professional snow and ice management products. We produced our first mower for golf course use in 1921 when we mounted five reel mowers on a Toro tractor, and we introduced our first lawn mower for residential use in 1935. We have continued to enhance our product lines over the past</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100 years we have been in business. We classify our operations into three reportable business segments: Professional, Residential, and Distribution. Our Distribution segment, which consists of our company-owned domestic distributorships, has been combined with our corporate activities and is shown as "Other." Net sales of our three reportable segments accounted for the following percentages of our consolidated net sales for fiscal 2014: Professional, 68 percent; Residential, 31 percent; and Other, 1 percent.</w:t>
      </w:r>
    </w:p>
    <w:p>
      <w:pPr>
        <w:spacing w:after="0" w:line="209" w:lineRule="exact"/>
        <w:rPr>
          <w:sz w:val="20"/>
          <w:szCs w:val="20"/>
          <w:color w:val="auto"/>
        </w:rPr>
      </w:pPr>
    </w:p>
    <w:p>
      <w:pPr>
        <w:ind w:right="400" w:firstLine="146"/>
        <w:spacing w:after="0" w:line="237" w:lineRule="auto"/>
        <w:rPr>
          <w:sz w:val="20"/>
          <w:szCs w:val="20"/>
          <w:color w:val="auto"/>
        </w:rPr>
      </w:pPr>
      <w:r>
        <w:rPr>
          <w:rFonts w:ascii="Arial" w:cs="Arial" w:eastAsia="Arial" w:hAnsi="Arial"/>
          <w:sz w:val="18"/>
          <w:szCs w:val="18"/>
          <w:color w:val="auto"/>
        </w:rPr>
        <w:t>Our products are advertised and sold at the retail level under the primary trademarks of Toro®, Exmark®, Irritrol®, Hayter®, Pope®, Unique Lighting Systems®, Lawn-Boy®, Lawn Genie®, and recently acquired BOSS®, most of which are registered in the United States and/or in the primary countries outside the United States where we market such products. This report also contains trademarks, trade names, and service marks that are owned by other persons or entities, such as The Home Depot.</w:t>
      </w:r>
    </w:p>
    <w:p>
      <w:pPr>
        <w:spacing w:after="0" w:line="209" w:lineRule="exact"/>
        <w:rPr>
          <w:sz w:val="20"/>
          <w:szCs w:val="20"/>
          <w:color w:val="auto"/>
        </w:rPr>
      </w:pPr>
    </w:p>
    <w:p>
      <w:pPr>
        <w:ind w:firstLine="146"/>
        <w:spacing w:after="0" w:line="271" w:lineRule="auto"/>
        <w:rPr>
          <w:sz w:val="20"/>
          <w:szCs w:val="20"/>
          <w:color w:val="auto"/>
        </w:rPr>
      </w:pPr>
      <w:r>
        <w:rPr>
          <w:rFonts w:ascii="Arial" w:cs="Arial" w:eastAsia="Arial" w:hAnsi="Arial"/>
          <w:sz w:val="16"/>
          <w:szCs w:val="16"/>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and enhance existing products and develop new products. Through these efforts, we seek to be responsive to trends that may affect our target markets now and in the future. A significant portion of our revenues have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supplementing our existing brands and product portfolio.</w:t>
      </w:r>
    </w:p>
    <w:p>
      <w:pPr>
        <w:spacing w:after="0" w:line="185" w:lineRule="exact"/>
        <w:rPr>
          <w:sz w:val="20"/>
          <w:szCs w:val="20"/>
          <w:color w:val="auto"/>
        </w:rPr>
      </w:pPr>
    </w:p>
    <w:p>
      <w:pPr>
        <w:ind w:right="160" w:firstLine="146"/>
        <w:spacing w:after="0" w:line="238"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vision is to be the most trusted leader in solutions for the outdoor environment. Every day. Everywhere. Our mission, or how we strive to make our vision a reality and what we intend to accomplish, is to deliver superior innovation and to deliver superior customer care.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On November 14, 2014, during the first quarter of fiscal 2015, we acquired substantially all of the assets (excluding accounts receivable) of the BOSS professional snow and ice management business of privately held Northern Star Industries, Inc. BOSS designs, manufactures, and sells a broad line of snowplows, salt and sand spreaders, and related parts and accessories for light and medium duty trucks, all terrain vehicles ("ATVs"), utility terrain vehicles ("UTVs"), skid steers, and front-end loaders. Through this acquisition, we added another professional contractor brand; a portfolio of counter-seasonal equipment; manufacturing and distribution facilities located in Iron Mountain, Michigan; and a distribution network for these products. We believe that this acquisition positions us to strengthen and grow our relationships with professional contractors, municipalities, and other customers by enabling us to provide them with innovative, durable equipment and high-quality service they need for each season.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turf care maintenance, landscapes, agricultural fields, specialty construction, snow and ice management, and residential demands. The following is a summary of our products, by market, for the Professional segment and our products for the Residential segment:</w:t>
      </w:r>
    </w:p>
    <w:p>
      <w:pPr>
        <w:spacing w:after="0" w:line="18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Professional </w:t>
      </w:r>
      <w:r>
        <w:rPr>
          <w:rFonts w:ascii="Arial" w:cs="Arial" w:eastAsia="Arial" w:hAnsi="Arial"/>
          <w:sz w:val="18"/>
          <w:szCs w:val="18"/>
          <w:color w:val="auto"/>
        </w:rPr>
        <w:t>– We design professional turf, landscape, specialty construction, and agricultural products and market them worldwide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of distributors and dealers, as well as directly to government customers, rental companies, and large retailers. With our recent acquisition of BOSS, we also design and manufacture a broad line of professional snow and ice removal equipment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through a network of distributors and dealers. These channel partners then sell our products primarily to professional users engaged in creating and renovating landscapes; irrigating turf and agricultural fields; installing, repairing, and replacing underground utilities; maintaining turf, such as golf courses, sports fields, municipal properties, and residential and commercial landscapes; and managing snow and ice.</w:t>
      </w:r>
    </w:p>
    <w:p>
      <w:pPr>
        <w:spacing w:after="0" w:line="18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i w:val="1"/>
          <w:iCs w:val="1"/>
          <w:color w:val="auto"/>
        </w:rPr>
        <w:t xml:space="preserve">Golf Market. </w:t>
      </w:r>
      <w:r>
        <w:rPr>
          <w:rFonts w:ascii="Arial" w:cs="Arial" w:eastAsia="Arial" w:hAnsi="Arial"/>
          <w:sz w:val="16"/>
          <w:szCs w:val="16"/>
          <w:color w:val="auto"/>
        </w:rPr>
        <w:t>Products for the golf course market include large reel and rotary riding products for fairway, rough, and trim cutting; riding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walking mowers for putting greens and specialty areas; greens rollers; turf sprayer equipment; utility vehicles; aeration equipment; and bunker maintenance equipment. In fiscal 2014, we introduced the Multi Pro® 1750, an advanced spray system with sprayer controls and productive vehicle features, including a 175 gallon sprayer. In addition, in fiscal 2014, we began offering the Sand Pro® 2040Z, a zero-turn mechanical groomer, featuring a "flex" raking system that is intended to enable an operator to make tight turns in bunkers without leaving unraked areas or tire marks. In fiscal 2014, we also introduced the Workman® HDX Auto, the industry's first heavy-duty vehicle with automatic transmission, featuring SpeedContr'l™ that is designed to ensure precise ground speed critical for accurate application rates with bed-mounted topdressers and sprayers.</w:t>
      </w:r>
    </w:p>
    <w:p>
      <w:pPr>
        <w:spacing w:after="0" w:line="184"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We also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 technologies to help customers manage their consumption of water. Several of our golf sprinklers are equipped with a unique TruJectory™ feature that provides an adjustable angle of nozzle trajectory, as well as enhanced water distribution control. Our Network VP® Satellite combines modular flexibility, ease of use, and increased control in a single controller with programming to the individual station level that supports station-based flow management. Our Turf Guard® wireless soil monitoring systems are designed to measure and communicate soil moisture, salinity, and temperature through sensors to a user's software. Our R Series™ conversion assemblies enable the upgrade of select competitive sprinklers to our technologies, such as the above-mentioned TruJectory™ or ratcheting riser. Our popular Lynx® central control system allows superintendents to control the irrigation of their course from a web-enabled device, or via our National Support Network, which provides remote troubleshooting. In 2014, we introduced the INFINITY® Series, our latest offering of golf sprinklers. The Smart Access® feature of the INFINITY® Series provides easy access to critical components of the sprinkler without needing to dig.</w:t>
      </w:r>
    </w:p>
    <w:p>
      <w:pPr>
        <w:spacing w:after="0" w:line="215" w:lineRule="exact"/>
        <w:rPr>
          <w:sz w:val="20"/>
          <w:szCs w:val="20"/>
          <w:color w:val="auto"/>
        </w:rPr>
      </w:pPr>
    </w:p>
    <w:p>
      <w:pPr>
        <w:ind w:right="460" w:firstLine="137"/>
        <w:spacing w:after="0" w:line="239" w:lineRule="auto"/>
        <w:rPr>
          <w:sz w:val="20"/>
          <w:szCs w:val="20"/>
          <w:color w:val="auto"/>
        </w:rPr>
      </w:pPr>
      <w:r>
        <w:rPr>
          <w:rFonts w:ascii="Arial" w:cs="Arial" w:eastAsia="Arial" w:hAnsi="Arial"/>
          <w:sz w:val="18"/>
          <w:szCs w:val="18"/>
          <w:color w:val="auto"/>
        </w:rPr>
        <w:t>Additionally, we manufacture and market Twilight™ golf lighting products that include a collection of LED-powered cup lights and removable lighting fixtures designed to illuminate putting greens during club events or special functions.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Landscape Contractor Equipment Market. </w:t>
      </w:r>
      <w:r>
        <w:rPr>
          <w:rFonts w:ascii="Arial" w:cs="Arial" w:eastAsia="Arial" w:hAnsi="Arial"/>
          <w:sz w:val="18"/>
          <w:szCs w:val="18"/>
          <w:color w:val="auto"/>
        </w:rPr>
        <w:t>We market products to landscape contractors under the Toro and Exmark brands. Products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landscape contractor market include zero-turn radius riding mowers, heavy-duty walk behind mowers, mid-size walk behind mowers, stand-on mowers, and turf renovation and tree care equipment. We also offer some products with electronic fuel injection engine options, which provide improved fuel efficiency and lower emissions. In fiscal 2014, we enhanced our line of Toro Z Master® Commercial 3000 Series mowers, featuring our TURBO FORCE® cutting deck, integrated pump, and wheel motors designed to improve operator comfort and add stability for greater handling on hills. We also introduced a completely redesigned line of heavy-duty 21² walk behind mowers that feature commercial-grade decks with the Recycler® Cutting System and a large, easy-empty bag design. In fiscal 2014, we began offering a rear discharge deck with our Lazer Z® S-Series. The deck discharges clippings to the rear, which is intended to reduce the amount of power needed to process the grass, keep operators cleaner, reduce noise from the engine, and reduce occurrences of thrown objects. We also redesigned the Turf Tracer® S-Series, with a number of changes to the product intended to improve performance, customer experience, and serviceability. In addition, we extended the RED Onboard Intelligence Platform to the Exmark Lazer Z® X-Series 52² deck zero-turn riding mower. This platform is intended to enable communication and response between key systems, safeguard machine health through monitoring and controlling key components, such as the engine and clutch, and ultimately optimize machine life and productivity.</w:t>
      </w:r>
    </w:p>
    <w:p>
      <w:pPr>
        <w:spacing w:after="0" w:line="19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Sports Fields and Grounds Equipment Market. </w:t>
      </w:r>
      <w:r>
        <w:rPr>
          <w:rFonts w:ascii="Arial" w:cs="Arial" w:eastAsia="Arial" w:hAnsi="Arial"/>
          <w:sz w:val="18"/>
          <w:szCs w:val="18"/>
          <w:color w:val="auto"/>
        </w:rPr>
        <w:t>Products for the sports fields and grounds market include riding rotary mowers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attachments, aerators, and debris management products, which include versatile debris vacuums, blowers, and sweepers. Other products include multipurpose vehicles, such as the Toro Workman®, that can be used for turf maintenance, towing, and industrial hauling. These products are sold through distributors, who then sell to owners and/or managers of sports fields, governmental properties, and residential and commercial landscapes, as well as directly to government customers.</w:t>
      </w:r>
    </w:p>
    <w:p>
      <w:pPr>
        <w:spacing w:after="0" w:line="19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Residential/Commercial Irrigation and Lighting Market. </w:t>
      </w:r>
      <w:r>
        <w:rPr>
          <w:rFonts w:ascii="Arial" w:cs="Arial" w:eastAsia="Arial" w:hAnsi="Arial"/>
          <w:sz w:val="18"/>
          <w:szCs w:val="18"/>
          <w:color w:val="auto"/>
        </w:rPr>
        <w:t>Turf irrigation products marketed under the Toro and Irritrol brands include rotors;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sprinkler bodies 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automatic irrigation. Electric controllers activate valves and sprinklers in a typical irrigation system. Both the Toro and Irritrol brands have achieved Environmental Protection Agency ("EPA") WaterSense certification for numerous irrigation controller families and models. Our Irritrol Climate Logic® smart device automatically adjusts irrigation system watering times based on real-time weather data from an on-site sensor combined with historical averages, while our award-winning Toro Precision™ soil sensor wirelessly transmits soil moisture content to an irrigation controller and signals whether or not watering is needed. Our Precision™ Spray Nozzles &amp; Precision™ Soil Sensor are intended to deliver an optimum precipitation rate and superior distribution uniformity, resulting in the use of less water without affecting the health of landscapes. The EVOLUTION® controller is an intuitive, menu-based controller family that offers computer programming, lighting control, multiple soil sensors, smart add-ons, and downloadable updates through a USB device. In fiscal 2014, we launched the T5 Rotor with RapidSet® technology, allowing convenient arc adjustment with no tools, as well as a built-in clutch to protect gear damage.</w:t>
      </w:r>
    </w:p>
    <w:p>
      <w:pPr>
        <w:spacing w:after="0" w:line="215" w:lineRule="exact"/>
        <w:rPr>
          <w:sz w:val="20"/>
          <w:szCs w:val="20"/>
          <w:color w:val="auto"/>
        </w:rPr>
      </w:pPr>
    </w:p>
    <w:p>
      <w:pPr>
        <w:ind w:firstLine="146"/>
        <w:spacing w:after="0" w:line="281" w:lineRule="auto"/>
        <w:rPr>
          <w:sz w:val="20"/>
          <w:szCs w:val="20"/>
          <w:color w:val="auto"/>
        </w:rPr>
      </w:pPr>
      <w:r>
        <w:rPr>
          <w:rFonts w:ascii="Arial" w:cs="Arial" w:eastAsia="Arial" w:hAnsi="Arial"/>
          <w:sz w:val="16"/>
          <w:szCs w:val="16"/>
          <w:color w:val="auto"/>
        </w:rPr>
        <w:t>Our retail irrigation products are marketed under the Toro and Lawn Genie brand names. These products are designed for homeowner installation and include sprinkler heads, valves, timers, sensors, and drip irrigation systems. The XTRA SMART® ECXTRA™ sprinkler timer and its intuitive, online Scheduling Advisor™ recommends the proper watering schedule based on the local weather, plant type, and sprinkler type.</w:t>
      </w:r>
    </w:p>
    <w:p>
      <w:pPr>
        <w:spacing w:after="0" w:line="178"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 purchase our irrigation products. The LIGHT LOGIC™ remote control system provides operators with wireless scene control for landscape lighting and can upgrade existing systems with expanded control. In fiscal 2014, we continued to expand our offering of FLEX™ Series drop-in LEDs to include several high-powered models with a built-in Smart Cool® system that automatically cools down the lamp should the system experience excessive heat. In fiscal 2014, we also acquired certain assets of a quality value-priced line of outdoor lighting fixtures for the landscape lighting market.</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b w:val="1"/>
          <w:bCs w:val="1"/>
          <w:i w:val="1"/>
          <w:iCs w:val="1"/>
          <w:color w:val="auto"/>
        </w:rPr>
        <w:t xml:space="preserve">Snow and Ice Management Market. </w:t>
      </w:r>
      <w:r>
        <w:rPr>
          <w:rFonts w:ascii="Arial" w:cs="Arial" w:eastAsia="Arial" w:hAnsi="Arial"/>
          <w:sz w:val="16"/>
          <w:szCs w:val="16"/>
          <w:color w:val="auto"/>
        </w:rPr>
        <w:t>During the first quarter of fiscal 2015, we acquired the BOSS professional snow and ice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as previously discussed. Products for the snow and ice management market are marketed under the BOSS brand and include snowplows, salt and sand spreaders, and related parts and accessories for light and medium duty trucks, ATVs, UTVs, skid steers, and front-end loaders. These products are mainly sold through distributors and dealers, who then sell to end-users that primarily are the same customers as those in our landscape contractor and grounds equipment markets, such as contractors, municipalities, and other governmental entities.</w:t>
      </w:r>
    </w:p>
    <w:p>
      <w:pPr>
        <w:spacing w:after="0" w:line="16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 xml:space="preserve">Rental and Specialty Construction Market. </w:t>
      </w:r>
      <w:r>
        <w:rPr>
          <w:rFonts w:ascii="Arial" w:cs="Arial" w:eastAsia="Arial" w:hAnsi="Arial"/>
          <w:sz w:val="18"/>
          <w:szCs w:val="18"/>
          <w:color w:val="auto"/>
        </w:rPr>
        <w:t>Our compact utility loaders are the cornerstone products for our Toro Sitework Systems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designed to improve the efficiency in creation and renovation of landscapes. We offer over 35 attachments for our compact utility loaders, including trenchers, augers, vibratory plows, and backhoes.</w:t>
      </w:r>
    </w:p>
    <w:p>
      <w:pPr>
        <w:spacing w:after="0" w:line="202" w:lineRule="exact"/>
        <w:rPr>
          <w:sz w:val="20"/>
          <w:szCs w:val="20"/>
          <w:color w:val="auto"/>
        </w:rPr>
      </w:pPr>
    </w:p>
    <w:p>
      <w:pPr>
        <w:ind w:right="320" w:firstLine="146"/>
        <w:spacing w:after="0" w:line="238" w:lineRule="auto"/>
        <w:rPr>
          <w:sz w:val="20"/>
          <w:szCs w:val="20"/>
          <w:color w:val="auto"/>
        </w:rPr>
      </w:pPr>
      <w:r>
        <w:rPr>
          <w:rFonts w:ascii="Arial" w:cs="Arial" w:eastAsia="Arial" w:hAnsi="Arial"/>
          <w:sz w:val="18"/>
          <w:szCs w:val="18"/>
          <w:color w:val="auto"/>
        </w:rPr>
        <w:t>Products for the rental market include compact utility loaders, walk-behind trenchers, stump grinders, and turf renovation products, many of which are also sold to landscape contractors. We also have a line of rental products that feature concrete and mortar mixers, material handlers, compaction equipment, and other concrete power tools.</w:t>
      </w:r>
    </w:p>
    <w:p>
      <w:pPr>
        <w:spacing w:after="0" w:line="208" w:lineRule="exact"/>
        <w:rPr>
          <w:sz w:val="20"/>
          <w:szCs w:val="20"/>
          <w:color w:val="auto"/>
        </w:rPr>
      </w:pPr>
    </w:p>
    <w:p>
      <w:pPr>
        <w:ind w:right="160" w:firstLine="146"/>
        <w:spacing w:after="0" w:line="275" w:lineRule="auto"/>
        <w:rPr>
          <w:sz w:val="20"/>
          <w:szCs w:val="20"/>
          <w:color w:val="auto"/>
        </w:rPr>
      </w:pPr>
      <w:r>
        <w:rPr>
          <w:rFonts w:ascii="Arial" w:cs="Arial" w:eastAsia="Arial" w:hAnsi="Arial"/>
          <w:sz w:val="16"/>
          <w:szCs w:val="16"/>
          <w:color w:val="auto"/>
        </w:rPr>
        <w:t>Our presence in the specialty construction market is driven by an equipment line of vibratory plows, riding trenchers, horizontal directional drills, and compaction equipment, all of which are used in the installation, repair, and replacement of underground utilities. In fiscal 2014, we introduced the RT600 and RT1200 Riding Trenchers, as well as the DD2024 and DD4045 Directional Drills as Toro-branded products. In addition, in fiscal 2014, we began offering a version of our Pro Sneak™ Vibratory Plow that is compliant with Tier 4 diesel engine emission requirements.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Micro-Irrigation Market. </w:t>
      </w:r>
      <w:r>
        <w:rPr>
          <w:rFonts w:ascii="Arial" w:cs="Arial" w:eastAsia="Arial" w:hAnsi="Arial"/>
          <w:sz w:val="18"/>
          <w:szCs w:val="18"/>
          <w:color w:val="auto"/>
        </w:rPr>
        <w:t>Products for the micro-irrigation market include products that regulate the flow of water for drip irrigation,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Aqua-Traxx® PBX drip tape, Aqua-Traxx® PC (pressure-compensating) drip tape, Blue Stripe® polyethylene tubing, BlueLine® drip line, and NGE® emitters, all used in agriculture, mining, and landscape applications. Global food demand and increased water use restrictions have continued to drive the need for more efficient irrigation solutions for agriculture, including our Neptune® thin wall drip line with flat emitter technology. In addition to these core products, we offer a full complement of control devices and connection options to complete the system, including a software package used to help design drip irrigation systems. These products are sold mainly through dealers and distributors who then sell to end-users for use primarily in vegetable fields, fruit and nut orchards, vineyards, landscapes, and mines.</w:t>
      </w:r>
    </w:p>
    <w:p>
      <w:pPr>
        <w:spacing w:after="0" w:line="18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 xml:space="preserve">Residential </w:t>
      </w:r>
      <w:r>
        <w:rPr>
          <w:rFonts w:ascii="Arial" w:cs="Arial" w:eastAsia="Arial" w:hAnsi="Arial"/>
          <w:sz w:val="18"/>
          <w:szCs w:val="18"/>
          <w:color w:val="auto"/>
        </w:rPr>
        <w:t>– We market our residential products to homeowners through a variety of distribution channels, including outdoor power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distributors and dealers, hardware retailers, home centers, mass retailers, and over the Internet. These products are sold mainly in North America, Europe, and Australia, with the exception of snow thrower products that are sold primarily in North America and Europe. We also license our trademark on certain home solutions products as a means of expanding our brand presence.</w:t>
      </w:r>
    </w:p>
    <w:p>
      <w:pPr>
        <w:spacing w:after="0" w:line="18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Walk Power Mower Products. </w:t>
      </w:r>
      <w:r>
        <w:rPr>
          <w:rFonts w:ascii="Arial" w:cs="Arial" w:eastAsia="Arial" w:hAnsi="Arial"/>
          <w:sz w:val="18"/>
          <w:szCs w:val="18"/>
          <w:color w:val="auto"/>
        </w:rPr>
        <w:t>We manufacture and market numerous walk power mower models under our Toro and Lawn-Boy brand names,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Hayter brand in the United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Kingdom. Models differ as to cutting width, type of starter mechanism, method of grass clipping discharge, deck type, operational controls, and power sources, and are either self-propelled or push mowers. We also offer a line of rear-roller walk power mowers, a design that provides a striped finish, for the United Kingdom market. In fiscal 2014, we introduced the new Toro® Recycler with SmartStow® that allows the mower to be stored vertically, thereby reducing space needed for storage. The new Toro® Recycler also features variable speed self propel with front wheel drive that is designed to easily maneuver in tight spaces. In addition, in fiscal 2014, we launched a line of Lawn-Boy 21² walk power mowers that are sold at The Home Depot.</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Riding Products. </w:t>
      </w:r>
      <w:r>
        <w:rPr>
          <w:rFonts w:ascii="Arial" w:cs="Arial" w:eastAsia="Arial" w:hAnsi="Arial"/>
          <w:sz w:val="18"/>
          <w:szCs w:val="18"/>
          <w:color w:val="auto"/>
        </w:rPr>
        <w:t>We manufacture and market riding products under the Toro brand name. Riding products primarily consist of zero-turn radius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mowers that are designed to save homeowners time by using superior maneuverability to cut around obstacles more quickly and easily than tractor technology. Our TimeCutter® SS zero-turn radius mowers are equipped with our Smart Speed® control system, which is designed to allow the operator to choose different ground speed ranges with the flip of a lever without changing the blade or engine speed. We also sell direct-collect riding mowers that are manufactured and sold in the European market. Many models of our riding products are available with a variety of engines, decks, transmissions, and accessories. In fiscal 2014, we redesigned our TITAN™ line of zero-turn mowers that combine features similar to those found on our commercial line of zero-turn mowers, such as a heavy-duty frame and commercial-grade transmission, with the user-friendly features akin to our residential zero-turn mowers, such as the contoured 18² extra tall seat with armrests.</w:t>
      </w:r>
    </w:p>
    <w:p>
      <w:pPr>
        <w:spacing w:after="0" w:line="20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i w:val="1"/>
          <w:iCs w:val="1"/>
          <w:color w:val="auto"/>
        </w:rPr>
        <w:t xml:space="preserve">Home Solutions Products. </w:t>
      </w:r>
      <w:r>
        <w:rPr>
          <w:rFonts w:ascii="Arial" w:cs="Arial" w:eastAsia="Arial" w:hAnsi="Arial"/>
          <w:sz w:val="18"/>
          <w:szCs w:val="18"/>
          <w:color w:val="auto"/>
        </w:rPr>
        <w:t>We design and market home solutions products under the Toro and Pope brand names, including electric,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cordless grass trimmers; electric and cordless hedge trimmers; and electric, gas, and cordless blower-vacuums. In Australia, we also design and market underground and hose-end retail irrigation products under the Pope brand name. In fiscal 2014, we introduced a lithium-ion battery-powered 48V Max 13² dual-line string trimmer that features variable speed control for multiple applications and performance without the hassle or maintenance of a gas-powered engine.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Snow Thrower Products. </w:t>
      </w:r>
      <w:r>
        <w:rPr>
          <w:rFonts w:ascii="Arial" w:cs="Arial" w:eastAsia="Arial" w:hAnsi="Arial"/>
          <w:sz w:val="18"/>
          <w:szCs w:val="18"/>
          <w:color w:val="auto"/>
        </w:rPr>
        <w:t>We manufacture and market a range of gas-powered single-stage and two-stage snow thrower models,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electric snow thrower models. Single-stage snow throwers are walk behind units with lightweight four-cycle gasoline engines. Most single-stage snow thrower models include Power Curve® snow thrower technology, and some feature our Quick Shoot™ control system that is designed to enable operators to quickly change snow-throwing direction. Our pivoting scraper is designed to keep the rotor in constant contact with the pavement. In fiscal 2014, we made a number of performance-improving enhancements to our single-stage snow thrower models, such as a Toro Premium engine, extended life paddles, and a heavy-duty drive belt. Our two-stage snow throwers are generally designed for relatively large areas of deep and heavy snow. Our two-stage snow throwers include a line of models featuring our patented Anti-Clogging System and Quick Stick® chute control technology. Our electric snow throwers are lightweight and ideal for clearing up to 6 inches of snow from decks, steps, sidewalks, and small driveways.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International Operations and Business Segments</w:t>
      </w:r>
    </w:p>
    <w:p>
      <w:pPr>
        <w:spacing w:after="0" w:line="23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We currently manufacture our products in the United States ("U.S."), Mexico, Australia, the United Kingdom, Italy, Romania, and China for sale throughout the world. We maintain sales offices in the United States, Belgium, the United Kingdom, Australia, Singapore, Japan, China, Italy, Korea, and Germany. New product development is pursued primarily in the United States. Our net sales outside the U.S. were 28.7 percent, 30.1 percent, and 30.3 percent of total consolidated net sales for fiscal 2014, 2013, and 2012, respectively.</w:t>
      </w:r>
    </w:p>
    <w:p>
      <w:pPr>
        <w:spacing w:after="0" w:line="209" w:lineRule="exact"/>
        <w:rPr>
          <w:sz w:val="20"/>
          <w:szCs w:val="20"/>
          <w:color w:val="auto"/>
        </w:rPr>
      </w:pPr>
    </w:p>
    <w:p>
      <w:pPr>
        <w:jc w:val="both"/>
        <w:ind w:right="20" w:firstLine="137"/>
        <w:spacing w:after="0" w:line="236"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international operations and geographical areas, and each of our three reportable business segments, see Note 12 of the Notes to Consolidated Financial Statements, in the section entitled "Segment Data," included in Part II, Item 8, "Financial Statements and Supplementary Data"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process. We strive to make improvements to our new product development system as part of our continuing focus on Lean methods to shorten development time, reduce costs, and improve quality.</w:t>
      </w:r>
    </w:p>
    <w:p>
      <w:pPr>
        <w:spacing w:after="0" w:line="209"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$69.7 million (3.2 percent of net sales) in fiscal 2014, $64.6 million (3.2 percent of net sales) in fiscal 2013, and $60.1 million (3.1 percent of net sales) in fiscal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have strategically identified specific core manufacturing competencies for vertical integration, such as injection molding, extrusion, welding, painting, machining, and aluminum die casting,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209"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safety improvements, and improved supply-chain management. We also have some agreements with other third party manufacturers to manufacture products on our behalf.</w:t>
      </w:r>
    </w:p>
    <w:p>
      <w:pPr>
        <w:spacing w:after="0" w:line="211"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Our professional products are manufactured throughout the year, including the snow and ice management products from our recent acquisition of the BOSS business, as previously discussed. Our residential lawn and garden products are also generally manufactured throughout the year. However, our residential snow thrower products are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10" w:lineRule="exact"/>
        <w:rPr>
          <w:sz w:val="20"/>
          <w:szCs w:val="20"/>
          <w:color w:val="auto"/>
        </w:rPr>
      </w:pPr>
    </w:p>
    <w:p>
      <w:pPr>
        <w:ind w:right="80" w:firstLine="146"/>
        <w:spacing w:after="0" w:line="275" w:lineRule="auto"/>
        <w:rPr>
          <w:sz w:val="20"/>
          <w:szCs w:val="20"/>
          <w:color w:val="auto"/>
        </w:rPr>
      </w:pPr>
      <w:r>
        <w:rPr>
          <w:rFonts w:ascii="Arial" w:cs="Arial" w:eastAsia="Arial" w:hAnsi="Arial"/>
          <w:sz w:val="16"/>
          <w:szCs w:val="16"/>
          <w:color w:val="auto"/>
        </w:rPr>
        <w:t>Our production levels and inventory management goals are based on estimates of retail demand for our products, taking into account production capacity,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and dealers.</w:t>
      </w:r>
    </w:p>
    <w:p>
      <w:pPr>
        <w:spacing w:after="0" w:line="183"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and as needed, to adjust for market demand. Capital expenditures for fiscal 2015 are planned to be approximately $75 million as we expect to continue to invest in new product tooling, new technology in production processes and equipment, replacement production equipment, as well as renovations of our original corporate facility located in Bloomington, Minnesota to accommodate expansion needs of our product development and test capacities.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During fiscal 2014, we experienced slightly higher average commodity prices compared to the average prices paid for commodities in fiscal 2013, which hindered our gross margin growth rate in fiscal 2014 as compared to fiscal 2013. We anticipate commodity prices in fiscal 2015 to be slightly higher compared to average prices paid for commodities during fiscal 2014. Historically, we have mitigated, and we currently expect to continue to mitigate, commodity cost increases, in part, by collaborating with suppliers, reviewing alternative sourcing options, substituting materials, engaging in internal cost reduction efforts, and increasing prices on some of our products, all as appropriate.</w:t>
      </w:r>
    </w:p>
    <w:p>
      <w:pPr>
        <w:spacing w:after="0" w:line="187"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Most of the raw materials and components used in our products are also affected by commodity cost pressures, are commercially available from a number of sources, and are in adequate supply. However, certain of our components are sourced from single suppliers. In fiscal 2014, we experienced no significant work stoppages because of shortages of raw materials or commodities. The highest raw material and component costs are generally for steel, engines, hydraulic components, transmissions, plastic resin, and electric motors, all of which we purchase from several suppliers around the world.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34"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185" w:lineRule="exact"/>
        <w:rPr>
          <w:sz w:val="20"/>
          <w:szCs w:val="20"/>
          <w:color w:val="auto"/>
        </w:rPr>
      </w:pPr>
    </w:p>
    <w:p>
      <w:pPr>
        <w:jc w:val="both"/>
        <w:ind w:right="60" w:firstLine="146"/>
        <w:spacing w:after="0" w:line="236" w:lineRule="auto"/>
        <w:rPr>
          <w:sz w:val="20"/>
          <w:szCs w:val="20"/>
          <w:color w:val="auto"/>
        </w:rPr>
      </w:pPr>
      <w:r>
        <w:rPr>
          <w:rFonts w:ascii="Arial" w:cs="Arial" w:eastAsia="Arial" w:hAnsi="Arial"/>
          <w:sz w:val="18"/>
          <w:szCs w:val="18"/>
          <w:color w:val="auto"/>
        </w:rPr>
        <w:t>We regularly review certain patents issued by the United States Patent and Trademark Office ("USPTO") and international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w:t>
      </w:r>
    </w:p>
    <w:p>
      <w:pPr>
        <w:spacing w:after="0" w:line="211"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Similarly, we periodically monitor various trademark registers and the market to prevent infringement of and damage to our trademarks by others. We are currently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Sales of our residential products, which accounted for 31 percent of total consolidated net sales in fiscal 2014, are seasonal, with sales of lawn and garden products occurring primarily between February and June, depending upon seasonal weather conditions and demand for our products. Sales of snow thrower products occur primarily between July and January, depending upon prior season snow falls, preseason demand, and product availability. Opposite seasons in global markets in which we sell our products somewhat moderate this seasonality of our residential product sales. Seasonality of professional product sales also exists but is tempered because the selling season in the Southern U.S. and our markets in the Southern hemisphere continue for a longer portion of the year than in Northern regions of the world. With our recent acquisition of professional snow and ice management products, sales of snowplows and salt and sand spreaders occur primarily between May and December.</w:t>
      </w:r>
    </w:p>
    <w:p>
      <w:pPr>
        <w:spacing w:after="0" w:line="185"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Overall, our worldwide sales levels are historically highest in our fiscal second quarter and retail demand is generally highest in our fiscal third quarter. Typically, our accounts receivable balances increase between January and April because of higher sales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balances, cash flows from operations, and our bank credit lines.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6972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2014</w:t>
            </w:r>
          </w:p>
        </w:tc>
        <w:tc>
          <w:tcPr>
            <w:tcW w:w="320" w:type="dxa"/>
            <w:vAlign w:val="bottom"/>
          </w:tcPr>
          <w:p>
            <w:pPr>
              <w:spacing w:after="0"/>
              <w:rPr>
                <w:sz w:val="17"/>
                <w:szCs w:val="17"/>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Fiscal 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Net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Sales</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Sales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8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First</w:t>
            </w:r>
          </w:p>
        </w:tc>
        <w:tc>
          <w:tcPr>
            <w:tcW w:w="7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b w:val="1"/>
                <w:bCs w:val="1"/>
                <w:color w:val="auto"/>
              </w:rPr>
              <w:t>21%</w:t>
            </w:r>
          </w:p>
        </w:tc>
        <w:tc>
          <w:tcPr>
            <w:tcW w:w="10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b w:val="1"/>
                <w:bCs w:val="1"/>
                <w:color w:val="auto"/>
              </w:rPr>
              <w:t>15%</w:t>
            </w:r>
          </w:p>
        </w:tc>
        <w:tc>
          <w:tcPr>
            <w:tcW w:w="68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rPr>
              <w:t>22%</w:t>
            </w:r>
          </w:p>
        </w:tc>
        <w:tc>
          <w:tcPr>
            <w:tcW w:w="8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34</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50</w:t>
            </w:r>
          </w:p>
        </w:tc>
        <w:tc>
          <w:tcPr>
            <w:tcW w:w="680" w:type="dxa"/>
            <w:vAlign w:val="bottom"/>
          </w:tcPr>
          <w:p>
            <w:pPr>
              <w:ind w:left="260"/>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26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29</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19</w:t>
            </w: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6</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U.S. increases, our dependency on weather in any one part of the world decreases. Nonetheless, weather conditions could materially affect our future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renovation, and upgrading of existing facilities; as well as for financing receivables from customers that are not financed with Red Iron. We fund our operations through a combination of cash and cash equivalents, cash flows from operations, short-term borrowings under our credit facilities, and long-term debt. Cash management is centralized, and intercompany financing is used, wherever possible, to provide working capital to wholly owned subsidiaries as needed. In addition, our credit facilities are available for additional working capital needs, acquisitions, or other investment opportunities.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market the majority of our products through approximately 35 domestic and 110 international distributors, as well as a large number of outdoor power equipment dealers, irrigation dealers and distributors, hardware retailers, home centers, and mass retailers in more than 90 countries worldwide. We also added approximately two distributors and 150 dealers to our distribution network with our recent acquisition of the BOSS professional snow and ice management business.</w:t>
      </w:r>
    </w:p>
    <w:p>
      <w:pPr>
        <w:spacing w:after="0" w:line="209"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Professional products are sold to distributors/dealers primarily for resale to golf courses, sports fields, industrial facilities, contractors, and government customers, and in some markets for resale to dealers. We also sell some professional segment products directly to government customers, rental companies, and agricultural irrigation dealers, as well as to end-users in certain international markets. Select residential/commercial irrigation and lighting products are sold to professional irrigation and lighting distributors/dealers, and certain retail irrigation products are sold directly to home centers. Products for the rental and specialty construction market are sold directly to dealers and rental companies. Toro and Exmark landscape contractor products are also sold directly to dealers in certain regions of North America. BOSS snow and ice management products are sold to distributors and dealers for resale to contractors.</w:t>
      </w:r>
    </w:p>
    <w:p>
      <w:pPr>
        <w:spacing w:after="0" w:line="209" w:lineRule="exact"/>
        <w:rPr>
          <w:sz w:val="20"/>
          <w:szCs w:val="20"/>
          <w:color w:val="auto"/>
        </w:rPr>
      </w:pPr>
    </w:p>
    <w:p>
      <w:pPr>
        <w:ind w:firstLine="146"/>
        <w:spacing w:after="0" w:line="273" w:lineRule="auto"/>
        <w:rPr>
          <w:sz w:val="20"/>
          <w:szCs w:val="20"/>
          <w:color w:val="auto"/>
        </w:rPr>
      </w:pPr>
      <w:r>
        <w:rPr>
          <w:rFonts w:ascii="Arial" w:cs="Arial" w:eastAsia="Arial" w:hAnsi="Arial"/>
          <w:sz w:val="16"/>
          <w:szCs w:val="16"/>
          <w:color w:val="auto"/>
        </w:rPr>
        <w:t>Residential products, such as walk power mowers, riding products, and snow throwers, are generally sold directly to home centers, dealers, hardware retailers, and mass retailers. In certain markets, these same products are sold to distributors for resale to hardware retailers and dealers. Home solutions products are primarily sold directly to home centers, mass retailers, and hardware retailers. We also sell select residential products over the Internet. Internationally, residential products are sold directly to dealers and mass merchandisers in Australia, Canada, and select countries in Europe. In most other countries, residential products are mainly sold to distributors for resale to dealers and mass retailers.</w:t>
      </w:r>
    </w:p>
    <w:p>
      <w:pPr>
        <w:spacing w:after="0" w:line="183" w:lineRule="exact"/>
        <w:rPr>
          <w:sz w:val="20"/>
          <w:szCs w:val="20"/>
          <w:color w:val="auto"/>
        </w:rPr>
      </w:pPr>
    </w:p>
    <w:p>
      <w:pPr>
        <w:ind w:right="320" w:firstLine="146"/>
        <w:spacing w:after="0" w:line="238" w:lineRule="auto"/>
        <w:rPr>
          <w:sz w:val="20"/>
          <w:szCs w:val="20"/>
          <w:color w:val="auto"/>
        </w:rPr>
      </w:pPr>
      <w:r>
        <w:rPr>
          <w:rFonts w:ascii="Arial" w:cs="Arial" w:eastAsia="Arial" w:hAnsi="Arial"/>
          <w:sz w:val="18"/>
          <w:szCs w:val="18"/>
          <w:color w:val="auto"/>
        </w:rPr>
        <w:t>During fiscal 2014, we owned two domestic distribution companies. Our primary purposes in owning domestic distributorships are to facilitate ownership transfers while improving operations and to test and deploy new strategies and business practices that could be replicated by our independent distributors.</w:t>
      </w:r>
    </w:p>
    <w:p>
      <w:pPr>
        <w:spacing w:after="0" w:line="208" w:lineRule="exact"/>
        <w:rPr>
          <w:sz w:val="20"/>
          <w:szCs w:val="20"/>
          <w:color w:val="auto"/>
        </w:rPr>
      </w:pPr>
    </w:p>
    <w:p>
      <w:pPr>
        <w:ind w:right="120" w:firstLine="146"/>
        <w:spacing w:after="0" w:line="237" w:lineRule="auto"/>
        <w:rPr>
          <w:sz w:val="20"/>
          <w:szCs w:val="20"/>
          <w:color w:val="auto"/>
        </w:rPr>
      </w:pPr>
      <w:r>
        <w:rPr>
          <w:rFonts w:ascii="Arial" w:cs="Arial" w:eastAsia="Arial" w:hAnsi="Arial"/>
          <w:sz w:val="18"/>
          <w:szCs w:val="18"/>
          <w:color w:val="auto"/>
        </w:rPr>
        <w:t>Our distribution systems are intended to assure quality of sales and market presence, as well as to provide effective after-purchase service and support. We believe our distribution network provides a competitive advantage in marketing and selling our products, in part, because our primary distribution network is focused on selling and marketing our products, and because of the long-term relationships they have established and experienced personnel they utilize to deliver high levels of customer satisfaction.</w:t>
      </w:r>
    </w:p>
    <w:p>
      <w:pPr>
        <w:spacing w:after="0" w:line="209" w:lineRule="exact"/>
        <w:rPr>
          <w:sz w:val="20"/>
          <w:szCs w:val="20"/>
          <w:color w:val="auto"/>
        </w:rPr>
      </w:pPr>
    </w:p>
    <w:p>
      <w:pPr>
        <w:ind w:right="440" w:firstLine="146"/>
        <w:spacing w:after="0" w:line="23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Irritrol®, Hayter®, Pope®, Unique Lighting Systems®, Lawn-Boy®, Lawn Genie®, and BOSS® products.</w:t>
      </w:r>
    </w:p>
    <w:p>
      <w:pPr>
        <w:spacing w:after="0" w:line="209"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We advertise our residential products during appropriate seasons throughout the year mainly on television, on the radio, in print, and via the Internet. Professional products are advertised mainly in print and through direct mail programs, as well as on the Internet. Most of our advertising emphasizes our products, brands, and other valuable trademarks. Advertising is purchased by us, as well as through cooperative programs with distributors, dealers, hardware retailers, home centers, and mass retailers.</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Overall, we believe that in the long-term we are not dependent on any single customer; however, the Residential segment of our business is dependent on The Home Depot as a customer, which accounted for approximately 11 percent and 10 percent of our total consolidated gross sales in fiscal 2014 and 2013, respectively.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backlog of orders is dependent upon when customers place orders and is not necessarily an indicator of our expected results for our fiscal 2015 net sales. The approximate backlog of orders as of October 31, 2014 and 2013 was $136.5 million and $91.2 million, respectively, an increase of 49.8 percent. This increase was primarily due to strong orders of our professional segment products subject to the continued phase-in of Tier 4 diesel engine emission requirements before we implement price increases for products subject to these regulations. In addition, strong demand for snow thrower products late in fiscal 2014 also contributed to the increase in our backlog of orders as of the end of fiscal 2014 compared to the end of fiscal 2013. We expect the existing backlog of orders will be filled in early fiscal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maintaining turf and landscapes, and our distribution channels position us well to compete in various markets.</w:t>
      </w:r>
    </w:p>
    <w:p>
      <w:pPr>
        <w:spacing w:after="0" w:line="187" w:lineRule="exact"/>
        <w:rPr>
          <w:sz w:val="20"/>
          <w:szCs w:val="20"/>
          <w:color w:val="auto"/>
        </w:rPr>
      </w:pPr>
    </w:p>
    <w:p>
      <w:pPr>
        <w:ind w:right="80" w:firstLine="146"/>
        <w:spacing w:after="0" w:line="237" w:lineRule="auto"/>
        <w:rPr>
          <w:sz w:val="20"/>
          <w:szCs w:val="20"/>
          <w:color w:val="auto"/>
        </w:rPr>
      </w:pPr>
      <w:r>
        <w:rPr>
          <w:rFonts w:ascii="Arial" w:cs="Arial" w:eastAsia="Arial" w:hAnsi="Arial"/>
          <w:sz w:val="18"/>
          <w:szCs w:val="18"/>
          <w:color w:val="auto"/>
        </w:rPr>
        <w:t>Internationally, our residential segment products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provide pricing support, as needed, to foreign customers to remain competitive in international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subject to numerous international, federal, state, and other governmental laws, rules, and regulations relating to, among others, climate change; emissions to air and discharges to water; restrictions placed on water usage and water availability; product and associated packaging;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210" w:lineRule="exact"/>
        <w:rPr>
          <w:sz w:val="20"/>
          <w:szCs w:val="20"/>
          <w:color w:val="auto"/>
        </w:rPr>
      </w:pPr>
    </w:p>
    <w:p>
      <w:pPr>
        <w:ind w:left="540" w:right="20" w:hanging="532"/>
        <w:spacing w:after="0" w:line="26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United States EPA, the California Air Resources Board, and similar regulators in other U.S. states and foreign jurisdictions in which we sell our products have phased in, or are phasing in, emission regulations setting maximum emission standards for certain equipment. Specifically, the EPA adopted increasingly stringent engine emission regulations, including Tier 4 emission requirements applicable to diesel engines in specified horsepower ranges that are used in some of our professional segment products. Beginning January 1, 2013, such requirements expanded to additional horsepower categories and, accordingly, applied to more of our products. Similar emission regulations are also being considered in other markets in which we sell our products, such as the European Union ("EU") and China.</w:t>
      </w:r>
    </w:p>
    <w:p>
      <w:pPr>
        <w:spacing w:after="0" w:line="5" w:lineRule="exact"/>
        <w:rPr>
          <w:rFonts w:ascii="Arial" w:cs="Arial" w:eastAsia="Arial" w:hAnsi="Arial"/>
          <w:sz w:val="16"/>
          <w:szCs w:val="16"/>
          <w:color w:val="auto"/>
        </w:rPr>
      </w:pPr>
    </w:p>
    <w:p>
      <w:pPr>
        <w:ind w:left="540" w:hanging="532"/>
        <w:spacing w:after="0" w:line="23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 federal government, several U.S. states, and certain international jurisdictions in which we sell our products, including the EU and each of its member states, have implemented one or more of the following: (i) product life-cycle laws, rules, or regulations, which are intended to reduce waste and environmental and human health impact, and require manufacturers to collect, dispose, and recycle certain products, including some of our products, at the end of their useful life, including the Waste Electrical and Electronic Equipment ("WEEE") directive or similar product life-cycle management laws, rules, or regulations, which mandate the labeling, collection, and disposal of specified waste electrical and electronic equipment, including some of our products; (ii) the Restriction on the use of Hazardous Substances ("RoHS") directive or similar substance level laws, rules, or regulations, which restrict the use of several specified hazardous materials in the manufacture of specific types of electrical and electronic equipment, including some of our products; (iii) the Registration, Evaluation, Authorization and Restriction of Chemicals ("REACH") directive or similar substance level laws, rules, or regulations that require notification of use of certain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0"/>
        <w:spacing w:after="0" w:line="273" w:lineRule="auto"/>
        <w:rPr>
          <w:sz w:val="20"/>
          <w:szCs w:val="20"/>
          <w:color w:val="auto"/>
        </w:rPr>
      </w:pPr>
      <w:r>
        <w:rPr>
          <w:rFonts w:ascii="Arial" w:cs="Arial" w:eastAsia="Arial" w:hAnsi="Arial"/>
          <w:sz w:val="16"/>
          <w:szCs w:val="16"/>
          <w:color w:val="auto"/>
        </w:rPr>
        <w:t>chemicals, or ban or restrict the use of certain chemicals; (iv) country of origin 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including some of our products; and (vi) outdoor noise laws, which are intended to reduce noise emissions in the environment from outdoor equipment.</w:t>
      </w:r>
    </w:p>
    <w:p>
      <w:pPr>
        <w:spacing w:after="0" w:line="183" w:lineRule="exact"/>
        <w:rPr>
          <w:sz w:val="20"/>
          <w:szCs w:val="20"/>
          <w:color w:val="auto"/>
        </w:rPr>
      </w:pPr>
    </w:p>
    <w:p>
      <w:pPr>
        <w:ind w:left="540" w:right="240" w:hanging="532"/>
        <w:spacing w:after="0" w:line="299"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products, when used by residential customers, may be subject to various federal, state, and international laws, rules, and regulations that are designed to protect consumers, including rules and regulations of the United States Consumer Product Safety Commission.</w:t>
      </w:r>
    </w:p>
    <w:p>
      <w:pPr>
        <w:spacing w:after="0" w:line="163" w:lineRule="exact"/>
        <w:rPr>
          <w:sz w:val="20"/>
          <w:szCs w:val="20"/>
          <w:color w:val="auto"/>
        </w:rPr>
      </w:pPr>
    </w:p>
    <w:p>
      <w:pPr>
        <w:ind w:right="60" w:firstLine="137"/>
        <w:spacing w:after="0" w:line="236" w:lineRule="auto"/>
        <w:rPr>
          <w:sz w:val="20"/>
          <w:szCs w:val="20"/>
          <w:color w:val="auto"/>
        </w:rPr>
      </w:pPr>
      <w:r>
        <w:rPr>
          <w:rFonts w:ascii="Arial" w:cs="Arial" w:eastAsia="Arial" w:hAnsi="Arial"/>
          <w:sz w:val="18"/>
          <w:szCs w:val="18"/>
          <w:color w:val="auto"/>
        </w:rPr>
        <w:t>Although we believe that we are in substantial compliance with currently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laws, rules, or regulations could lead to fines and other penalties, including restrictions on the importation of our products into, or the sale of our products in, one or more jurisdictions until compliance is achieved.</w:t>
      </w:r>
    </w:p>
    <w:p>
      <w:pPr>
        <w:spacing w:after="0" w:line="210" w:lineRule="exact"/>
        <w:rPr>
          <w:sz w:val="20"/>
          <w:szCs w:val="20"/>
          <w:color w:val="auto"/>
        </w:rPr>
      </w:pPr>
    </w:p>
    <w:p>
      <w:pPr>
        <w:ind w:right="400" w:firstLine="146"/>
        <w:spacing w:after="0" w:line="23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We are party to a joint venture with TCF Inventory Finance, Inc. ("TCFIF"), a subsidiary of TCF National Bank,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Red Iron Acceptance, LLC ("Red Iron"). The purpose of Red Iron is to provide inventory financing, including floor plan and open account receivable financing, to distributors and dealers of our products in the U.S. and select distributors of our products in Canada.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09"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micro-irrigation dealers and distributors; government customers; rental companies; and distributors and dealers in our recently acquired BOSS professional snow and ice management business until such time as these customers may transition to our Red Iron financing joint venture. Some independent international dealers continue to finance their products with third party sources.</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and select countries in Europe. The purpose of these agreements is to increase sales by giving buyers of our products alternative financing options when purchasing our products.</w:t>
      </w:r>
    </w:p>
    <w:p>
      <w:pPr>
        <w:spacing w:after="0" w:line="202" w:lineRule="exact"/>
        <w:rPr>
          <w:sz w:val="20"/>
          <w:szCs w:val="20"/>
          <w:color w:val="auto"/>
        </w:rPr>
      </w:pPr>
    </w:p>
    <w:p>
      <w:pPr>
        <w:jc w:val="both"/>
        <w:ind w:right="180" w:firstLine="146"/>
        <w:spacing w:after="0" w:line="238" w:lineRule="auto"/>
        <w:rPr>
          <w:sz w:val="20"/>
          <w:szCs w:val="20"/>
          <w:color w:val="auto"/>
        </w:rPr>
      </w:pPr>
      <w:r>
        <w:rPr>
          <w:rFonts w:ascii="Arial" w:cs="Arial" w:eastAsia="Arial" w:hAnsi="Arial"/>
          <w:sz w:val="18"/>
          <w:szCs w:val="18"/>
          <w:color w:val="auto"/>
        </w:rPr>
        <w:t>We also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Occasionally, we enter into long-term loan agreements with some distributors. These transactions are used for expansion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distributors' businesses, acquisitions, refinancing working capital agreements, or ownership transitions. As of October 31, 2014, we had an outstanding note receivable from one company in the aggregate amount of $1.1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During fiscal 2014, we employed an average of 5,979 employees. The total number of employees as of October 31, 2014 was 6,134. We consider our employee relations to be good. As of October 31, 2014, three collective bargaining agreements, each expiring in October 2016, October 2017, and May 2018, cover approximately 15 percent of our total employees. Subsequent to fiscal 2014, as a result of our acquisition of the BOSS business, we recently negotiated a collective bargaining agreement for our operations in Iron Mountain, Michigan that will expire in March 2018. We also retain temporary and seasonal workers, mainly at our distribution centers and manufacturing facilities, as well as part-time workers, independent contractors, and consultants.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211"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We make available, free of charge on our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"can," "will," "would," "possible," "may," "likely," "intend,"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Forward-looking statements involve risks and uncertainties that could cause actual results to differ materially from those projected or implied. The most significant factors known to us that could materially adversely affect our business,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15" w:lineRule="exact"/>
        <w:rPr>
          <w:sz w:val="20"/>
          <w:szCs w:val="20"/>
          <w:color w:val="auto"/>
        </w:rPr>
      </w:pPr>
    </w:p>
    <w:p>
      <w:pPr>
        <w:ind w:right="340" w:firstLine="146"/>
        <w:spacing w:after="0" w:line="238" w:lineRule="auto"/>
        <w:rPr>
          <w:sz w:val="20"/>
          <w:szCs w:val="20"/>
          <w:color w:val="auto"/>
        </w:rPr>
      </w:pPr>
      <w:r>
        <w:rPr>
          <w:rFonts w:ascii="Arial" w:cs="Arial" w:eastAsia="Arial" w:hAnsi="Arial"/>
          <w:sz w:val="18"/>
          <w:szCs w:val="18"/>
          <w:color w:val="auto"/>
        </w:rPr>
        <w:t>We undertake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42"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reputation, operating results, financial condition, or future financial performance.</w:t>
      </w:r>
    </w:p>
    <w:p>
      <w:pPr>
        <w:spacing w:after="0" w:line="18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If economic conditions and outlook in the United States and in other countries in which we conduct business do not continue to improve or if they worsen, our net sales and earnings could be adversely affected.</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Economic conditions and outlook in the U.S. and in other countries in which we conduct business can impact demand for our products and, ultimately, our net sales and earnings. These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components costs and fuel prices; inflationary or deflationary pressures; reduced credit availability or unfavorable credit terms for our distributors, dealers,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 If economic conditions and outlook in the U.S. and in other countries in which we conduct business do not continue to improve, or if they worsen, our net sales and earnings could be adversely affected in the future.</w:t>
      </w:r>
    </w:p>
    <w:p>
      <w:pPr>
        <w:spacing w:after="0" w:line="19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Weather conditions may reduce demand for some of our products and adversely affect our net sales or otherwise adversely affect our operating results.</w:t>
      </w:r>
    </w:p>
    <w:p>
      <w:pPr>
        <w:spacing w:after="0" w:line="18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From time to time, weather conditions in a particular geographic region may adversely affect sales, demand,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and may have an adverse effect on sales of products of our BOSS professional snow and ice management business. Similarly, adverse weather conditions in one season may negatively impact customer purchasing patterns and our net sales for some of our products in another season. For example, lower snow 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operating results may be affected to a greater degree than we have previously experienced.</w:t>
      </w:r>
    </w:p>
    <w:p>
      <w:pPr>
        <w:spacing w:after="0" w:line="3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Increases in the cost of raw materials and components that we purchase and/or increases in our other costs of doing business, such as transportation costs, may adversely affect our profit margins and businesses.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Historically, we have mitigated commodity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 Increases in our other costs of doing business may also adversely affect our profit margins and businesses. For example, an increase in fuel costs may result in an increase in our transportation costs, which also could adversely affect our operating results and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in the availability of raw materials and components used in our products may adversely affect our business.</w:t>
      </w:r>
    </w:p>
    <w:p>
      <w:pPr>
        <w:spacing w:after="0" w:line="23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Although most of the raw materials and components used in our products are generally commercially available from a number of sources and in adequate supply, certain components are sourced from single suppliers. Any disruption in the availability of raw materials and components from our suppliers, our inability to timely or otherwise obtain substitutes for such items, or any deterioration in our relationships with or the financial viability of our suppliers could adversely affect our business.</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acceptance of and demand for micro-irrigation solutions for agricultural markets; the integration of the BOSS business into our professional portfolio; the demand for our products in the rental and specialty construction market; the availability of cash or credit to professional segment customers on acceptable terms to finance new product purchases; and the amount of government revenues, budget, and spending levels for grounds maintenance equipment.</w:t>
      </w:r>
    </w:p>
    <w:p>
      <w:pPr>
        <w:spacing w:after="0" w:line="21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Our professional segment products are sold by distributors or dealers, or directly to government customers, rental companies, and professional users engaged in maintaining and creating properties and landscapes, such as golf courses, sports fields, residential and commercial properties and landscapes, and governmental and municipal properties. Accordingly, our professional segment net sales are impacted by golf course revenues and the amount of investment in golf course renovations and improvements; the level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of new golf course development and golf course closures; the level of homeowners who outsource their lawn care; acceptance of and demand for micro-irrigation solutions for agricultural markets; the integration of the BOSS business into our professional portfolio; the demand for our products in the rental and specialty construction market; the level of residential and commercial construction; availability of cash or credit on acceptable terms to finance new product purchases; and the amount of government spending for new grounds maintenance equipment. Among other things, any one or a combination of the following factors could have an adverse effect on our professional segment net sales:</w:t>
      </w:r>
    </w:p>
    <w:p>
      <w:pPr>
        <w:spacing w:after="0" w:line="211" w:lineRule="exact"/>
        <w:rPr>
          <w:sz w:val="20"/>
          <w:szCs w:val="20"/>
          <w:color w:val="auto"/>
        </w:rPr>
      </w:pPr>
    </w:p>
    <w:p>
      <w:pPr>
        <w:ind w:left="540" w:right="120" w:hanging="532"/>
        <w:spacing w:after="0" w:line="26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8" w:lineRule="exact"/>
        <w:rPr>
          <w:rFonts w:ascii="Arial" w:cs="Arial" w:eastAsia="Arial" w:hAnsi="Arial"/>
          <w:sz w:val="16"/>
          <w:szCs w:val="16"/>
          <w:color w:val="auto"/>
        </w:rPr>
      </w:pPr>
    </w:p>
    <w:p>
      <w:pPr>
        <w:ind w:left="540" w:right="10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ind w:left="540" w:right="34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acceptance of and demand for micro-irrigation solutions for agricultural markets and our products in the rental and specialty construction market;</w:t>
      </w:r>
    </w:p>
    <w:p>
      <w:pPr>
        <w:spacing w:after="0" w:line="6" w:lineRule="exact"/>
        <w:rPr>
          <w:rFonts w:ascii="Arial" w:cs="Arial" w:eastAsia="Arial" w:hAnsi="Arial"/>
          <w:sz w:val="18"/>
          <w:szCs w:val="18"/>
          <w:color w:val="auto"/>
        </w:rPr>
      </w:pPr>
    </w:p>
    <w:p>
      <w:pPr>
        <w:ind w:left="540" w:right="38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 and</w:t>
      </w:r>
    </w:p>
    <w:p>
      <w:pPr>
        <w:spacing w:after="0" w:line="1" w:lineRule="exact"/>
        <w:rPr>
          <w:rFonts w:ascii="Arial" w:cs="Arial" w:eastAsia="Arial" w:hAnsi="Arial"/>
          <w:sz w:val="18"/>
          <w:szCs w:val="18"/>
          <w:color w:val="auto"/>
        </w:rPr>
      </w:pPr>
    </w:p>
    <w:p>
      <w:pPr>
        <w:ind w:left="540" w:right="52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availability issues if we underestimate or overestimate demand and do not maintain appropriate inventory levels, which could negatively impact our net sales or working capital and hinder our ability to meet customer demand.</w:t>
      </w:r>
    </w:p>
    <w:p>
      <w:pPr>
        <w:spacing w:after="0" w:line="209" w:lineRule="exact"/>
        <w:rPr>
          <w:sz w:val="20"/>
          <w:szCs w:val="20"/>
          <w:color w:val="auto"/>
        </w:rPr>
      </w:pPr>
    </w:p>
    <w:p>
      <w:pPr>
        <w:ind w:right="20" w:firstLine="137"/>
        <w:spacing w:after="0" w:line="239" w:lineRule="auto"/>
        <w:rPr>
          <w:sz w:val="20"/>
          <w:szCs w:val="20"/>
          <w:color w:val="auto"/>
        </w:rPr>
      </w:pPr>
      <w:r>
        <w:rPr>
          <w:rFonts w:ascii="Arial" w:cs="Arial" w:eastAsia="Arial" w:hAnsi="Arial"/>
          <w:sz w:val="18"/>
          <w:szCs w:val="18"/>
          <w:color w:val="auto"/>
        </w:rPr>
        <w:t>Additionally, lower sales of professional segment products that carry higher profit margins than our residential segment products could negatively impact our profit margins and net earnings.</w:t>
      </w:r>
    </w:p>
    <w:p>
      <w:pPr>
        <w:spacing w:after="0" w:line="18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Our residential segment net sales are dependent upon consumers buying our residential segment products at dealers, mass retailers, and home centers, such as The Home Depot, Inc., the amount of product placement at retailers, consumer confidence and spending levels, and changing buying patterns of customers.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elimination or reduction of shelf space assigned to our residential products by retailers could adversely affect our residential segment net sales. Our residential segment net sales also are dependent upon buying patterns of customers. For example, as consumers purchase products at home centers and mass retailers that offer broader and lower price points, we have experienced increased demand and sales of our residential segment products purchased at retailers. The Home Depot is a substantial customer of ours, which accounted for approximately 10 to 11 percent of our total consolidated gross sales in each of fiscal 2014, 2013, and 2012.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or new distribution channels could have a material adverse impact on our business and operating results. Changing buying patterns of customers could also result in reduced sales of one or more of our residential segment products, resulting in increased inventory levels. Our residential lawn and garden products are generally manufactured throughout the year and our residential snow thrower products are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during a given season, we may not maintain the appropriate inventory levels, which could negatively impact our net sales or working capital, and hinder our ability to meet customer demand.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operating results are subject to the inventory management decisions of our distribution channel customers.</w:t>
      </w:r>
    </w:p>
    <w:p>
      <w:pPr>
        <w:spacing w:after="0" w:line="232"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We sell many of our products through various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our distribution channel customers do not maintain field inventory levels sufficient to meet end-user demand.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placement and shelf space, and financing options. We compete in many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195"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b w:val="1"/>
          <w:bCs w:val="1"/>
          <w:i w:val="1"/>
          <w:iCs w:val="1"/>
          <w:color w:val="auto"/>
        </w:rPr>
        <w:t>A significant percentage of our consolidated net sales are generated outside of the United States, a portion of which are financed by third parties,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currently manufacture our products in the U.S., Mexico, Australia, the United Kingdom, Italy, Romania, and China for sale throughout the world. We maintain sales offices in the United States, Belgium, the United Kingdom, Australia, Singapore, Japan, China, Italy, Korea, and Germany. Our net sales outside the U.S. were 28.7 percent, 30.1 percent, and 30.3 percent of our total consolidated net sales for fiscal 2014, 2013, and 2012, respectively. International markets have been, and will continue to be, a focus for us for revenue growth. We believe many opportunities exist in the international markets, and over time, we intend for international net sales to comprise a larger percentage of our total consolidated net sales. Several factors, including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390"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ind w:left="540" w:right="58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and the imposition of increases in, costly and lengthy import and export licensing and other compliance requirements, customs duties and tariffs, import and export quotas and other trade restrictions, license obligations, and other non-tariff barriers to trade;</w:t>
      </w:r>
    </w:p>
    <w:p>
      <w:pPr>
        <w:spacing w:after="0" w:line="3" w:lineRule="exact"/>
        <w:rPr>
          <w:rFonts w:ascii="Arial" w:cs="Arial" w:eastAsia="Arial" w:hAnsi="Arial"/>
          <w:sz w:val="18"/>
          <w:szCs w:val="18"/>
          <w:color w:val="auto"/>
        </w:rPr>
      </w:pPr>
    </w:p>
    <w:p>
      <w:pPr>
        <w:ind w:left="540" w:right="34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continued business with the sanctioned country, company, person, or entity;</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pricing pressures;</w:t>
      </w: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tax rates and potentially adverse tax consequences, including restrictions on repatriating earnings;</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international conflicts, including terrorist acts;</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6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209"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Our international operations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209" w:lineRule="exact"/>
        <w:rPr>
          <w:sz w:val="20"/>
          <w:szCs w:val="20"/>
          <w:color w:val="auto"/>
        </w:rPr>
      </w:pPr>
    </w:p>
    <w:p>
      <w:pPr>
        <w:ind w:firstLine="146"/>
        <w:spacing w:after="0" w:line="238" w:lineRule="auto"/>
        <w:rPr>
          <w:sz w:val="20"/>
          <w:szCs w:val="20"/>
          <w:color w:val="auto"/>
        </w:rPr>
      </w:pPr>
      <w:r>
        <w:rPr>
          <w:rFonts w:ascii="Arial" w:cs="Arial" w:eastAsia="Arial" w:hAnsi="Arial"/>
          <w:sz w:val="18"/>
          <w:szCs w:val="18"/>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95" w:lineRule="exact"/>
        <w:rPr>
          <w:sz w:val="20"/>
          <w:szCs w:val="20"/>
          <w:color w:val="auto"/>
        </w:rPr>
      </w:pPr>
    </w:p>
    <w:p>
      <w:pPr>
        <w:ind w:right="980"/>
        <w:spacing w:after="0" w:line="325" w:lineRule="auto"/>
        <w:rPr>
          <w:sz w:val="20"/>
          <w:szCs w:val="20"/>
          <w:color w:val="auto"/>
        </w:rPr>
      </w:pPr>
      <w:r>
        <w:rPr>
          <w:rFonts w:ascii="Arial" w:cs="Arial" w:eastAsia="Arial" w:hAnsi="Arial"/>
          <w:sz w:val="16"/>
          <w:szCs w:val="16"/>
          <w:b w:val="1"/>
          <w:bCs w:val="1"/>
          <w:i w:val="1"/>
          <w:iCs w:val="1"/>
          <w:color w:val="auto"/>
        </w:rPr>
        <w:t>We intend to grow our business through acquisitions and alliances, stronger customer relations, and new joint ventures and partnerships, which could be risky and may harm our business, reputation, financial condition, and operating results.</w:t>
      </w:r>
    </w:p>
    <w:p>
      <w:pPr>
        <w:spacing w:after="0" w:line="143"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and alliances, stronger customer relations, and new joint ventures and partnerships that add value while considering our existing brands and product portfolio. The benefits of an acquisition, such as our acquisition of the BOSS business, or new alliance, joint venture, or partnership may take more time than expected to develop or integrate into our operations, and we cannot guarantee that previous or future acquisitions, alliances, joint ventures, or partnerships will in fact produce any benefits. In addition, acquisitions, alliances, joint ventures, and partnerships may involve a number of risks, including:</w:t>
      </w:r>
    </w:p>
    <w:p>
      <w:pPr>
        <w:spacing w:after="0" w:line="21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ind w:left="54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ind w:left="540" w:right="8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or delays in integrating and assimilating information and financial systems, and operations and products of an acquired business or in realizing projected efficiencies, growth prospects, cost savings, and synergies;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ind w:left="540" w:right="50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customers, distributors or dealers of the acquired businesses or adverse effects on existing business relationships with suppliers, customers, distributors and dealers;</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challenges in transitioning distributors and dealers of acquired businesses to using our Red Iron financing joint venture with</w:t>
      </w:r>
    </w:p>
    <w:p>
      <w:pPr>
        <w:ind w:left="540"/>
        <w:spacing w:after="0" w:line="234" w:lineRule="auto"/>
        <w:rPr>
          <w:rFonts w:ascii="Arial" w:cs="Arial" w:eastAsia="Arial" w:hAnsi="Arial"/>
          <w:sz w:val="18"/>
          <w:szCs w:val="18"/>
          <w:color w:val="auto"/>
        </w:rPr>
      </w:pPr>
      <w:r>
        <w:rPr>
          <w:rFonts w:ascii="Arial" w:cs="Arial" w:eastAsia="Arial" w:hAnsi="Arial"/>
          <w:sz w:val="18"/>
          <w:szCs w:val="18"/>
          <w:color w:val="auto"/>
        </w:rPr>
        <w:t>TCFIF;</w:t>
      </w:r>
    </w:p>
    <w:p>
      <w:pPr>
        <w:ind w:left="54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violation of any non-compete agreement by any key employee of an acquired business;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9" w:lineRule="exact"/>
        <w:rPr>
          <w:rFonts w:ascii="Arial" w:cs="Arial" w:eastAsia="Arial" w:hAnsi="Arial"/>
          <w:sz w:val="18"/>
          <w:szCs w:val="18"/>
          <w:color w:val="auto"/>
        </w:rPr>
      </w:pPr>
    </w:p>
    <w:p>
      <w:pPr>
        <w:jc w:val="both"/>
        <w:ind w:left="540" w:right="22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pursue other important elements of our business strategy;</w:t>
      </w:r>
    </w:p>
    <w:p>
      <w:pPr>
        <w:spacing w:after="0" w:line="2"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acquired businesses to comply with applicable international, federal, and state product safety or other regulatory standards;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infringement by acquired businesses of intellectual property rights of others;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2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investments, undisclosed, contingent or other liabilities or problems, unanticipated costs associated with an acquisition, and an inability to recover or manage such liabilities and costs; and</w:t>
      </w:r>
    </w:p>
    <w:p>
      <w:pPr>
        <w:spacing w:after="0" w:line="6"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209"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especially in the context of acquisitions of other businesses. Any difficulties in the assimilation of acquired businesses into our control system could harm our operating results or cause us to fail to meet our financial reporting obligations.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These risks could be heightened if we complete a large acquisition, such as the acquisition of the BOSS business, or multiple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business, financial condition, reputation, and operating results, and any large acquisition could, among other things, impair our financial condition.</w:t>
      </w:r>
    </w:p>
    <w:p>
      <w:pPr>
        <w:spacing w:after="0" w:line="195"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and their loss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215" w:lineRule="exact"/>
        <w:rPr>
          <w:sz w:val="20"/>
          <w:szCs w:val="20"/>
          <w:color w:val="auto"/>
        </w:rPr>
      </w:pPr>
    </w:p>
    <w:p>
      <w:pPr>
        <w:ind w:right="400" w:firstLine="146"/>
        <w:spacing w:after="0" w:line="281" w:lineRule="auto"/>
        <w:rPr>
          <w:sz w:val="20"/>
          <w:szCs w:val="20"/>
          <w:color w:val="auto"/>
        </w:rPr>
      </w:pPr>
      <w:r>
        <w:rPr>
          <w:rFonts w:ascii="Arial" w:cs="Arial" w:eastAsia="Arial" w:hAnsi="Arial"/>
          <w:sz w:val="16"/>
          <w:szCs w:val="16"/>
          <w:color w:val="auto"/>
        </w:rPr>
        <w:t>We also rely on trade secrets and proprietary know-how that we seek to protect, in part, by confidentiality agreements with our employees, suppliers,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58"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We manufacture our products at, and distribute our products from, several locations in the U.S. and internationally. Any disruption at any of these facilities or our inability to cost-effectively expand existing, open and manage new, and/or move production between manufacturing facilities could adversely affect our business and operating results.</w:t>
      </w:r>
    </w:p>
    <w:p>
      <w:pPr>
        <w:spacing w:after="0" w:line="2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currently manufacture most of our products at ten locations in the U.S., two locations in Mexico, and one location in each of Australia, Italy, the United Kingdom, Romania, and China. We also have several locations that serve as distribution centers, warehouses, test labs, and corporate offices. In addition, we have agreements with other third-party manufacturers to manufacture products on our behalf.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facilities operating under a collective bargaining agreement or the failure to renew or enter into new collective bargaining agreements, including three that each expire in October 2016, October 2017, and May 2018, and a collective bargaining agreement we recently negotiated for the BOSS business that will expire in March 2018, could impair our ability to meet the demands of our customers, and our customers may cancel orders or purchase products from our competitors, which could adversely affect our business and operating results.</w:t>
      </w:r>
    </w:p>
    <w:p>
      <w:pPr>
        <w:spacing w:after="0" w:line="209"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Our operating results may also be adversely affected if we are unable to cost-effectively open and manage new manufacturing and distribution facilities, and move production between such facilities as needed from time to time. In fiscal 2013, we acquired a company and began operations at a new micro-irrigation facility in China in order to support anticipated growth of our micro-irrigation business and enable future capacity expansion. If this facility in China does not produce the anticipated manufacturing or operational efficiencies, or if the micro-irrigation products produced at this facility are not accepted into new geographic markets at expected levels, we may not recover our investment in the new facility and our operating results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applicable exchange rates. Accordingly,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U.S. and Mexico, a stronger U.S. dollar and Mexican peso generally have a negative impact on our operating results, while a weaker dollar and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 While we actively manage the exposure of our foreign currency market risk in the normal course of business by entering into various foreign exchange contracts, these instruments involve risks and may not effectively limit our underlying exposure from foreign currency exchange rate fluctuations or minimize our net earnings and cash volatility associated with foreign currency exchange rate changes. Further, a number of financial institutions similar to those that serve as counterparties to our foreign exchange contracts have been adversely affected by the unprecedented distress in the worldwide credit markets during the past few years. The failure of one or more counterparties to our foreign currency exchange rate contracts to fulfill their obligations to us could adversely affect our operating results.</w:t>
      </w:r>
    </w:p>
    <w:p>
      <w:pPr>
        <w:spacing w:after="0" w:line="194" w:lineRule="exact"/>
        <w:rPr>
          <w:sz w:val="20"/>
          <w:szCs w:val="20"/>
          <w:color w:val="auto"/>
        </w:rPr>
      </w:pPr>
    </w:p>
    <w:p>
      <w:pPr>
        <w:jc w:val="both"/>
        <w:ind w:right="820"/>
        <w:spacing w:after="0" w:line="294" w:lineRule="auto"/>
        <w:rPr>
          <w:sz w:val="20"/>
          <w:szCs w:val="20"/>
          <w:color w:val="auto"/>
        </w:rPr>
      </w:pPr>
      <w:r>
        <w:rPr>
          <w:rFonts w:ascii="Arial" w:cs="Arial" w:eastAsia="Arial" w:hAnsi="Arial"/>
          <w:sz w:val="16"/>
          <w:szCs w:val="16"/>
          <w:b w:val="1"/>
          <w:bCs w:val="1"/>
          <w:i w:val="1"/>
          <w:iCs w:val="1"/>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w:t>
      </w:r>
    </w:p>
    <w:p>
      <w:pPr>
        <w:spacing w:after="0" w:line="16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properties, and products are subject to numerous international, federal, state, and other governmental laws, rules, and regulations relating to, among other things; climate change; emissions to air and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rules,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 Other changes in laws and regulations also may adversely affect our operating results, including, (i) taxation and tax policy changes, tax rate changes, new tax laws, revised tax law interpretations, or expiration of the domestic research tax credit, which individually or in combination may cause our effective tax rate to increase or, (ii) new, recently enacted, or revised healthcare laws or regulations, which may cause us to incur higher employee healthcare and related costs.</w:t>
      </w:r>
    </w:p>
    <w:p>
      <w:pPr>
        <w:spacing w:after="0" w:line="188" w:lineRule="exact"/>
        <w:rPr>
          <w:sz w:val="20"/>
          <w:szCs w:val="20"/>
          <w:color w:val="auto"/>
        </w:rPr>
      </w:pPr>
    </w:p>
    <w:p>
      <w:pPr>
        <w:ind w:right="960"/>
        <w:spacing w:after="0" w:line="325" w:lineRule="auto"/>
        <w:rPr>
          <w:sz w:val="20"/>
          <w:szCs w:val="20"/>
          <w:color w:val="auto"/>
        </w:rPr>
      </w:pPr>
      <w:r>
        <w:rPr>
          <w:rFonts w:ascii="Arial" w:cs="Arial" w:eastAsia="Arial" w:hAnsi="Arial"/>
          <w:sz w:val="16"/>
          <w:szCs w:val="16"/>
          <w:b w:val="1"/>
          <w:bCs w:val="1"/>
          <w:i w:val="1"/>
          <w:iCs w:val="1"/>
          <w:color w:val="auto"/>
        </w:rPr>
        <w:t>Increasingly stringent engine emission regulations could impact our ability to sell certain of our products into the market and appropriately price certain of our products, which could negatively affect our competitive position and financial results.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EPA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climate change regulations may adversely impact our operations.</w:t>
      </w:r>
    </w:p>
    <w:p>
      <w:pPr>
        <w:spacing w:after="0" w:line="2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Due to uncertainty in the regulatory and legislative processes, as well as the scope of such requirements and initiatives, we cannot currently determine the effect such legislation and regulation may have on our products and operations.</w:t>
      </w:r>
    </w:p>
    <w:p>
      <w:pPr>
        <w:spacing w:after="0" w:line="195"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We are required to comply with the "conflict minerals" rules promulgated by the SEC, which impose costs on us and could raise reputational and other risks.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required under the Dodd-Frank Wall Street Reform and Consumer Protection Act, the SEC adopted rules regarding disclosure of the use of certain minerals, known as "conflict minerals," which are mined from the Democratic Republic of the Congo and adjoining countries, as well as procedures regarding manufacturers' efforts to discover the origin of such minerals and metals produced from those minerals. These conflict minerals are commonly referred to as "3TG" and include tin, tantalum, tungsten, and gold. The conflict minerals rules required us to engage in due diligence efforts for the 2013 and 2014 calendar years and subsequent years, with our initial disclosures that we filed with the SEC on June 2, 2014, and subsequent disclosures required no later than May 31 of each following year. We have, and we expect that we will continue to, incur additional costs and expenses, which may be significant in order to comply with these rules, including for (i) due diligence to determine whether conflict minerals are necessary to the functionality or production of any of our products and, if so, verify the sources of such conflict minerals; and (ii) any changes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that we may desire to make to our products, processes, or sources of supply as a result of such diligence and verification activities.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 In such event, we may also face difficulties in satisfying customers who require that all of our products are certified as conflict mineral free. If we are not able to meet such requirements, customers may choose not to purchase our products, which could adversely affect our sales and the value of portions of our inventory. Further, there may be only a limited number of suppliers offering conflict free minerals and, as a result, we cannot be sure that we will be able to obtain metals, if necessary, from such suppliers in sufficient quantities or at competitive prices. Any one or a combination of these various factors could harm our business, reduce market demand for our products, and adversely affect our profit margins, net sales, and overall financial results.</w:t>
      </w:r>
    </w:p>
    <w:p>
      <w:pPr>
        <w:spacing w:after="0" w:line="19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The 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7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U.S. Foreign Corrupt Practices Act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could disrupt our business, and could result in significant fines and penalties that could have a material adverse effect on our results of operations or financial condition.</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Management information systems are critical to our business. If our management information systems or those of our business partners or third party service providers fail to adequately perform, or if we, our business partners, or third party service providers experience an interruption in their operation, our business, reputation, financial condition, and operating results could be adversely affected.</w:t>
      </w:r>
    </w:p>
    <w:p>
      <w:pPr>
        <w:spacing w:after="0" w:line="1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many management information systems that are critical to our business, some of which are managed by third parties. 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 The failure of our management information systems or those of our business partners or third party service providers to perform properly, or difficulties encountered in the development of new systems or the upgrade of existing systems,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could disrupt our business and harm our reputation, which may result in decreased sales, increased overhead costs, excess or obsolete inventory, and product shortages, causing our business, reputation, financial condition, and operating results to suffer. Although we take steps to secure our management information systems and any access provided by our business partners or third party service providers,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power loss, or other disruptive events. Information technology security threats are increasing in frequency and sophistication. Cyber attacks may be random, coordinated, or targeted, including sophisticated computer crime threats. These threats pose a risk to the security of our systems and networks, and those of our business partners and third 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37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We are subject to product liability claims, product quality issues, and other litigation from time to time that could adversely affect our business, reputation, operating results or financial condition.</w:t>
      </w:r>
    </w:p>
    <w:p>
      <w:pPr>
        <w:spacing w:after="0" w:line="189"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reputation,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failures in our products and other challenges that are associated with our inability to properly manage changes in the suppliers and components that we use in our products,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393" w:lineRule="exact"/>
        <w:rPr>
          <w:sz w:val="20"/>
          <w:szCs w:val="20"/>
          <w:color w:val="auto"/>
        </w:rPr>
      </w:pPr>
    </w:p>
    <w:p>
      <w:pPr>
        <w:ind w:right="720" w:firstLine="146"/>
        <w:spacing w:after="0" w:line="239" w:lineRule="auto"/>
        <w:rPr>
          <w:sz w:val="20"/>
          <w:szCs w:val="20"/>
          <w:color w:val="auto"/>
        </w:rPr>
      </w:pPr>
      <w:r>
        <w:rPr>
          <w:rFonts w:ascii="Arial" w:cs="Arial" w:eastAsia="Arial" w:hAnsi="Arial"/>
          <w:sz w:val="18"/>
          <w:szCs w:val="18"/>
          <w:color w:val="auto"/>
        </w:rPr>
        <w:t>We are also subject to other litigation from time to time that could adversely affect our business, reputation, operating results or financial condition.</w:t>
      </w:r>
    </w:p>
    <w:p>
      <w:pPr>
        <w:spacing w:after="0" w:line="18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If we are unable to retain our key employees, and attract and retain other qualified personnel, we may not be able to meet strategic objectives and our business could suffer.</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our Red Iron Acceptance LLC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1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are a party to a financing joint venture with TCFIF for the purpose of providing reliable, competitive financing to our distributors and dealers in the U.S. and select distributors of our products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Canada to support their businesses and increase our net sales, as well as to free up our working capital for our other strategic purposes. As a result, we are dependent upon the joint venture for our inventory financing programs, including floor plan and open account receivable financing. Additionally, we are dependent upon TCFCFC to provide inventory financing to dealers of our products in Canada.</w:t>
      </w:r>
    </w:p>
    <w:p>
      <w:pPr>
        <w:spacing w:after="0" w:line="208"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sales and operating results.</w:t>
      </w:r>
    </w:p>
    <w:p>
      <w:pPr>
        <w:spacing w:after="0" w:line="19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0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 Our credit arrangements and/or indentures also contain provisions that restrict our ability, subject to specified exceptions, to, among other things:</w:t>
      </w:r>
    </w:p>
    <w:p>
      <w:pPr>
        <w:spacing w:after="0" w:line="20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and investments, including acquisitions and transactions with affiliates;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dispose of assets;</w:t>
      </w: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contingent obligations;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ind w:left="54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209" w:lineRule="exact"/>
        <w:rPr>
          <w:sz w:val="20"/>
          <w:szCs w:val="20"/>
          <w:color w:val="auto"/>
        </w:rPr>
      </w:pPr>
    </w:p>
    <w:p>
      <w:pPr>
        <w:ind w:right="120" w:firstLine="143"/>
        <w:spacing w:after="0" w:line="236"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11" w:lineRule="exact"/>
        <w:rPr>
          <w:sz w:val="20"/>
          <w:szCs w:val="20"/>
          <w:color w:val="auto"/>
        </w:rPr>
      </w:pPr>
    </w:p>
    <w:p>
      <w:pPr>
        <w:ind w:right="120" w:firstLine="137"/>
        <w:spacing w:after="0" w:line="281" w:lineRule="auto"/>
        <w:rPr>
          <w:sz w:val="20"/>
          <w:szCs w:val="20"/>
          <w:color w:val="auto"/>
        </w:rPr>
      </w:pPr>
      <w:r>
        <w:rPr>
          <w:rFonts w:ascii="Arial" w:cs="Arial" w:eastAsia="Arial" w:hAnsi="Arial"/>
          <w:sz w:val="16"/>
          <w:szCs w:val="16"/>
          <w:color w:val="auto"/>
        </w:rPr>
        <w:t>Although we have in place a $150 million revolving credit facility that does not expire until October 2019,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158"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0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7.800% debentures, $130 million term loan, and any amounts outstanding under our revolving credit facility could become due and payable if we were unable to obtain a covenant waiver or refinance our medium-term debt under our credit arrangements. If our credit rating falls below investment grade and/or our average debt to earnings before interest, tax, depreciation, and amortization ("EBITDA") ratio rises above 1.50, the interest rate we currently pay on outstanding debt under our credit arrangements would increase, which could adversely affect our operating results.</w:t>
      </w:r>
    </w:p>
    <w:p>
      <w:pPr>
        <w:spacing w:after="0" w:line="19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are expanding and renovating our corporate facilities and could experience disruptions to our operations in connection with such efforts.</w:t>
      </w:r>
    </w:p>
    <w:p>
      <w:pPr>
        <w:spacing w:after="0" w:line="18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are expanding and renovating our corporate facilities, driven by our need to expand the space available for our product development and test capacities, as well as our need for additional information technology and office space. These expansion efforts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included the construction of a new corporate facility that was completed in fiscal 2014, and we plan to renovate our original corporate facility located in Bloomington, Minnesota in fiscal 2015 to accommodate expansion needs of our product development and test capacities. We financed, and expect to continue to finance, such efforts with cash on hand and cash from operating activities. The expansion and renovation of our corporate facilities entails risks that could cause disruption in the operations of our business. Such risks include potential interruption in data flow; unforeseen construction, scheduling, engineering, environmental, or geological problems; and unanticipated cost increases.</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Our business is subject to a number of other miscellaneous risks that may adversely affect our operating results, financial condition, 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the revenue growth, operating earnings, and working capital goals of our "Destination PRIME" initiative;</w:t>
      </w:r>
    </w:p>
    <w:p>
      <w:pPr>
        <w:spacing w:after="0" w:line="9" w:lineRule="exact"/>
        <w:rPr>
          <w:rFonts w:ascii="Arial" w:cs="Arial" w:eastAsia="Arial" w:hAnsi="Arial"/>
          <w:sz w:val="18"/>
          <w:szCs w:val="18"/>
          <w:color w:val="auto"/>
        </w:rPr>
      </w:pPr>
    </w:p>
    <w:p>
      <w:pPr>
        <w:ind w:left="540" w:right="52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or man-made disasters or global pandemics, which may result in shortages of raw materials and components, higher fuel and commodity costs, delays in shipments to customers, and increases in insurance premiums;</w:t>
      </w:r>
    </w:p>
    <w:p>
      <w:pPr>
        <w:spacing w:after="0" w:line="1" w:lineRule="exact"/>
        <w:rPr>
          <w:rFonts w:ascii="Arial" w:cs="Arial" w:eastAsia="Arial" w:hAnsi="Arial"/>
          <w:sz w:val="18"/>
          <w:szCs w:val="18"/>
          <w:color w:val="auto"/>
        </w:rPr>
      </w:pPr>
    </w:p>
    <w:p>
      <w:pPr>
        <w:ind w:left="540" w:right="60" w:hanging="532"/>
        <w:spacing w:after="0" w:line="26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retail sales or financial difficulties of our distributors or dealers, which could cause us to repurchase financed product; and</w:t>
      </w:r>
    </w:p>
    <w:p>
      <w:pPr>
        <w:spacing w:after="0" w:line="9"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threat of terrorist acts and war, which may result in heightened security and higher costs for import and export shipments of components or finished goods, reduced leisure travel, and contraction of the U.S. and worldwide economies.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4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of October 31, 2014, we utilized manufacturing, distribution, warehouse, and office facilities totaling approximately 6.1 million square feet of space worldwide. We also had approximately 72 acres of excess land in Wisconsin adjacent to a distribution center, 36 acres of land in Minnesota utilized as a testing and storage facility, and 21 acres of land in California used as a testing site. On November 14, 2014, we acquired approximately 22 acres of land in Iron Mountain, Michigan and 252,720 square feet of manufacturing and distribution space as a result of our acquisition of the BOSS business, as previously discussed. Plant utilization varies during the year depending on the production cycle. We consider each of our current facilities to be in good operating condition. Management believes we have sufficient manufacturing capacity for fiscal 2015, although strategies for future operational growth are currently being assessed. We are expanding and renovating our corporate facilities located in Bloomington, Minnesota, which included the construction of a new 75,000 square foot facility that was completed in fiscal 2014 and renovation of our original corporate facility in fiscal 2015 to accommodate additional expansion needs for our product development and test capacities. Our significant facilities are listed below by location, ownership, and function as of October 31, 2014: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6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rPr>
              <w:t>Ownership</w:t>
            </w:r>
          </w:p>
        </w:tc>
        <w:tc>
          <w:tcPr>
            <w:tcW w:w="61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Products Manufactured / Use</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Bloomington,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Corporate headquarters, warehouse, and test lab</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Paso, TX</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Ankeny, 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Juarez, Mexico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Plymouth,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Tomah,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Windom,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products and warehouse</w:t>
            </w:r>
          </w:p>
        </w:tc>
      </w:tr>
      <w:tr>
        <w:trPr>
          <w:trHeight w:val="154"/>
        </w:trPr>
        <w:tc>
          <w:tcPr>
            <w:tcW w:w="2620" w:type="dxa"/>
            <w:vAlign w:val="bottom"/>
          </w:tcPr>
          <w:p>
            <w:pPr>
              <w:spacing w:after="0" w:line="154" w:lineRule="exact"/>
              <w:rPr>
                <w:sz w:val="20"/>
                <w:szCs w:val="20"/>
                <w:color w:val="auto"/>
              </w:rPr>
            </w:pPr>
            <w:r>
              <w:rPr>
                <w:rFonts w:ascii="Arial" w:cs="Arial" w:eastAsia="Arial" w:hAnsi="Arial"/>
                <w:sz w:val="14"/>
                <w:szCs w:val="14"/>
                <w:color w:val="auto"/>
              </w:rPr>
              <w:t>Beatrice, NE</w:t>
            </w:r>
          </w:p>
        </w:tc>
        <w:tc>
          <w:tcPr>
            <w:tcW w:w="2660" w:type="dxa"/>
            <w:vAlign w:val="bottom"/>
          </w:tcPr>
          <w:p>
            <w:pPr>
              <w:ind w:left="680"/>
              <w:spacing w:after="0" w:line="154" w:lineRule="exact"/>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line="154" w:lineRule="exact"/>
              <w:rPr>
                <w:sz w:val="20"/>
                <w:szCs w:val="20"/>
                <w:color w:val="auto"/>
              </w:rPr>
            </w:pPr>
            <w:r>
              <w:rPr>
                <w:rFonts w:ascii="Arial" w:cs="Arial" w:eastAsia="Arial" w:hAnsi="Arial"/>
                <w:sz w:val="14"/>
                <w:szCs w:val="14"/>
                <w:color w:val="auto"/>
              </w:rPr>
              <w:t>Professional products, test facility, and office</w:t>
            </w:r>
          </w:p>
        </w:tc>
      </w:tr>
      <w:tr>
        <w:trPr>
          <w:trHeight w:val="197"/>
        </w:trPr>
        <w:tc>
          <w:tcPr>
            <w:tcW w:w="2620" w:type="dxa"/>
            <w:vAlign w:val="bottom"/>
          </w:tcPr>
          <w:p>
            <w:pPr>
              <w:spacing w:after="0" w:line="197" w:lineRule="exact"/>
              <w:rPr>
                <w:sz w:val="20"/>
                <w:szCs w:val="20"/>
                <w:color w:val="auto"/>
              </w:rPr>
            </w:pPr>
            <w:r>
              <w:rPr>
                <w:rFonts w:ascii="Arial" w:cs="Arial" w:eastAsia="Arial" w:hAnsi="Arial"/>
                <w:sz w:val="14"/>
                <w:szCs w:val="14"/>
                <w:color w:val="auto"/>
              </w:rPr>
              <w:t>Iron Mountain, MI</w:t>
            </w:r>
            <w:r>
              <w:rPr>
                <w:rFonts w:ascii="Arial" w:cs="Arial" w:eastAsia="Arial" w:hAnsi="Arial"/>
                <w:sz w:val="21"/>
                <w:szCs w:val="21"/>
                <w:color w:val="auto"/>
                <w:vertAlign w:val="superscript"/>
              </w:rPr>
              <w:t>1</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facility,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Riverside,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Xiamen City, China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Braeside,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Ploiesti, Romania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Shakopee,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Beverley,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Baraboo, WI</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Cajon,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Brooklyn Center,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Capena,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Sanford, FL</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Kent, WA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Fiano Romano,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St. Louis, MO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Oevel, Belgium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78"/>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Abilene, TX</w:t>
            </w:r>
          </w:p>
        </w:tc>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Office, professional products, and service center</w:t>
            </w:r>
          </w:p>
        </w:tc>
      </w:tr>
    </w:tbl>
    <w:p>
      <w:pPr>
        <w:spacing w:after="0" w:line="140"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Acquired on November 14, 2014 as part of the acquisition of the BOSS business.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215" w:lineRule="exact"/>
        <w:rPr>
          <w:sz w:val="20"/>
          <w:szCs w:val="20"/>
          <w:color w:val="auto"/>
        </w:rPr>
      </w:pPr>
    </w:p>
    <w:p>
      <w:pPr>
        <w:ind w:right="220" w:firstLine="146"/>
        <w:spacing w:after="0" w:line="238" w:lineRule="auto"/>
        <w:rPr>
          <w:sz w:val="20"/>
          <w:szCs w:val="20"/>
          <w:color w:val="auto"/>
        </w:rPr>
      </w:pPr>
      <w:r>
        <w:rPr>
          <w:rFonts w:ascii="Arial" w:cs="Arial" w:eastAsia="Arial" w:hAnsi="Arial"/>
          <w:sz w:val="18"/>
          <w:szCs w:val="18"/>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The list sets forth each such person's age and position with the company as of December 12, 2014, as well as other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Name, Age, and</w:t>
            </w:r>
          </w:p>
        </w:tc>
        <w:tc>
          <w:tcPr>
            <w:tcW w:w="9480" w:type="dxa"/>
            <w:vAlign w:val="bottom"/>
            <w:tcBorders>
              <w:top w:val="single" w:sz="8" w:color="auto"/>
            </w:tcBorders>
          </w:tcPr>
          <w:p>
            <w:pPr>
              <w:spacing w:after="0"/>
              <w:rPr>
                <w:sz w:val="17"/>
                <w:szCs w:val="17"/>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b w:val="1"/>
                <w:bCs w:val="1"/>
                <w:color w:val="auto"/>
              </w:rPr>
              <w:t>Position with the</w:t>
            </w:r>
          </w:p>
        </w:tc>
        <w:tc>
          <w:tcPr>
            <w:tcW w:w="9480" w:type="dxa"/>
            <w:vAlign w:val="bottom"/>
          </w:tcPr>
          <w:p>
            <w:pPr>
              <w:spacing w:after="0"/>
              <w:rPr>
                <w:sz w:val="17"/>
                <w:szCs w:val="17"/>
                <w:color w:val="auto"/>
              </w:rPr>
            </w:pPr>
          </w:p>
        </w:tc>
      </w:tr>
      <w:tr>
        <w:trPr>
          <w:trHeight w:val="242"/>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9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Business Experience during the Last Five or More Years</w:t>
            </w: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Michael J. Hoffman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8"/>
              </w:rPr>
              <w:t>Chairman of the Board since March 2006, Chief Executive Officer since March 2005 and President since October 2004.</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59, Chairman of the</w:t>
            </w:r>
          </w:p>
        </w:tc>
        <w:tc>
          <w:tcPr>
            <w:tcW w:w="9480" w:type="dxa"/>
            <w:vAlign w:val="bottom"/>
          </w:tcPr>
          <w:p>
            <w:pPr>
              <w:spacing w:after="0"/>
              <w:rPr>
                <w:sz w:val="17"/>
                <w:szCs w:val="17"/>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Board, President and</w:t>
            </w:r>
          </w:p>
        </w:tc>
        <w:tc>
          <w:tcPr>
            <w:tcW w:w="9480" w:type="dxa"/>
            <w:vAlign w:val="bottom"/>
          </w:tcPr>
          <w:p>
            <w:pPr>
              <w:spacing w:after="0"/>
              <w:rPr>
                <w:sz w:val="17"/>
                <w:szCs w:val="17"/>
                <w:color w:val="auto"/>
              </w:rPr>
            </w:pP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David H. Alkire</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9"/>
              </w:rPr>
              <w:t>Vice President, Residential and Landscape Contractor Businesses since November 2014. From June 2012 to October</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52,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2014, he served as General Manager, Residential and Landscape Contractor Businesses. From March 2011 to May</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Residential and</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2012, he served as Director of Sourcing. From November 2004 to February 2011, he served as Director of Marketing,</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Landscape Contractor</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Residential Business.</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Judy L. Altmaier</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9"/>
              </w:rPr>
              <w:t>Vice President, Exmark since June 2013. From October 2011 to June 2013, she served as Vice President, Operations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53,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and Quality Management. From October 2009 to October 2011, she served as Vice President, Operations.</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Exmark</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William E. Brown, Jr.</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Group Vice President, Commercial and Irrigation Businesses since March 2013. From March 2012 to March 2013, he</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53, Group Vice</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served as Group Vice President, International and Commercial Businesses. From August 2010 to March 2012, he</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President, Commercial</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served as Vice President, International Business. From February 2009 to July 2010, he served as Vice President,</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and Irrigation</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Residential and Landscape Contractor Businesses.</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David J. Brule II</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President, BOSS since November 2014. From 1997 to November 2014, he served as President, BOSS Snowplow</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 President, BOSS</w:t>
            </w:r>
          </w:p>
        </w:tc>
        <w:tc>
          <w:tcPr>
            <w:tcW w:w="9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Division, Corporate Secretary, Treasurer and Director of Northern Star Industries, Inc.</w:t>
            </w: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Philip A. Burkart</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8"/>
              </w:rPr>
              <w:t>Vice President, Irrigation and Lighting Businesses since September 2010. From November 2006 to September 2010, he</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52,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served as Vice President, Irrigation Businesses.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Irrigation and Lighting</w:t>
            </w:r>
          </w:p>
        </w:tc>
        <w:tc>
          <w:tcPr>
            <w:tcW w:w="9480" w:type="dxa"/>
            <w:vAlign w:val="bottom"/>
          </w:tcPr>
          <w:p>
            <w:pPr>
              <w:spacing w:after="0"/>
              <w:rPr>
                <w:sz w:val="17"/>
                <w:szCs w:val="17"/>
                <w:color w:val="auto"/>
              </w:rPr>
            </w:pP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Timothy P. Dordell</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Secretary and General Counsel since May 2007.</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52, Vice President,</w:t>
            </w:r>
          </w:p>
        </w:tc>
        <w:tc>
          <w:tcPr>
            <w:tcW w:w="9480" w:type="dxa"/>
            <w:vAlign w:val="bottom"/>
          </w:tcPr>
          <w:p>
            <w:pPr>
              <w:spacing w:after="0"/>
              <w:rPr>
                <w:sz w:val="17"/>
                <w:szCs w:val="17"/>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Secretary and General</w:t>
            </w:r>
          </w:p>
        </w:tc>
        <w:tc>
          <w:tcPr>
            <w:tcW w:w="9480" w:type="dxa"/>
            <w:vAlign w:val="bottom"/>
          </w:tcPr>
          <w:p>
            <w:pPr>
              <w:spacing w:after="0"/>
              <w:rPr>
                <w:sz w:val="17"/>
                <w:szCs w:val="17"/>
                <w:color w:val="auto"/>
              </w:rPr>
            </w:pP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Counsel</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Michael D. Drazan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Global Micro-Irrigation Business since March 2012. From February 2009 to March 2012, he served as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56,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Vice President, Contractor Business and Chief Information Officer, which included responsibility for our Exmark and</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Global Micro-Irrigation</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Sitework Systems Businesses and our Information Services function. In September 2010, he also assumed</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w:t>
            </w:r>
          </w:p>
        </w:tc>
        <w:tc>
          <w:tcPr>
            <w:tcW w:w="9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responsibility for our Micro-Irrigation Business and Corporate Accounts.</w:t>
            </w: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Blake M. Grams</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9"/>
              </w:rPr>
              <w:t>Vice President, Global Operations since June 2013. From December 2008 to June 2013, he served as Vice President,</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47,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Corporate Controller.</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Global Operations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Michael J. Happe</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Group Vice President, Residential and Contractor Businesses since March 2012, which includes responsibility for our</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43, Group Vice</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w w:val="98"/>
              </w:rPr>
              <w:t>Residential and Landscape Contractor – Toro, Exmark, and Sitework Systems businesses. From August 2010 to March</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President, Residential</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2012, he served as Vice President, Residential and Landscape Contractor Businesses. From December 2008 to July</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and Contractor</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2010, he served as Vice President, Commercial Business.</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Thomas J. Larson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7"/>
              </w:rPr>
              <w:t>Vice President, Corporate Controller since June 2013. From December 2008 to June 2013, he served as Vice President,</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57,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Treasurer. He retained the office of Treasurer until July 2013.</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Controller</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Richard M. Olson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w w:val="99"/>
              </w:rPr>
              <w:t>Group Vice President, International Business, Micro-Irrigation Business, and Distributor Development since June 2014,</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50, Group Vice</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w w:val="98"/>
              </w:rPr>
              <w:t>which also includes responsibility for our company-owned domestic distributorships. From March 2013 to May 2014, he</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President, International</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served as Vice President, International Business. From March 2012 to March 2013, he served as Vice President,</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Business, Micro-</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w w:val="98"/>
              </w:rPr>
              <w:t>Exmark. From September 2010 to March 2012, he served as General Manager, Exmark. From April 2008 to September</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Irrigation Business, and</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2010, he served as Managing Director, Operations.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Distributor</w:t>
            </w:r>
          </w:p>
        </w:tc>
        <w:tc>
          <w:tcPr>
            <w:tcW w:w="9480" w:type="dxa"/>
            <w:vAlign w:val="bottom"/>
          </w:tcPr>
          <w:p>
            <w:pPr>
              <w:spacing w:after="0"/>
              <w:rPr>
                <w:sz w:val="17"/>
                <w:szCs w:val="17"/>
                <w:color w:val="auto"/>
              </w:rPr>
            </w:pP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Renee J. Peterson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Treasurer and Chief Financial Officer since July 2013. From August 2011 to July 2013, she served as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53,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w w:val="98"/>
              </w:rPr>
              <w:t>Vice President, Finance and Chief Financial Officer. In March 2012, she also assumed responsibility for our Information</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Treasurer and Chief</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w w:val="99"/>
              </w:rPr>
              <w:t>Services function. From July 2009 to August 2011, she served as Vice President – Finance and Planning for the Truck</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Officer</w:t>
            </w:r>
          </w:p>
        </w:tc>
        <w:tc>
          <w:tcPr>
            <w:tcW w:w="9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and Automotive Segments of Eaton Corporation, a diversified industrial manufacturer.</w:t>
            </w: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Peter M. Ramstad</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Human Resources and Business Development since November 2007.</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57, Vice President,</w:t>
            </w:r>
          </w:p>
        </w:tc>
        <w:tc>
          <w:tcPr>
            <w:tcW w:w="9480" w:type="dxa"/>
            <w:vAlign w:val="bottom"/>
          </w:tcPr>
          <w:p>
            <w:pPr>
              <w:spacing w:after="0"/>
              <w:rPr>
                <w:sz w:val="17"/>
                <w:szCs w:val="17"/>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Human Resources and</w:t>
            </w:r>
          </w:p>
        </w:tc>
        <w:tc>
          <w:tcPr>
            <w:tcW w:w="9480" w:type="dxa"/>
            <w:vAlign w:val="bottom"/>
          </w:tcPr>
          <w:p>
            <w:pPr>
              <w:spacing w:after="0"/>
              <w:rPr>
                <w:sz w:val="17"/>
                <w:szCs w:val="17"/>
                <w:color w:val="auto"/>
              </w:rPr>
            </w:pP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 Development</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Darren L. Redetzke</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Commercial Business since August 2010. From December 2008 to July 2010, he served as Vice</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50,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President, International Business.</w:t>
            </w:r>
          </w:p>
        </w:tc>
      </w:tr>
      <w:tr>
        <w:trPr>
          <w:trHeight w:val="220"/>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Commercial Business</w:t>
            </w:r>
          </w:p>
        </w:tc>
        <w:tc>
          <w:tcPr>
            <w:tcW w:w="9480" w:type="dxa"/>
            <w:vAlign w:val="bottom"/>
            <w:tcBorders>
              <w:bottom w:val="single" w:sz="8" w:color="auto"/>
            </w:tcBorders>
          </w:tcPr>
          <w:p>
            <w:pPr>
              <w:spacing w:after="0"/>
              <w:rPr>
                <w:sz w:val="19"/>
                <w:szCs w:val="19"/>
                <w:color w:val="auto"/>
              </w:rPr>
            </w:pPr>
          </w:p>
        </w:tc>
      </w:tr>
      <w:tr>
        <w:trPr>
          <w:trHeight w:val="206"/>
        </w:trPr>
        <w:tc>
          <w:tcPr>
            <w:tcW w:w="1940" w:type="dxa"/>
            <w:vAlign w:val="bottom"/>
          </w:tcPr>
          <w:p>
            <w:pPr>
              <w:spacing w:after="0" w:line="206" w:lineRule="exact"/>
              <w:rPr>
                <w:sz w:val="20"/>
                <w:szCs w:val="20"/>
                <w:color w:val="auto"/>
              </w:rPr>
            </w:pPr>
            <w:r>
              <w:rPr>
                <w:rFonts w:ascii="Arial" w:cs="Arial" w:eastAsia="Arial" w:hAnsi="Arial"/>
                <w:sz w:val="18"/>
                <w:szCs w:val="18"/>
                <w:b w:val="1"/>
                <w:bCs w:val="1"/>
                <w:color w:val="auto"/>
              </w:rPr>
              <w:t>Kurt D. Svendsen</w:t>
            </w:r>
          </w:p>
        </w:tc>
        <w:tc>
          <w:tcPr>
            <w:tcW w:w="9480" w:type="dxa"/>
            <w:vAlign w:val="bottom"/>
          </w:tcPr>
          <w:p>
            <w:pPr>
              <w:ind w:left="100"/>
              <w:spacing w:after="0" w:line="206" w:lineRule="exact"/>
              <w:rPr>
                <w:sz w:val="20"/>
                <w:szCs w:val="20"/>
                <w:color w:val="auto"/>
              </w:rPr>
            </w:pPr>
            <w:r>
              <w:rPr>
                <w:rFonts w:ascii="Arial" w:cs="Arial" w:eastAsia="Arial" w:hAnsi="Arial"/>
                <w:sz w:val="18"/>
                <w:szCs w:val="18"/>
                <w:color w:val="auto"/>
              </w:rPr>
              <w:t>Vice President, Information Services since June 2013. From September 2011 to June 2013, he served as Managing</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48, Vice President,</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Director, Corporate Communications and Investor Relations. From August 2010 to September 2011, he served as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Information Services</w:t>
            </w:r>
          </w:p>
        </w:tc>
        <w:tc>
          <w:tcPr>
            <w:tcW w:w="9480" w:type="dxa"/>
            <w:vAlign w:val="bottom"/>
          </w:tcPr>
          <w:p>
            <w:pPr>
              <w:ind w:left="100"/>
              <w:spacing w:after="0" w:line="202" w:lineRule="exact"/>
              <w:rPr>
                <w:sz w:val="20"/>
                <w:szCs w:val="20"/>
                <w:color w:val="auto"/>
              </w:rPr>
            </w:pPr>
            <w:r>
              <w:rPr>
                <w:rFonts w:ascii="Arial" w:cs="Arial" w:eastAsia="Arial" w:hAnsi="Arial"/>
                <w:sz w:val="18"/>
                <w:szCs w:val="18"/>
                <w:color w:val="auto"/>
              </w:rPr>
              <w:t>Director, Investor and Public Relations. From November 2007 to August 2010, he served as Director, Business</w:t>
            </w:r>
          </w:p>
        </w:tc>
      </w:tr>
      <w:tr>
        <w:trPr>
          <w:trHeight w:val="220"/>
        </w:trPr>
        <w:tc>
          <w:tcPr>
            <w:tcW w:w="1940" w:type="dxa"/>
            <w:vAlign w:val="bottom"/>
            <w:tcBorders>
              <w:bottom w:val="single" w:sz="8" w:color="auto"/>
            </w:tcBorders>
          </w:tcPr>
          <w:p>
            <w:pPr>
              <w:spacing w:after="0"/>
              <w:rPr>
                <w:sz w:val="19"/>
                <w:szCs w:val="19"/>
                <w:color w:val="auto"/>
              </w:rPr>
            </w:pPr>
          </w:p>
        </w:tc>
        <w:tc>
          <w:tcPr>
            <w:tcW w:w="9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Development.</w:t>
            </w:r>
          </w:p>
        </w:tc>
      </w:tr>
    </w:tbl>
    <w:p>
      <w:pPr>
        <w:sectPr>
          <w:pgSz w:w="11900" w:h="16838" w:orient="portrait"/>
          <w:cols w:equalWidth="0" w:num="1">
            <w:col w:w="11420"/>
          </w:cols>
          <w:pgMar w:left="240" w:top="143" w:right="239" w:bottom="0" w:gutter="0" w:footer="0" w:header="0"/>
        </w:sectPr>
      </w:pPr>
    </w:p>
    <w:bookmarkStart w:id="25" w:name="page26"/>
    <w:bookmarkEnd w:id="25"/>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144780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2014 and 2013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3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October 31, 2014</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Second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Fourth</w:t>
            </w: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price per share of common stock</w:t>
            </w:r>
          </w:p>
        </w:tc>
        <w:tc>
          <w:tcPr>
            <w:tcW w:w="3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High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$ 65.31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67.35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$ 66.30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$ 63.19</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Low sales price</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56.96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55.77</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Last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63.36</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64.33</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59.16</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61.73</w:t>
            </w: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0.20</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0.20</w:t>
            </w:r>
          </w:p>
        </w:tc>
        <w:tc>
          <w:tcPr>
            <w:tcW w:w="80" w:type="dxa"/>
            <w:vAlign w:val="bottom"/>
            <w:shd w:val="clear" w:color="auto" w:fill="CCEEFF"/>
          </w:tcPr>
          <w:p>
            <w:pPr>
              <w:spacing w:after="0"/>
              <w:rPr>
                <w:sz w:val="16"/>
                <w:szCs w:val="16"/>
                <w:color w:val="auto"/>
              </w:rPr>
            </w:pPr>
          </w:p>
        </w:tc>
      </w:tr>
      <w:tr>
        <w:trPr>
          <w:trHeight w:val="628"/>
        </w:trPr>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760" w:type="dxa"/>
            <w:vAlign w:val="bottom"/>
            <w:tcBorders>
              <w:top w:val="single" w:sz="8" w:color="auto"/>
              <w:bottom w:val="single" w:sz="8" w:color="auto"/>
            </w:tcBorders>
          </w:tcPr>
          <w:p>
            <w:pPr>
              <w:spacing w:after="0"/>
              <w:rPr>
                <w:sz w:val="24"/>
                <w:szCs w:val="24"/>
                <w:color w:val="auto"/>
              </w:rPr>
            </w:pPr>
          </w:p>
        </w:tc>
        <w:tc>
          <w:tcPr>
            <w:tcW w:w="33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840" w:type="dxa"/>
            <w:vAlign w:val="bottom"/>
            <w:gridSpan w:val="2"/>
          </w:tcPr>
          <w:p>
            <w:pPr>
              <w:ind w:left="80"/>
              <w:spacing w:after="0"/>
              <w:rPr>
                <w:sz w:val="20"/>
                <w:szCs w:val="20"/>
                <w:color w:val="auto"/>
              </w:rPr>
            </w:pPr>
            <w:r>
              <w:rPr>
                <w:rFonts w:ascii="Arial" w:cs="Arial" w:eastAsia="Arial" w:hAnsi="Arial"/>
                <w:sz w:val="14"/>
                <w:szCs w:val="14"/>
                <w:color w:val="auto"/>
              </w:rPr>
              <w:t>Fiscal year ended</w:t>
            </w: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8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October 31, 2013</w:t>
            </w:r>
          </w:p>
        </w:tc>
        <w:tc>
          <w:tcPr>
            <w:tcW w:w="33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First</w:t>
            </w:r>
          </w:p>
        </w:tc>
        <w:tc>
          <w:tcPr>
            <w:tcW w:w="760" w:type="dxa"/>
            <w:vAlign w:val="bottom"/>
            <w:gridSpan w:val="2"/>
          </w:tcPr>
          <w:p>
            <w:pPr>
              <w:jc w:val="right"/>
              <w:ind w:right="48"/>
              <w:spacing w:after="0" w:line="157" w:lineRule="exact"/>
              <w:rPr>
                <w:sz w:val="20"/>
                <w:szCs w:val="20"/>
                <w:color w:val="auto"/>
              </w:rPr>
            </w:pPr>
            <w:r>
              <w:rPr>
                <w:rFonts w:ascii="Arial" w:cs="Arial" w:eastAsia="Arial" w:hAnsi="Arial"/>
                <w:sz w:val="14"/>
                <w:szCs w:val="14"/>
                <w:color w:val="auto"/>
              </w:rPr>
              <w:t>Second</w:t>
            </w:r>
          </w:p>
        </w:tc>
        <w:tc>
          <w:tcPr>
            <w:tcW w:w="6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Third</w:t>
            </w:r>
          </w:p>
        </w:tc>
        <w:tc>
          <w:tcPr>
            <w:tcW w:w="800" w:type="dxa"/>
            <w:vAlign w:val="bottom"/>
            <w:gridSpan w:val="4"/>
          </w:tcPr>
          <w:p>
            <w:pPr>
              <w:ind w:left="140"/>
              <w:spacing w:after="0" w:line="157" w:lineRule="exact"/>
              <w:rPr>
                <w:sz w:val="20"/>
                <w:szCs w:val="20"/>
                <w:color w:val="auto"/>
              </w:rPr>
            </w:pPr>
            <w:r>
              <w:rPr>
                <w:rFonts w:ascii="Arial" w:cs="Arial" w:eastAsia="Arial" w:hAnsi="Arial"/>
                <w:sz w:val="14"/>
                <w:szCs w:val="14"/>
                <w:color w:val="auto"/>
              </w:rPr>
              <w:t>Fourth</w:t>
            </w: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Market price per share of common stock</w:t>
            </w:r>
          </w:p>
        </w:tc>
        <w:tc>
          <w:tcPr>
            <w:tcW w:w="3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High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$ 45.18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48.59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$ 50.14</w:t>
            </w:r>
          </w:p>
        </w:tc>
        <w:tc>
          <w:tcPr>
            <w:tcW w:w="560" w:type="dxa"/>
            <w:vAlign w:val="bottom"/>
          </w:tcPr>
          <w:p>
            <w:pPr>
              <w:jc w:val="right"/>
              <w:spacing w:after="0"/>
              <w:rPr>
                <w:sz w:val="20"/>
                <w:szCs w:val="20"/>
                <w:color w:val="auto"/>
              </w:rPr>
            </w:pPr>
            <w:r>
              <w:rPr>
                <w:rFonts w:ascii="Arial" w:cs="Arial" w:eastAsia="Arial" w:hAnsi="Arial"/>
                <w:sz w:val="14"/>
                <w:szCs w:val="14"/>
                <w:color w:val="auto"/>
              </w:rPr>
              <w:t>$ 59.50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Low sales price</w:t>
            </w:r>
          </w:p>
        </w:tc>
        <w:tc>
          <w:tcPr>
            <w:tcW w:w="3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40.25</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43.14</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44.17</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Last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44.93</w:t>
            </w:r>
          </w:p>
        </w:tc>
        <w:tc>
          <w:tcPr>
            <w:tcW w:w="1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45.19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49.38</w:t>
            </w:r>
          </w:p>
        </w:tc>
        <w:tc>
          <w:tcPr>
            <w:tcW w:w="560" w:type="dxa"/>
            <w:vAlign w:val="bottom"/>
          </w:tcPr>
          <w:p>
            <w:pPr>
              <w:jc w:val="right"/>
              <w:spacing w:after="0"/>
              <w:rPr>
                <w:sz w:val="20"/>
                <w:szCs w:val="20"/>
                <w:color w:val="auto"/>
              </w:rPr>
            </w:pPr>
            <w:r>
              <w:rPr>
                <w:rFonts w:ascii="Arial" w:cs="Arial" w:eastAsia="Arial" w:hAnsi="Arial"/>
                <w:sz w:val="14"/>
                <w:szCs w:val="14"/>
                <w:color w:val="auto"/>
              </w:rPr>
              <w:t>58.94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w:t>
            </w:r>
          </w:p>
        </w:tc>
        <w:tc>
          <w:tcPr>
            <w:tcW w:w="3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bl>
    <w:p>
      <w:pPr>
        <w:spacing w:after="0" w:line="221" w:lineRule="exact"/>
        <w:rPr>
          <w:sz w:val="20"/>
          <w:szCs w:val="20"/>
          <w:color w:val="auto"/>
        </w:rPr>
      </w:pPr>
    </w:p>
    <w:p>
      <w:pPr>
        <w:ind w:left="540" w:right="80" w:hanging="532"/>
        <w:spacing w:after="0" w:line="219" w:lineRule="auto"/>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During fiscal 2013, our annual dividend guideline was 20 to 30 percent of our three-year average net earnings per share for the current and previous two fiscal years. In December 2013, we increased our annual dividend guideline to 30 to 40 percent of our three-year average net earnings per share. However, future cash dividends will depend upon our financial condition, capital requirements, results of operations, and other factors deemed relevant by our Board of Directors. Restrictions on our ability to pay dividends are disclosed in Item 7, "Management's Discussion and Analysis of Financial Condition and Results of Operations" and Note 6 of the Notes to Consolidated Financial Statements included in Item 8, Financial Statements and Supplementary Data.</w:t>
      </w:r>
    </w:p>
    <w:p>
      <w:pPr>
        <w:spacing w:after="0" w:line="184"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 175,000,000 shares authorized, $1.00 par value, as of October 31, 2014 and 2013. 55,678,419 and 56,788,723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as of October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1,000,000 voting shares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 As of December 12, 2014, we had approximately 3,547 shareholders of record.</w:t>
      </w:r>
    </w:p>
    <w:p>
      <w:pPr>
        <w:spacing w:after="0" w:line="21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sets forth information with respect to shares of our common stock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each of the three fiscal months in our fourth quarter ended October 31, 2014.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Maximum</w:t>
            </w:r>
          </w:p>
        </w:tc>
        <w:tc>
          <w:tcPr>
            <w:tcW w:w="160" w:type="dxa"/>
            <w:vAlign w:val="bottom"/>
          </w:tcPr>
          <w:p>
            <w:pPr>
              <w:spacing w:after="0"/>
              <w:rPr>
                <w:sz w:val="15"/>
                <w:szCs w:val="15"/>
                <w:color w:val="auto"/>
              </w:rPr>
            </w:pPr>
          </w:p>
        </w:tc>
      </w:tr>
      <w:tr>
        <w:trPr>
          <w:trHeight w:val="162"/>
        </w:trPr>
        <w:tc>
          <w:tcPr>
            <w:tcW w:w="5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Total</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Number of</w:t>
            </w:r>
          </w:p>
        </w:tc>
      </w:tr>
      <w:tr>
        <w:trPr>
          <w:trHeight w:val="162"/>
        </w:trPr>
        <w:tc>
          <w:tcPr>
            <w:tcW w:w="5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Shares</w:t>
            </w:r>
          </w:p>
        </w:tc>
      </w:tr>
      <w:tr>
        <w:trPr>
          <w:trHeight w:val="162"/>
        </w:trPr>
        <w:tc>
          <w:tcPr>
            <w:tcW w:w="5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Shares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that</w:t>
            </w:r>
          </w:p>
        </w:tc>
      </w:tr>
      <w:tr>
        <w:trPr>
          <w:trHeight w:val="162"/>
        </w:trPr>
        <w:tc>
          <w:tcPr>
            <w:tcW w:w="5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Purchased</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May Yet</w:t>
            </w:r>
          </w:p>
        </w:tc>
      </w:tr>
      <w:tr>
        <w:trPr>
          <w:trHeight w:val="162"/>
        </w:trPr>
        <w:tc>
          <w:tcPr>
            <w:tcW w:w="5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Average</w:t>
            </w:r>
          </w:p>
        </w:tc>
        <w:tc>
          <w:tcPr>
            <w:tcW w:w="840" w:type="dxa"/>
            <w:vAlign w:val="bottom"/>
          </w:tcPr>
          <w:p>
            <w:pPr>
              <w:jc w:val="right"/>
              <w:spacing w:after="0"/>
              <w:rPr>
                <w:sz w:val="20"/>
                <w:szCs w:val="20"/>
                <w:color w:val="auto"/>
              </w:rPr>
            </w:pPr>
            <w:r>
              <w:rPr>
                <w:rFonts w:ascii="Arial" w:cs="Arial" w:eastAsia="Arial" w:hAnsi="Arial"/>
                <w:sz w:val="14"/>
                <w:szCs w:val="14"/>
                <w:color w:val="auto"/>
              </w:rPr>
              <w:t>as Part of</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be</w:t>
            </w:r>
          </w:p>
        </w:tc>
      </w:tr>
      <w:tr>
        <w:trPr>
          <w:trHeight w:val="162"/>
        </w:trPr>
        <w:tc>
          <w:tcPr>
            <w:tcW w:w="532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Price</w:t>
            </w:r>
          </w:p>
        </w:tc>
        <w:tc>
          <w:tcPr>
            <w:tcW w:w="840" w:type="dxa"/>
            <w:vAlign w:val="bottom"/>
          </w:tcPr>
          <w:p>
            <w:pPr>
              <w:jc w:val="right"/>
              <w:spacing w:after="0"/>
              <w:rPr>
                <w:sz w:val="20"/>
                <w:szCs w:val="20"/>
                <w:color w:val="auto"/>
              </w:rPr>
            </w:pPr>
            <w:r>
              <w:rPr>
                <w:rFonts w:ascii="Arial" w:cs="Arial" w:eastAsia="Arial" w:hAnsi="Arial"/>
                <w:sz w:val="14"/>
                <w:szCs w:val="14"/>
                <w:color w:val="auto"/>
              </w:rPr>
              <w:t>Publicly</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Purchased</w:t>
            </w:r>
          </w:p>
        </w:tc>
      </w:tr>
      <w:tr>
        <w:trPr>
          <w:trHeight w:val="162"/>
        </w:trPr>
        <w:tc>
          <w:tcPr>
            <w:tcW w:w="532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Paid</w:t>
            </w:r>
          </w:p>
        </w:tc>
        <w:tc>
          <w:tcPr>
            <w:tcW w:w="84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Under the</w:t>
            </w:r>
          </w:p>
        </w:tc>
      </w:tr>
      <w:tr>
        <w:trPr>
          <w:trHeight w:val="154"/>
        </w:trPr>
        <w:tc>
          <w:tcPr>
            <w:tcW w:w="5320" w:type="dxa"/>
            <w:vAlign w:val="bottom"/>
          </w:tcPr>
          <w:p>
            <w:pPr>
              <w:spacing w:after="0"/>
              <w:rPr>
                <w:sz w:val="13"/>
                <w:szCs w:val="13"/>
                <w:color w:val="auto"/>
              </w:rPr>
            </w:pPr>
          </w:p>
        </w:tc>
        <w:tc>
          <w:tcPr>
            <w:tcW w:w="3400" w:type="dxa"/>
            <w:vAlign w:val="bottom"/>
          </w:tcPr>
          <w:p>
            <w:pPr>
              <w:jc w:val="right"/>
              <w:spacing w:after="0" w:line="154"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640" w:type="dxa"/>
            <w:vAlign w:val="bottom"/>
          </w:tcPr>
          <w:p>
            <w:pPr>
              <w:jc w:val="right"/>
              <w:ind w:right="28"/>
              <w:spacing w:after="0" w:line="154" w:lineRule="exact"/>
              <w:rPr>
                <w:sz w:val="20"/>
                <w:szCs w:val="20"/>
                <w:color w:val="auto"/>
              </w:rPr>
            </w:pPr>
            <w:r>
              <w:rPr>
                <w:rFonts w:ascii="Arial" w:cs="Arial" w:eastAsia="Arial" w:hAnsi="Arial"/>
                <w:sz w:val="14"/>
                <w:szCs w:val="14"/>
                <w:color w:val="auto"/>
              </w:rPr>
              <w:t>Per</w:t>
            </w:r>
          </w:p>
        </w:tc>
        <w:tc>
          <w:tcPr>
            <w:tcW w:w="840" w:type="dxa"/>
            <w:vAlign w:val="bottom"/>
          </w:tcPr>
          <w:p>
            <w:pPr>
              <w:jc w:val="right"/>
              <w:spacing w:after="0" w:line="154" w:lineRule="exact"/>
              <w:rPr>
                <w:sz w:val="20"/>
                <w:szCs w:val="20"/>
                <w:color w:val="auto"/>
              </w:rPr>
            </w:pPr>
            <w:r>
              <w:rPr>
                <w:rFonts w:ascii="Arial" w:cs="Arial" w:eastAsia="Arial" w:hAnsi="Arial"/>
                <w:sz w:val="14"/>
                <w:szCs w:val="14"/>
                <w:color w:val="auto"/>
              </w:rPr>
              <w:t>Plans or</w:t>
            </w:r>
          </w:p>
        </w:tc>
        <w:tc>
          <w:tcPr>
            <w:tcW w:w="1060" w:type="dxa"/>
            <w:vAlign w:val="bottom"/>
            <w:gridSpan w:val="2"/>
          </w:tcPr>
          <w:p>
            <w:pPr>
              <w:jc w:val="right"/>
              <w:ind w:right="160"/>
              <w:spacing w:after="0" w:line="154" w:lineRule="exact"/>
              <w:rPr>
                <w:sz w:val="20"/>
                <w:szCs w:val="20"/>
                <w:color w:val="auto"/>
              </w:rPr>
            </w:pPr>
            <w:r>
              <w:rPr>
                <w:rFonts w:ascii="Arial" w:cs="Arial" w:eastAsia="Arial" w:hAnsi="Arial"/>
                <w:sz w:val="14"/>
                <w:szCs w:val="14"/>
                <w:color w:val="auto"/>
              </w:rPr>
              <w:t>Plans or</w:t>
            </w:r>
          </w:p>
        </w:tc>
      </w:tr>
      <w:tr>
        <w:trPr>
          <w:trHeight w:val="192"/>
        </w:trPr>
        <w:tc>
          <w:tcPr>
            <w:tcW w:w="5320" w:type="dxa"/>
            <w:vAlign w:val="bottom"/>
          </w:tcPr>
          <w:p>
            <w:pPr>
              <w:spacing w:after="0"/>
              <w:rPr>
                <w:sz w:val="20"/>
                <w:szCs w:val="20"/>
                <w:color w:val="auto"/>
              </w:rPr>
            </w:pPr>
            <w:r>
              <w:rPr>
                <w:rFonts w:ascii="Arial" w:cs="Arial" w:eastAsia="Arial" w:hAnsi="Arial"/>
                <w:sz w:val="14"/>
                <w:szCs w:val="14"/>
                <w:color w:val="auto"/>
              </w:rPr>
              <w:t>Period</w:t>
            </w:r>
          </w:p>
        </w:tc>
        <w:tc>
          <w:tcPr>
            <w:tcW w:w="3400" w:type="dxa"/>
            <w:vAlign w:val="bottom"/>
          </w:tcPr>
          <w:p>
            <w:pPr>
              <w:jc w:val="right"/>
              <w:spacing w:after="0" w:line="193" w:lineRule="exact"/>
              <w:rPr>
                <w:sz w:val="20"/>
                <w:szCs w:val="20"/>
                <w:color w:val="auto"/>
              </w:rPr>
            </w:pPr>
            <w:r>
              <w:rPr>
                <w:rFonts w:ascii="Arial" w:cs="Arial" w:eastAsia="Arial" w:hAnsi="Arial"/>
                <w:sz w:val="14"/>
                <w:szCs w:val="14"/>
                <w:color w:val="auto"/>
              </w:rPr>
              <w:t>Purchased</w:t>
            </w:r>
            <w:r>
              <w:rPr>
                <w:rFonts w:ascii="Arial" w:cs="Arial" w:eastAsia="Arial" w:hAnsi="Arial"/>
                <w:sz w:val="21"/>
                <w:szCs w:val="21"/>
                <w:color w:val="auto"/>
                <w:vertAlign w:val="superscript"/>
              </w:rPr>
              <w:t>1,2,3</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spacing w:after="0" w:line="193"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c>
          <w:tcPr>
            <w:tcW w:w="1060" w:type="dxa"/>
            <w:vAlign w:val="bottom"/>
            <w:gridSpan w:val="2"/>
          </w:tcPr>
          <w:p>
            <w:pPr>
              <w:jc w:val="right"/>
              <w:ind w:right="160"/>
              <w:spacing w:after="0" w:line="193"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r>
      <w:tr>
        <w:trPr>
          <w:trHeight w:val="16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August 2, 2014 through</w:t>
            </w:r>
          </w:p>
        </w:tc>
        <w:tc>
          <w:tcPr>
            <w:tcW w:w="3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53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August 29, 2014</w:t>
            </w:r>
          </w:p>
        </w:tc>
        <w:tc>
          <w:tcPr>
            <w:tcW w:w="3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41,963</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60.36</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36,678</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2,720,493</w:t>
            </w:r>
          </w:p>
        </w:tc>
        <w:tc>
          <w:tcPr>
            <w:tcW w:w="160" w:type="dxa"/>
            <w:vAlign w:val="bottom"/>
            <w:shd w:val="clear" w:color="auto" w:fill="CCEEFF"/>
          </w:tcPr>
          <w:p>
            <w:pPr>
              <w:spacing w:after="0"/>
              <w:rPr>
                <w:sz w:val="13"/>
                <w:szCs w:val="13"/>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August 30, 2014 through September 26, 2014</w:t>
            </w:r>
          </w:p>
        </w:tc>
        <w:tc>
          <w:tcPr>
            <w:tcW w:w="3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2,720,493</w:t>
            </w:r>
          </w:p>
        </w:tc>
        <w:tc>
          <w:tcPr>
            <w:tcW w:w="160" w:type="dxa"/>
            <w:vAlign w:val="bottom"/>
          </w:tcPr>
          <w:p>
            <w:pPr>
              <w:spacing w:after="0"/>
              <w:rPr>
                <w:sz w:val="14"/>
                <w:szCs w:val="14"/>
                <w:color w:val="auto"/>
              </w:rPr>
            </w:pPr>
          </w:p>
        </w:tc>
      </w:tr>
      <w:tr>
        <w:trPr>
          <w:trHeight w:val="167"/>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September 27, 2014 through</w:t>
            </w:r>
          </w:p>
        </w:tc>
        <w:tc>
          <w:tcPr>
            <w:tcW w:w="3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5320" w:type="dxa"/>
            <w:vAlign w:val="bottom"/>
            <w:tcBorders>
              <w:bottom w:val="single" w:sz="8" w:color="auto"/>
            </w:tcBorders>
            <w:shd w:val="clear" w:color="auto" w:fill="CCEEFF"/>
          </w:tcPr>
          <w:p>
            <w:pPr>
              <w:ind w:left="120"/>
              <w:spacing w:after="0" w:line="157" w:lineRule="exact"/>
              <w:rPr>
                <w:sz w:val="20"/>
                <w:szCs w:val="20"/>
                <w:color w:val="auto"/>
              </w:rPr>
            </w:pPr>
            <w:r>
              <w:rPr>
                <w:rFonts w:ascii="Arial" w:cs="Arial" w:eastAsia="Arial" w:hAnsi="Arial"/>
                <w:sz w:val="14"/>
                <w:szCs w:val="14"/>
                <w:color w:val="auto"/>
              </w:rPr>
              <w:t>October 31, 2014</w:t>
            </w:r>
          </w:p>
        </w:tc>
        <w:tc>
          <w:tcPr>
            <w:tcW w:w="34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1,028</w:t>
            </w: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56.88</w:t>
            </w:r>
          </w:p>
        </w:tc>
        <w:tc>
          <w:tcPr>
            <w:tcW w:w="8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2,720,493</w:t>
            </w:r>
          </w:p>
        </w:tc>
        <w:tc>
          <w:tcPr>
            <w:tcW w:w="160" w:type="dxa"/>
            <w:vAlign w:val="bottom"/>
            <w:shd w:val="clear" w:color="auto" w:fill="CCEEFF"/>
          </w:tcPr>
          <w:p>
            <w:pPr>
              <w:spacing w:after="0"/>
              <w:rPr>
                <w:sz w:val="13"/>
                <w:szCs w:val="13"/>
                <w:color w:val="auto"/>
              </w:rPr>
            </w:pPr>
          </w:p>
        </w:tc>
      </w:tr>
      <w:tr>
        <w:trPr>
          <w:trHeight w:val="196"/>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36,678</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On December 11, 2012, the Board of Directors authorized the repurchase of 5,000,000 shares of our common stock in open-market or in privately negotiated transactions.</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80" w:type="dxa"/>
            <w:vAlign w:val="bottom"/>
          </w:tcPr>
          <w:p>
            <w:pPr>
              <w:ind w:left="240"/>
              <w:spacing w:after="0"/>
              <w:rPr>
                <w:sz w:val="20"/>
                <w:szCs w:val="20"/>
                <w:color w:val="auto"/>
              </w:rPr>
            </w:pPr>
            <w:r>
              <w:rPr>
                <w:rFonts w:ascii="Arial" w:cs="Arial" w:eastAsia="Arial" w:hAnsi="Arial"/>
                <w:sz w:val="14"/>
                <w:szCs w:val="14"/>
                <w:color w:val="auto"/>
              </w:rPr>
              <w:t>This program has no expiration date but may be terminated by the Board of Directors at any time.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Includes 5,285 shares of our common stock surrendered by employees to satisfy minimum tax withholding obligations upon vesting of restricted stock granted under our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tcPr>
          <w:p>
            <w:pPr>
              <w:ind w:left="240"/>
              <w:spacing w:after="0"/>
              <w:rPr>
                <w:sz w:val="20"/>
                <w:szCs w:val="20"/>
                <w:color w:val="auto"/>
              </w:rPr>
            </w:pPr>
            <w:r>
              <w:rPr>
                <w:rFonts w:ascii="Arial" w:cs="Arial" w:eastAsia="Arial" w:hAnsi="Arial"/>
                <w:sz w:val="14"/>
                <w:szCs w:val="14"/>
                <w:color w:val="auto"/>
              </w:rPr>
              <w:t>incentive plan. These 5,285 shares were not repurchased under our repurchase program, described in footnote 1 above.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Includes 1,028 units (shares) of our common stock purchased in open-market transactions at an average price of $56.88 per share on behalf of a rabbi trust formed to pay</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benefit obligations to participants in deferred compensation plans. These 1,028 shares were not repurchased under our repurchase program, described in footnote 1</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above.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2009 through October 31, 2014.</w:t>
      </w:r>
    </w:p>
    <w:p>
      <w:pPr>
        <w:spacing w:after="0" w:line="187"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COMPARISON OF 5 YEAR CUMULATIVE TOTAL SHAREHOLDER RETURN* Among The Toro Company,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125730</wp:posOffset>
            </wp:positionV>
            <wp:extent cx="5848985" cy="2649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98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*$100 invested on 10/31/2009 in stock or index, including reinvestment of dividends.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Fiscal year ending October 31.</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2009</w:t>
            </w:r>
          </w:p>
        </w:tc>
        <w:tc>
          <w:tcPr>
            <w:tcW w:w="10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2010</w:t>
            </w:r>
          </w:p>
        </w:tc>
        <w:tc>
          <w:tcPr>
            <w:tcW w:w="10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2011</w:t>
            </w:r>
          </w:p>
        </w:tc>
        <w:tc>
          <w:tcPr>
            <w:tcW w:w="10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2012</w:t>
            </w:r>
          </w:p>
        </w:tc>
        <w:tc>
          <w:tcPr>
            <w:tcW w:w="10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The Toro Company</w:t>
            </w:r>
          </w:p>
        </w:tc>
        <w:tc>
          <w:tcPr>
            <w:tcW w:w="132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$ 100.00</w:t>
            </w: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$ 155.55</w:t>
            </w:r>
          </w:p>
        </w:tc>
        <w:tc>
          <w:tcPr>
            <w:tcW w:w="106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$ 150.16</w:t>
            </w:r>
          </w:p>
        </w:tc>
        <w:tc>
          <w:tcPr>
            <w:tcW w:w="104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$ 237.62</w:t>
            </w: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$ 335.71</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$ 356.13</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116.52</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125.94</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145.09</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184.52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216.39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136.50</w:t>
            </w:r>
          </w:p>
        </w:tc>
        <w:tc>
          <w:tcPr>
            <w:tcW w:w="1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149.04</w:t>
            </w:r>
          </w:p>
        </w:tc>
        <w:tc>
          <w:tcPr>
            <w:tcW w:w="10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159.40</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198.54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221.12</w:t>
            </w:r>
          </w:p>
        </w:tc>
        <w:tc>
          <w:tcPr>
            <w:tcW w:w="160" w:type="dxa"/>
            <w:vAlign w:val="bottom"/>
            <w:shd w:val="clear" w:color="auto" w:fill="CCEEFF"/>
          </w:tcPr>
          <w:p>
            <w:pPr>
              <w:spacing w:after="0"/>
              <w:rPr>
                <w:sz w:val="14"/>
                <w:szCs w:val="1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industry peer group is based on the companies previously included in the Fortune 500 Industrial and Farm Equipment Index, which was</w:t>
      </w:r>
    </w:p>
    <w:p>
      <w:pPr>
        <w:spacing w:after="0" w:line="234" w:lineRule="auto"/>
        <w:rPr>
          <w:sz w:val="20"/>
          <w:szCs w:val="20"/>
          <w:color w:val="auto"/>
        </w:rPr>
      </w:pPr>
      <w:r>
        <w:rPr>
          <w:rFonts w:ascii="Arial" w:cs="Arial" w:eastAsia="Arial" w:hAnsi="Arial"/>
          <w:sz w:val="18"/>
          <w:szCs w:val="18"/>
          <w:color w:val="auto"/>
        </w:rPr>
        <w:t>discontinued after 2002 and includes: AGCO Corporation, The Alpine Group, Briggs &amp; Stratton Corporation, Caterpillar Inc., Crane Co.,</w:t>
      </w:r>
    </w:p>
    <w:p>
      <w:pPr>
        <w:spacing w:after="0" w:line="235" w:lineRule="auto"/>
        <w:rPr>
          <w:sz w:val="20"/>
          <w:szCs w:val="20"/>
          <w:color w:val="auto"/>
        </w:rPr>
      </w:pPr>
      <w:r>
        <w:rPr>
          <w:rFonts w:ascii="Arial" w:cs="Arial" w:eastAsia="Arial" w:hAnsi="Arial"/>
          <w:sz w:val="18"/>
          <w:szCs w:val="18"/>
          <w:color w:val="auto"/>
        </w:rPr>
        <w:t>Cummins Inc., Deere &amp; Company, Dover Corporation, Flowserve Corporation, General Cable Corporation, Harsco Corporation, Illinois Tool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Works Inc., International Game Technology, ITT Corporation, Kennametal Inc., Lennox International Inc., NACCO Industries, Inc., Pall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Parker-Hannifin Corporation, Pentair Ltd., Snap-On Inc., Tecumseh Products Company, Teleflex Inc., Terex Corporation, The Timken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Walter Energy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4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2014. The table should be read in conjunction with Item 7, "Management's Discussion and Analysis of Financial Condition and Results of Operations," and Item 8, "Financial Statements and Supplementary Data," of this Annual Report on Form 10-K.</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2,172,691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2,041,431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1,958,690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1,883,953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1,690,378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Net sales growth from prior year</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Gross profit as a percentage of net sales</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35.6%</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35.5%</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Selling, general, and administrative expense as a</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Operating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263,157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230,662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205,613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184,487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151,266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173,870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154,845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129,541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117,658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93,237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3.02</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Return on average stockholders' equity</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45.3%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1,192,415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1,002,748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935,199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870,663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885,622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Average net working capital as a percentage of net</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5" w:lineRule="exact"/>
              <w:rPr>
                <w:sz w:val="20"/>
                <w:szCs w:val="20"/>
                <w:color w:val="auto"/>
              </w:rPr>
            </w:pPr>
            <w:r>
              <w:rPr>
                <w:rFonts w:ascii="Arial" w:cs="Arial" w:eastAsia="Arial" w:hAnsi="Arial"/>
                <w:sz w:val="14"/>
                <w:szCs w:val="14"/>
                <w:b w:val="1"/>
                <w:bCs w:val="1"/>
                <w:color w:val="auto"/>
              </w:rPr>
              <w:t>sales</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Long-term debt, including current portion</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353,956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223,544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225,340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227,156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225,548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408,727</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358,738</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312,402</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266,767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275,810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Debt-to-capitalization ratio</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47.8%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Cash provided by operating activities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182,365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221,876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185,798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113,877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193,507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Repurchases of Toro common stock</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103,039</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99,587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93,395</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129,955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135,777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0.80</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0.56</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0.44</w:t>
            </w:r>
          </w:p>
        </w:tc>
        <w:tc>
          <w:tcPr>
            <w:tcW w:w="1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0.40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Market price range –</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67.35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59.50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42.36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34.215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200"/>
              <w:spacing w:after="0" w:line="189" w:lineRule="exact"/>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55.77</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40.25</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25.89</w:t>
            </w:r>
          </w:p>
        </w:tc>
        <w:tc>
          <w:tcPr>
            <w:tcW w:w="1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22.525</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Average number of employees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5,979</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5,066</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4,947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Per share data and sales prices have been adjusted for all periods presented to reflect the impact of the company's two-for-one stock split effective June 29, 2012.</w:t>
      </w: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Average net working capital is defined as monthly average accounts receivable plus inventory less trade payables.</w:t>
      </w:r>
    </w:p>
    <w:p>
      <w:pPr>
        <w:spacing w:after="0" w:line="99" w:lineRule="exact"/>
        <w:rPr>
          <w:sz w:val="20"/>
          <w:szCs w:val="20"/>
          <w:color w:val="auto"/>
        </w:rPr>
      </w:pPr>
    </w:p>
    <w:p>
      <w:pPr>
        <w:ind w:right="820"/>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landscaping equipment and lighting, agricultural micro-irrigation systems, rental and specialty construction equipment, and residential yard and snow thrower products. Beginning in fiscal 2015 with our recent acquisition of BOSS®, we also design, manufacture, and market professional snow and ice management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2014 Results</w:t>
      </w:r>
    </w:p>
    <w:p>
      <w:pPr>
        <w:spacing w:after="0" w:line="23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fiscal 2014, we achieved record net sales of $2,172.7 million and net earnings growth of 12.3 percent. With the culmination of our Destination 2014 initiative that we launched in fiscal 2011, we exceeded our revenue growth goal in fiscal 2014, which was to achieve $100 million in organic revenue growth, by realizing $128.5 million of organic revenue growth. We define organic revenue growth as the increase in net sales, less net sales from acquisitions that occurred in the prior twelve-month period. We also exceeded our Destination 2014 operating earnings goal, which was to raise our operating earnings as a percentage of net sales to 12 percent by the end of fiscal 2014, by attaining operating earnings as a percentage of net sales of 12.1 percent in fiscal 2014. Our fiscal 2014 results included the following items of significance:</w:t>
      </w:r>
    </w:p>
    <w:p>
      <w:pPr>
        <w:spacing w:after="0" w:line="185" w:lineRule="exact"/>
        <w:rPr>
          <w:sz w:val="20"/>
          <w:szCs w:val="20"/>
          <w:color w:val="auto"/>
        </w:rPr>
      </w:pPr>
    </w:p>
    <w:p>
      <w:pPr>
        <w:ind w:left="540" w:right="180" w:hanging="532"/>
        <w:spacing w:after="0" w:line="23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for fiscal 2014 increased by 6.4 percent compared to fiscal 2013 to a record of $2,172.7 million. This increase was primarily attributable to strong sales and demand of snow thrower products, increased sales of landscape contractor equipment, continued market growth and demand for our micro-irrigation products, higher shipments and demand for our residential zero-turn riding mowers, the successful introduction of new and enhanced products, improved price realization, and incremental sales from acquisitions of $2.8 million. However, sales in Australia were down in fiscal 2014 compared to fiscal 2013.</w:t>
      </w:r>
    </w:p>
    <w:p>
      <w:pPr>
        <w:spacing w:after="0" w:line="8" w:lineRule="exact"/>
        <w:rPr>
          <w:rFonts w:ascii="Arial" w:cs="Arial" w:eastAsia="Arial" w:hAnsi="Arial"/>
          <w:sz w:val="18"/>
          <w:szCs w:val="18"/>
          <w:color w:val="auto"/>
        </w:rPr>
      </w:pPr>
    </w:p>
    <w:p>
      <w:pPr>
        <w:ind w:left="540" w:right="80" w:hanging="532"/>
        <w:spacing w:after="0" w:line="264"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Professional segment net sales, which represented 68 percent of our total consolidated net sales in fiscal 2014, grew 3.7 percent in fiscal 2014 compared to fiscal 2013. Shipments increased due to higher demand for our landscape contractor equipment products, increased sales of micro-irrigation products from continued market growth and demand for our drip irrigation solutions for agricultural markets worldwide, and the successful introduction of new and enhanced products. Additionally, improved price realization and incremental sales of $2.8 million from acquisitions contributed to our professional segment net sales increase in fiscal 2014 compared to fiscal 2013.</w:t>
      </w:r>
    </w:p>
    <w:p>
      <w:pPr>
        <w:ind w:left="540" w:right="4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residential segment net sales increased 13.1 percent in fiscal 2014 compared to fiscal 2013 due to strong shipments and demand for snow thrower products as a result of heavy snow falls during the 2013-2014 snow season in key markets and strong preseason demand for the 2014-2015 snow season. Additionally, higher shipments and demand for our zero-turn radius riding mowers contributed to our residential sales growth. However, residential segment net sales in Australia were down due to unfavorable weather conditions and foreign currency exchange rate changes.</w:t>
      </w:r>
    </w:p>
    <w:p>
      <w:pPr>
        <w:spacing w:after="0" w:line="3" w:lineRule="exact"/>
        <w:rPr>
          <w:rFonts w:ascii="Arial" w:cs="Arial" w:eastAsia="Arial" w:hAnsi="Arial"/>
          <w:sz w:val="18"/>
          <w:szCs w:val="18"/>
          <w:color w:val="auto"/>
        </w:rPr>
      </w:pPr>
    </w:p>
    <w:p>
      <w:pPr>
        <w:ind w:left="540" w:right="100" w:hanging="532"/>
        <w:spacing w:after="0" w:line="23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net sales for fiscal 2014 were slightly up by 1.2 percent compared to fiscal 2013. However, changes in foreign currency exchange rates reduced our total net sales by approximately $5 million in fiscal 2014. International net sales comprised 28.7 percent of our total consolidated net sales in fiscal 2014 compared to 30.1 percent in fiscal 2013 and 30.3 percent in fiscal 2012.</w:t>
      </w:r>
    </w:p>
    <w:p>
      <w:pPr>
        <w:spacing w:after="0" w:line="5" w:lineRule="exact"/>
        <w:rPr>
          <w:rFonts w:ascii="Arial" w:cs="Arial" w:eastAsia="Arial" w:hAnsi="Arial"/>
          <w:sz w:val="18"/>
          <w:szCs w:val="18"/>
          <w:color w:val="auto"/>
        </w:rPr>
      </w:pPr>
    </w:p>
    <w:p>
      <w:pPr>
        <w:ind w:left="540" w:right="30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2014 net earnings of $173.9 million increased 12.3 percent compared to fiscal 2013, and diluted net earnings per share increased 15.3 percent in fiscal 2014 to $3.02 compared to $2.62 in fiscal 2013.</w:t>
      </w:r>
    </w:p>
    <w:p>
      <w:pPr>
        <w:spacing w:after="0" w:line="1" w:lineRule="exact"/>
        <w:rPr>
          <w:rFonts w:ascii="Arial" w:cs="Arial" w:eastAsia="Arial" w:hAnsi="Arial"/>
          <w:sz w:val="18"/>
          <w:szCs w:val="18"/>
          <w:color w:val="auto"/>
        </w:rPr>
      </w:pPr>
    </w:p>
    <w:p>
      <w:pPr>
        <w:ind w:left="540" w:right="20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 was 35.6 percent in fiscal 2014, a slight increase of 10 basis points from 35.5 percent in fiscal 2013. This improvement was the result of improved price realization and production efficiencies mainly from cost reduction efforts. However, unfavorable segment mix and foreign currency exchange rate movements, slightly higher commodity prices, and costs for a supplier component rework issue hampered our gross margin growth rate in fiscal 2014 compared to fiscal 2013.</w:t>
      </w:r>
    </w:p>
    <w:p>
      <w:pPr>
        <w:spacing w:after="0" w:line="3" w:lineRule="exact"/>
        <w:rPr>
          <w:rFonts w:ascii="Arial" w:cs="Arial" w:eastAsia="Arial" w:hAnsi="Arial"/>
          <w:sz w:val="18"/>
          <w:szCs w:val="18"/>
          <w:color w:val="auto"/>
        </w:rPr>
      </w:pPr>
    </w:p>
    <w:p>
      <w:pPr>
        <w:ind w:left="540" w:right="100" w:hanging="532"/>
        <w:spacing w:after="0" w:line="23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selling, general, and administrative ("SG&amp;A") expense was up 3.2 percent in fiscal 2014 compared to fiscal 2013, SG&amp;A expense as a percentage of net sales in fiscal 2014 was down 70 basis points to 23.5 percent compared to 24.2 percent in fiscal 2013, reflecting further leveraging of our SG&amp;A costs over higher sales volumes.</w:t>
      </w:r>
    </w:p>
    <w:p>
      <w:pPr>
        <w:spacing w:after="0" w:line="5"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fiscal 2014, we continued to place emphasis on improving asset utilization and reducing the amount of working capital in the supply chain. Average net working capital (accounts receivable plus inventory less trade payables) as a percent of net sales was 15.1 percent as of the end of fiscal 2014 compared to 16.6 percent as of the end of fiscal 2013. Receivables increased slightly, by 0.6 percent, as of the end of fiscal 2014 compared to the end of fiscal 2013. Our average inventory levels were up 2.8 percent during fiscal 2014 compared to fiscal</w:t>
      </w:r>
    </w:p>
    <w:p>
      <w:pPr>
        <w:ind w:left="540"/>
        <w:spacing w:after="0" w:line="234" w:lineRule="auto"/>
        <w:rPr>
          <w:rFonts w:ascii="Arial" w:cs="Arial" w:eastAsia="Arial" w:hAnsi="Arial"/>
          <w:sz w:val="16"/>
          <w:szCs w:val="16"/>
          <w:color w:val="auto"/>
        </w:rPr>
      </w:pPr>
      <w:r>
        <w:rPr>
          <w:rFonts w:ascii="Arial" w:cs="Arial" w:eastAsia="Arial" w:hAnsi="Arial"/>
          <w:sz w:val="18"/>
          <w:szCs w:val="18"/>
          <w:color w:val="auto"/>
        </w:rPr>
        <w:t>2013. However, inventory levels as of the end of fiscal 2014 compared to the end of fiscal 2013 were up by $34.5 million, or 14.4 percent, as we built inventory in anticipation of strong demand for certain products, including products impacted by the continued phase-in of applicable Tier 4 diesel engine emission requirements and other regulations in Europe. Our domestic field inventory levels were up as of the end of fiscal 2014 compared to the end of fiscal 2013 due, in part, to anticipated continued demand for our products in fiscal 2015 and expansion in new markets.</w:t>
      </w:r>
    </w:p>
    <w:p>
      <w:pPr>
        <w:spacing w:after="0" w:line="3" w:lineRule="exact"/>
        <w:rPr>
          <w:rFonts w:ascii="Arial" w:cs="Arial" w:eastAsia="Arial" w:hAnsi="Arial"/>
          <w:sz w:val="16"/>
          <w:szCs w:val="16"/>
          <w:color w:val="auto"/>
        </w:rPr>
      </w:pPr>
    </w:p>
    <w:p>
      <w:pPr>
        <w:ind w:left="54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2014 and also raised our annual dividend guideline from 20 to</w:t>
      </w:r>
    </w:p>
    <w:p>
      <w:pPr>
        <w:ind w:left="540" w:right="60"/>
        <w:spacing w:after="0" w:line="234" w:lineRule="auto"/>
        <w:rPr>
          <w:rFonts w:ascii="Arial" w:cs="Arial" w:eastAsia="Arial" w:hAnsi="Arial"/>
          <w:sz w:val="18"/>
          <w:szCs w:val="18"/>
          <w:color w:val="auto"/>
        </w:rPr>
      </w:pPr>
      <w:r>
        <w:rPr>
          <w:rFonts w:ascii="Arial" w:cs="Arial" w:eastAsia="Arial" w:hAnsi="Arial"/>
          <w:sz w:val="18"/>
          <w:szCs w:val="18"/>
          <w:color w:val="auto"/>
        </w:rPr>
        <w:t>30 percent of our three-year average net earnings per share to 30 to 40 percent of our three-year average net earnings per share. Under this new guideline, we increased our fiscal 2014 quarterly cash dividend by 42.9 percent to $0.20 per share compared to our quarterly cash dividend in fiscal 2013 of $0.14 per share.</w:t>
      </w:r>
    </w:p>
    <w:p>
      <w:pPr>
        <w:spacing w:after="0" w:line="2" w:lineRule="exact"/>
        <w:rPr>
          <w:rFonts w:ascii="Arial" w:cs="Arial" w:eastAsia="Arial" w:hAnsi="Arial"/>
          <w:sz w:val="18"/>
          <w:szCs w:val="18"/>
          <w:color w:val="auto"/>
        </w:rPr>
      </w:pPr>
    </w:p>
    <w:p>
      <w:pPr>
        <w:ind w:left="540" w:right="280" w:hanging="532"/>
        <w:spacing w:after="0" w:line="23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 repurchase program returned over $100 million to our shareholders during fiscal 2014, which reduced our number of shares outstanding. This reduction resulted in a benefit to our diluted net earnings per share of $0.08 per share in fiscal 2014 compared to fiscal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3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On November 14, 2014, during the first quarter of fiscal 2015, we acquired substantially all of the assets (excluding accounts receivables) of the BOSS professional snow and ice management business of privately held Northern Star Industries, Inc. BOSS designs, manufactures, and sells a broad line of snowplows, salt and sand spreaders, and related parts and accessories for light and medium duty trucks, ATVs, UTVs, skid steers, and front-end loaders. Through this acquisition, we added another professional contractor brand; a portfolio of counter-seasonal equipment; manufacturing and distribution facilities located in Iron Mountain, Michigan; and a distribution network for these products. We believe that this acquisition positions us to strengthen and grow our relationships with professional contractors, municipalities, and other customers by enabling us to provide them with innovative, durable equipment and high-quality service they need for each season. This acquisition closed for $227.9 million, subject to certain post-closing adjustments, which included a cash payment of $197.9 million and issuance of a long-term note of $30.0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Three-Year Initiative</w:t>
      </w:r>
    </w:p>
    <w:p>
      <w:pPr>
        <w:spacing w:after="0" w:line="234"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new multi-year initiative, "Destination PRIME," will begin our journey into our second century. Similar to our previous Destination 2014 initiative, this new three-year initiative is intended to help us drive revenue and earnings growth and further improve productivity, while also continuing our century-long commitment to innovation, relationships, and excellence. Through our new Destination PRIME initiative, we intend to strive to achieve our goals by pursuing a progression of annual milestones. Each fiscal year we will set forth associated organic revenue growth and operating earnings goals, while continuing to focus on the progress we made through our previous initiatives, such as working capital.</w:t>
      </w:r>
    </w:p>
    <w:p>
      <w:pPr>
        <w:spacing w:after="0" w:line="163"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auto"/>
        </w:rPr>
        <w:t xml:space="preserve">Organic Revenue Growth. </w:t>
      </w:r>
      <w:r>
        <w:rPr>
          <w:rFonts w:ascii="Arial" w:cs="Arial" w:eastAsia="Arial" w:hAnsi="Arial"/>
          <w:sz w:val="18"/>
          <w:szCs w:val="18"/>
          <w:color w:val="auto"/>
        </w:rPr>
        <w:t>We intend to pursue strategic growth of our existing businesses and product categories with an annual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goal. One of our goals of our new Destination PRIME initiative is to achieve at least five percent organic revenue growth each fiscal year of this initiative.</w:t>
      </w:r>
    </w:p>
    <w:p>
      <w:pPr>
        <w:spacing w:after="0" w:line="18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Operating Earnings Growth. </w:t>
      </w:r>
      <w:r>
        <w:rPr>
          <w:rFonts w:ascii="Arial" w:cs="Arial" w:eastAsia="Arial" w:hAnsi="Arial"/>
          <w:sz w:val="18"/>
          <w:szCs w:val="18"/>
          <w:color w:val="auto"/>
        </w:rPr>
        <w:t>Additionally, as part of our new Destination PRIME initiative growth goals, we have set an earnings goal to raise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earnings as a percentage of net sales to 13 percent or higher by the end of fiscal 2017.</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As part of our previous initiatives, we have placed emphasis on improving asset management, and we intend to build 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momentum as part of our new Destination PRIME initiative. Our goal is to drive down average net working capital to 13 percent or lower by the end of fiscal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Fiscal 2015</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we enter our second century, we intend to continue to rely on principles that have sustained our longevity and continue our commitment of providing an array of innovative products and services to customers around the world. We have taken, and intend to continue to take, proactive measures with investments focused on generating customer demand, gaining market share, entering new markets, and achieving strong financial results. We believe our fiscal 2015 financial performance will include, among many others, the following main factors:</w:t>
      </w:r>
    </w:p>
    <w:p>
      <w:pPr>
        <w:spacing w:after="0" w:line="209" w:lineRule="exact"/>
        <w:rPr>
          <w:sz w:val="20"/>
          <w:szCs w:val="20"/>
          <w:color w:val="auto"/>
        </w:rPr>
      </w:pPr>
    </w:p>
    <w:p>
      <w:pPr>
        <w:ind w:left="540" w:hanging="532"/>
        <w:spacing w:after="0" w:line="23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anticipate fiscal 2015 net sales in our professional segment to increase compared to fiscal 2014 due, in part, to our recent acquisition of the BOSS professional snow and ice management business. We also expect the positive momentum of demand for our landscape contractor equipment products in fiscal 2014 to continue in fiscal 2015, driven by our products that are designed to enhance productivity and performance for the landscape contractor. Sales in the golf and grounds equipment markets are expected to slightly increase in fiscal 2015 as compared to fiscal 2014, and we also anticipate positive customer response generated from new products, such as our new INFINITY® Series golf sprinklers, to continue in fiscal 2015. Additionally, as we launched our Toro branded products from recent acquisitions in the rental and specialty construction market during fiscal 2014, we plan to capitalize on the continued growth and demand in this market with our broader lineup of products. Precision irrigation products remain a long-term focus for us as continued market growth and demand for efficient watering solutions for agriculture is expected to drive demand for our products. We expect our increased manufacturing capacity and infrastructure that expanded our market presence for micro-irrigation products to contribute to our anticipated sales growth of micro-irrigation products in fiscal 2015.</w:t>
      </w:r>
    </w:p>
    <w:p>
      <w:pPr>
        <w:spacing w:after="0" w:line="12" w:lineRule="exact"/>
        <w:rPr>
          <w:rFonts w:ascii="Arial" w:cs="Arial" w:eastAsia="Arial" w:hAnsi="Arial"/>
          <w:sz w:val="18"/>
          <w:szCs w:val="18"/>
          <w:color w:val="auto"/>
        </w:rPr>
      </w:pPr>
    </w:p>
    <w:p>
      <w:pPr>
        <w:ind w:left="540" w:right="1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our residential segment net sales to increase in fiscal 2015 compared to fiscal 2014 as we anticipate the domestic economy to continue to slowly improve. We also anticipate our enhanced portfolio of Toro walk power mowers and a new line of riding products to be well received by customers, as well as increased product placement at a key retailer to drive sales growth for our residential segment in fiscal 2015. However, as we benefited from heavy snow falls during the 2013-2014 winter season that drove strong sales and demand of our snow thrower products in fiscal 2014, we do not expect to repeat our sales levels of snow thrower products in fiscal 2015 as compared to fiscal 2014.</w:t>
      </w:r>
    </w:p>
    <w:p>
      <w:pPr>
        <w:spacing w:after="0" w:line="4" w:lineRule="exact"/>
        <w:rPr>
          <w:rFonts w:ascii="Arial" w:cs="Arial" w:eastAsia="Arial" w:hAnsi="Arial"/>
          <w:sz w:val="18"/>
          <w:szCs w:val="18"/>
          <w:color w:val="auto"/>
        </w:rPr>
      </w:pPr>
    </w:p>
    <w:p>
      <w:pPr>
        <w:ind w:left="540" w:right="32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intend to continue to focus on our international markets to grow our revenues, and our long-term goal is for our international sales to comprise a larger percentage of our total consolidated net sales. We plan to continue investing in new products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180"/>
        <w:spacing w:after="0" w:line="236" w:lineRule="auto"/>
        <w:rPr>
          <w:sz w:val="20"/>
          <w:szCs w:val="20"/>
          <w:color w:val="auto"/>
        </w:rPr>
      </w:pPr>
      <w:r>
        <w:rPr>
          <w:rFonts w:ascii="Arial" w:cs="Arial" w:eastAsia="Arial" w:hAnsi="Arial"/>
          <w:sz w:val="18"/>
          <w:szCs w:val="18"/>
          <w:color w:val="auto"/>
        </w:rPr>
        <w:t>designed specifically for international markets and in infrastructure around the world, connecting us more closely to our customers and increasing our global presence. Specifically, we have increased manufacturing capacity and infrastructure for our micro-irrigation business as we anticipate worldwide demand to increase for our efficient, water conserving products for agricultural markets. However, uncertainty with the economies of key international markets, including some European countries, is expected to linger into fiscal 2015, which may hamper our international net sales growth. Additionally, foreign currency exchange rate trends could hinder our international net sales in fiscal 2015.</w:t>
      </w:r>
    </w:p>
    <w:p>
      <w:pPr>
        <w:spacing w:after="0" w:line="210" w:lineRule="exact"/>
        <w:rPr>
          <w:sz w:val="20"/>
          <w:szCs w:val="20"/>
          <w:color w:val="auto"/>
        </w:rPr>
      </w:pPr>
    </w:p>
    <w:p>
      <w:pPr>
        <w:ind w:left="540" w:right="60" w:hanging="532"/>
        <w:spacing w:after="0" w:line="23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net earnings and diluted net earnings per share to be up in fiscal 2015 compared to fiscal 2014, driven mainly by our anticipated sales growth and leveraging of our SG&amp;A costs. However, we anticipate our gross margin rate in fiscal 2015 to be slightly down as compared to our fiscal 2014 gross margin rate, primarily due to the purchase accounting impact of our recent acquisition of the BOSS snow and ice management business. Additionally, we anticipate a further reduction in our diluted shares outstanding due to anticipated continued repurchases of our common stock.</w:t>
      </w:r>
    </w:p>
    <w:p>
      <w:pPr>
        <w:spacing w:after="0" w:line="8" w:lineRule="exact"/>
        <w:rPr>
          <w:rFonts w:ascii="Arial" w:cs="Arial" w:eastAsia="Arial" w:hAnsi="Arial"/>
          <w:sz w:val="18"/>
          <w:szCs w:val="18"/>
          <w:color w:val="auto"/>
        </w:rPr>
      </w:pPr>
    </w:p>
    <w:p>
      <w:pPr>
        <w:ind w:left="540" w:right="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announced on December 4, 2014, our Board of Directors increased our fiscal 2015 first quarter cash dividend by 25 percent to $0.25 per share compared to the quarterly cash dividend paid in the first quarter of fiscal 2014.</w:t>
      </w:r>
    </w:p>
    <w:p>
      <w:pPr>
        <w:spacing w:after="0" w:line="1"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fiscal 2015, we plan to continue to place emphasis on improving asset utilization with a focus on reducing the amount of working capital in the supply chain. However, we anticipate our average net working capital as a percentage of net sales in fiscal 2015 to slightly increase as compared to fiscal 2014. Average inventory levels and receivables are anticipated to be higher in fiscal 2015 compared to fiscal 2014 as a result of incremental inventory and receivables from our recent acquisition of the BOSS professional snow and ice management business. Additionally, we anticipate our average inventory levels to be higher in fiscal 2015 because our inventory levels as of the end of fiscal 2014 were higher as compared to inventory levels as of the end of fiscal 2013, mainly for products impacted by the continued phase-in of applicable Tier 4 diesel engine emission requirements and other regulations in Europe.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right="620"/>
        <w:spacing w:after="0" w:line="264" w:lineRule="auto"/>
        <w:rPr>
          <w:sz w:val="20"/>
          <w:szCs w:val="20"/>
          <w:color w:val="auto"/>
        </w:rPr>
      </w:pPr>
      <w:r>
        <w:rPr>
          <w:rFonts w:ascii="Arial" w:cs="Arial" w:eastAsia="Arial" w:hAnsi="Arial"/>
          <w:sz w:val="16"/>
          <w:szCs w:val="16"/>
          <w:color w:val="auto"/>
        </w:rPr>
        <w:t>Fiscal 2014 net earnings were $173.9 million compared to $154.8 million in fiscal 2013, an increase of 12.3 percent. Fiscal 2014 diluted net earnings per share were $3.02, an increase of 15.3 percent from $2.62 per share in fiscal 2013. The primary factors contributing to the net earnings improvement were higher net sales, a slight increase in gross profit, and leveraging fixed SG&amp;A costs over higher sales volumes.</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However, those increases were partially offset by a reduction in other income and a higher effective tax rate. Our net earnings per diluted share were also benefited by $0.08 per share in fiscal 2014 compared to fiscal 2013 as a result of reduced shares outstanding from repurchases of our common stock.</w:t>
      </w:r>
    </w:p>
    <w:p>
      <w:pPr>
        <w:spacing w:after="0" w:line="208" w:lineRule="exact"/>
        <w:rPr>
          <w:sz w:val="20"/>
          <w:szCs w:val="20"/>
          <w:color w:val="auto"/>
        </w:rPr>
      </w:pPr>
    </w:p>
    <w:p>
      <w:pPr>
        <w:ind w:right="360" w:firstLine="146"/>
        <w:spacing w:after="0" w:line="236" w:lineRule="auto"/>
        <w:rPr>
          <w:sz w:val="20"/>
          <w:szCs w:val="20"/>
          <w:color w:val="auto"/>
        </w:rPr>
      </w:pPr>
      <w:r>
        <w:rPr>
          <w:rFonts w:ascii="Arial" w:cs="Arial" w:eastAsia="Arial" w:hAnsi="Arial"/>
          <w:sz w:val="18"/>
          <w:szCs w:val="18"/>
          <w:color w:val="auto"/>
        </w:rPr>
        <w:t>Fiscal 2013 net earnings were $154.8 million compared to $129.5 million in fiscal 2012, an increase of 19.5 percent. Fiscal 2013 diluted net earnings per share were $2.62, an increase of 22.4 percent from $2.14 per share in fiscal 2012. The primary factors contributing to the net earnings improvement were higher net sales, an increase in gross profit, higher other income, and a decrease in our effective tax rate, partially offset by an increase in SG&amp;A expense. Our net earnings per diluted share were also benefited by $0.07 per share in fiscal 2013 compared to fiscal 2012 as a result of reduced shares outstanding from repurchases of our common stock.</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7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4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4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(64.4)</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(64.5)</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430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35.6</w:t>
            </w:r>
          </w:p>
        </w:tc>
        <w:tc>
          <w:tcPr>
            <w:tcW w:w="5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35.5</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SG&amp;A expense</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(23.5)</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earnings</w:t>
            </w:r>
          </w:p>
        </w:tc>
        <w:tc>
          <w:tcPr>
            <w:tcW w:w="430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12.1</w:t>
            </w:r>
          </w:p>
        </w:tc>
        <w:tc>
          <w:tcPr>
            <w:tcW w:w="5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11.3</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(0.7)</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net</w:t>
            </w:r>
          </w:p>
        </w:tc>
        <w:tc>
          <w:tcPr>
            <w:tcW w:w="4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Provision for income taxes</w:t>
            </w:r>
          </w:p>
        </w:tc>
        <w:tc>
          <w:tcPr>
            <w:tcW w:w="430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w:t>
            </w:r>
          </w:p>
        </w:tc>
        <w:tc>
          <w:tcPr>
            <w:tcW w:w="4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8.0%</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7.6%</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With Fiscal 2013</w:t>
      </w:r>
    </w:p>
    <w:p>
      <w:pPr>
        <w:spacing w:after="0" w:line="21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2014 were $2,172.7 million compared to $2,041.4 million in fiscal 2013, an increase of 6.4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attributable to the following factors:</w:t>
      </w:r>
    </w:p>
    <w:p>
      <w:pPr>
        <w:spacing w:after="0" w:line="189" w:lineRule="exact"/>
        <w:rPr>
          <w:sz w:val="20"/>
          <w:szCs w:val="20"/>
          <w:color w:val="auto"/>
        </w:rPr>
      </w:pPr>
    </w:p>
    <w:p>
      <w:pPr>
        <w:ind w:left="540" w:right="40" w:hanging="532"/>
        <w:spacing w:after="0" w:line="26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sales of professional segment products due to strong demand for landscape contractor equipment, continued acceptance and demand for our drip irrigation solutions in agricultural markets, and the successful introduction of new and enhanced products that were well received by customers, including products in the golf market and rental and specialty construction equipment market. Additionally, improved price realization, as well as incremental sales from acquisitions of $2.8 million, contributed to our net sales growth in fiscal 2014.</w:t>
      </w:r>
    </w:p>
    <w:p>
      <w:pPr>
        <w:spacing w:after="0" w:line="8" w:lineRule="exact"/>
        <w:rPr>
          <w:rFonts w:ascii="Arial" w:cs="Arial" w:eastAsia="Arial" w:hAnsi="Arial"/>
          <w:sz w:val="16"/>
          <w:szCs w:val="16"/>
          <w:color w:val="auto"/>
        </w:rPr>
      </w:pPr>
    </w:p>
    <w:p>
      <w:pPr>
        <w:ind w:left="540" w:right="300" w:hanging="532"/>
        <w:spacing w:after="0" w:line="23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sales of residential segment products due to strong shipments and demand for snow thrower products and parts as a result of heavy snow falls during the 2013-2014 snow season in key markets and strong preseason demand for the 2014-2015 snow season. Additionally, higher shipments and demand for our zero-turn radius riding mowers and increased sales of electric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60"/>
        <w:spacing w:after="0" w:line="239" w:lineRule="auto"/>
        <w:rPr>
          <w:sz w:val="20"/>
          <w:szCs w:val="20"/>
          <w:color w:val="auto"/>
        </w:rPr>
      </w:pPr>
      <w:r>
        <w:rPr>
          <w:rFonts w:ascii="Arial" w:cs="Arial" w:eastAsia="Arial" w:hAnsi="Arial"/>
          <w:sz w:val="18"/>
          <w:szCs w:val="18"/>
          <w:color w:val="auto"/>
        </w:rPr>
        <w:t>trimmers and blowers contributed to our sales growth. However, residential segment net sales in Australia were down due to unfavorable weather conditions and foreign currency exchange rate changes.</w:t>
      </w:r>
    </w:p>
    <w:p>
      <w:pPr>
        <w:spacing w:after="0" w:line="209" w:lineRule="exact"/>
        <w:rPr>
          <w:sz w:val="20"/>
          <w:szCs w:val="20"/>
          <w:color w:val="auto"/>
        </w:rPr>
      </w:pPr>
    </w:p>
    <w:p>
      <w:pPr>
        <w:ind w:left="540" w:right="100" w:hanging="532"/>
        <w:spacing w:after="0" w:line="23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overall net sales in international markets slightly increased by 1.2 percent in fiscal 2014 compared to fiscal 2013. However, changes in foreign currency exchange rates reduced our total net sales by approximately $5 million in fiscal 2014.</w:t>
      </w:r>
    </w:p>
    <w:p>
      <w:pPr>
        <w:spacing w:after="0" w:line="18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represents gross profit (net sales less cost of sales) as a percentage of net sales. See Note 1 of the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 the section entitled "Cost of Sales," for a description of expenses included in cost of sales. Gross margin slightly increased by 10 basis points to 35.6 percent in fiscal 2014 from 35.5 percent in fiscal 2013. This improvement was mainly the result of the following factors:</w:t>
      </w:r>
    </w:p>
    <w:p>
      <w:pPr>
        <w:spacing w:after="0" w:line="214"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Improved price realization.</w:t>
      </w: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reduction efforts from productivity and process improvement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1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proportion of professional segment sales that carry higher average gross margins than our residential segment.</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foreign currency exchange rate movements.</w:t>
      </w:r>
    </w:p>
    <w:p>
      <w:pPr>
        <w:ind w:left="540" w:hanging="532"/>
        <w:spacing w:after="0" w:line="23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Slightly higher prices paid for commodities in fiscal 2014 compared to fiscal 2013, mainly for steel and resins.</w:t>
      </w: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for a supplier component rework issue that impacted certain walk power mowers.</w:t>
      </w:r>
    </w:p>
    <w:p>
      <w:pPr>
        <w:spacing w:after="0" w:line="19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$16.0 million, or 3.2 percent, in fiscal 2014 compared to fiscal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1 of the Notes to Consolidated Financial Statements, in the section entitled "Selling, General, and Administrative Expense," for a description of expenses included in SG&amp;A expense. SG&amp;A expense rate represents SG&amp;A expense as a percentage of net sales. SG&amp;A expense rate in fiscal 2014 decreased 70 basis points to 23.5 percent compared to 24.2 percent in fiscal 2013 due to fixed SG&amp;A costs spread over higher sales volumes. However, the increase in SG&amp;A expense of $16.0 million was driven mainly by the following factors:</w:t>
      </w:r>
    </w:p>
    <w:p>
      <w:pPr>
        <w:spacing w:after="0" w:line="21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sales and marketing expense of $6 million.</w:t>
      </w:r>
    </w:p>
    <w:p>
      <w:pPr>
        <w:ind w:left="540" w:hanging="532"/>
        <w:spacing w:after="0" w:line="23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investments in engineering and new product development that resulted in higher expense of $5 million.</w:t>
      </w: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incentive compensation expense of $4 million as a result of improved financial performance.</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Incremental costs from acquisitions of approximately $2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Somewhat offsetting those increases in SG&amp;A expense was a decline in product liability expense of $2 million from favorable claims experience.</w:t>
      </w:r>
    </w:p>
    <w:p>
      <w:pPr>
        <w:spacing w:after="0" w:line="2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2014 decreased by 4.8 percent compared to fiscal 2013 as a result of higher 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capital projects.</w:t>
      </w:r>
    </w:p>
    <w:p>
      <w:pPr>
        <w:spacing w:after="0" w:line="169"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consists mainly of our proportionate share of income or losses from equity investments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 gains and losses, litigation settlements and recoveries, interest income, and retail financing revenue. Other income for fiscal 2014 was $8.7 million compared to $12.3 million in fiscal 2013, a decrease of $3.5 million. This decrease in other income, net was primarily due to recovery for a litigation settlement of $3 million last fiscal year that was not duplicated in fiscal 2014 and higher foreign currency exchange rate losses of $0.3 million in fiscal 2014 compared to fiscal 2013.</w:t>
      </w:r>
    </w:p>
    <w:p>
      <w:pPr>
        <w:spacing w:after="0" w:line="190"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2014 was 32.2 percent compared to 31.7 percent in fiscal 2013. The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attributable to the benefit in fiscal 2013 for the retroactive reenactment of the domestic research tax credit, which expired on December 31, 2013. This increase was partially offset by a discrete benefit relating to the change in tax accounting method filed that allowed us to recoup basis for previously disposed assets and changes in the mix of international earnings.</w:t>
      </w:r>
    </w:p>
    <w:p>
      <w:pPr>
        <w:spacing w:after="0" w:line="205" w:lineRule="exact"/>
        <w:rPr>
          <w:sz w:val="20"/>
          <w:szCs w:val="20"/>
          <w:color w:val="auto"/>
        </w:rPr>
      </w:pPr>
    </w:p>
    <w:p>
      <w:pPr>
        <w:ind w:right="580" w:firstLine="146"/>
        <w:spacing w:after="0" w:line="239" w:lineRule="auto"/>
        <w:rPr>
          <w:sz w:val="20"/>
          <w:szCs w:val="20"/>
          <w:color w:val="auto"/>
        </w:rPr>
      </w:pPr>
      <w:r>
        <w:rPr>
          <w:rFonts w:ascii="Arial" w:cs="Arial" w:eastAsia="Arial" w:hAnsi="Arial"/>
          <w:sz w:val="18"/>
          <w:szCs w:val="18"/>
          <w:color w:val="auto"/>
        </w:rPr>
        <w:t>We anticipate our tax rate for fiscal 2015 to be lower than our fiscal 2014 tax rate primarily due to the tax extenders bill that resulted in the retroactive reenactment of the domestic research tax credit within this bill.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With Fiscal 2012</w:t>
      </w:r>
    </w:p>
    <w:p>
      <w:pPr>
        <w:spacing w:after="0" w:line="21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2013 were $2,041.4 million compared to $1,958.7 million in fiscal 2012, an increase of 4.2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attributable to the following factors:</w:t>
      </w:r>
    </w:p>
    <w:p>
      <w:pPr>
        <w:spacing w:after="0" w:line="189" w:lineRule="exact"/>
        <w:rPr>
          <w:sz w:val="20"/>
          <w:szCs w:val="20"/>
          <w:color w:val="auto"/>
        </w:rPr>
      </w:pPr>
    </w:p>
    <w:p>
      <w:pPr>
        <w:ind w:left="540" w:hanging="532"/>
        <w:spacing w:after="0" w:line="23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shipments and demand for professional segment products, mainly landscape contractor equipment, the successful introduction of new and enhanced products that were well received by customers, acceptance and demand for our drip irrigation solutions in agricultural markets, and golf renovation projects that drove demand for our golf irrigation systems. Additionally, price increases introduced on some products, increased sales and demand in the rental market, as well as incremental sales from acquisitions of $6.4 million, contributed to our net sales growth in fiscal 2013.</w:t>
      </w:r>
    </w:p>
    <w:p>
      <w:pPr>
        <w:spacing w:after="0" w:line="3" w:lineRule="exact"/>
        <w:rPr>
          <w:rFonts w:ascii="Arial" w:cs="Arial" w:eastAsia="Arial" w:hAnsi="Arial"/>
          <w:sz w:val="18"/>
          <w:szCs w:val="18"/>
          <w:color w:val="auto"/>
        </w:rPr>
      </w:pPr>
    </w:p>
    <w:p>
      <w:pPr>
        <w:ind w:left="540" w:right="220" w:hanging="532"/>
        <w:spacing w:after="0" w:line="23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of Pope irrigation products in Australia, zero-turn radius riding mowers, and handheld trimmer and blower products in our residential segment due to positive customer response to newly introduced and enhanced products, as well as favorable weather conditions.</w:t>
      </w:r>
    </w:p>
    <w:p>
      <w:pPr>
        <w:spacing w:after="0" w:line="5"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Higher international net sales primarily due to increased demand in the Europe, Middle East, and Africa ("EMEA") region and Asia for micro-irrigation and golf equipment products. However, changes in foreign currency exchange rates reduced our net sales by approximately</w:t>
      </w:r>
    </w:p>
    <w:p>
      <w:pPr>
        <w:ind w:left="540"/>
        <w:spacing w:after="0"/>
        <w:rPr>
          <w:rFonts w:ascii="Arial" w:cs="Arial" w:eastAsia="Arial" w:hAnsi="Arial"/>
          <w:sz w:val="16"/>
          <w:szCs w:val="16"/>
          <w:color w:val="auto"/>
        </w:rPr>
      </w:pPr>
      <w:r>
        <w:rPr>
          <w:rFonts w:ascii="Arial" w:cs="Arial" w:eastAsia="Arial" w:hAnsi="Arial"/>
          <w:sz w:val="18"/>
          <w:szCs w:val="18"/>
          <w:color w:val="auto"/>
        </w:rPr>
        <w:t>$13 million in fiscal 2013.</w:t>
      </w:r>
    </w:p>
    <w:p>
      <w:pPr>
        <w:sectPr>
          <w:pgSz w:w="11900" w:h="16838" w:orient="portrait"/>
          <w:cols w:equalWidth="0" w:num="1">
            <w:col w:w="11400"/>
          </w:cols>
          <w:pgMar w:left="240" w:top="143" w:right="259"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sales increases were:</w:t>
      </w:r>
    </w:p>
    <w:p>
      <w:pPr>
        <w:spacing w:after="0" w:line="212" w:lineRule="exact"/>
        <w:rPr>
          <w:sz w:val="20"/>
          <w:szCs w:val="20"/>
          <w:color w:val="auto"/>
        </w:rPr>
      </w:pPr>
    </w:p>
    <w:p>
      <w:pPr>
        <w:ind w:left="540" w:right="40" w:hanging="532"/>
        <w:spacing w:after="0" w:line="23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overall residential segment net sales primarily from lower shipments of snow thrower products due to the lack of snowfall during the 2013-2012 and 2012-2011 winter seasons in certain key markets. In addition, shipments of walk power mowers were down due to adverse spring weather conditions that negatively impacted demand and our sales during the key selling period.</w:t>
      </w:r>
    </w:p>
    <w:p>
      <w:pPr>
        <w:spacing w:after="0" w:line="5"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sales of our retail irrigation products as a result of reduced product placement at a key customer.</w:t>
      </w:r>
    </w:p>
    <w:p>
      <w:pPr>
        <w:spacing w:after="0" w:line="19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by 110 basis points to 35.5 percent in fiscal 2013 from 34.4 percent in fiscal 2012. This improvement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the result of the following factors:</w:t>
      </w:r>
    </w:p>
    <w:p>
      <w:pPr>
        <w:spacing w:after="0" w:line="185"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increases on some of our professional segment products.</w:t>
      </w: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reduction efforts from productivity and process improvement initiatives.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product mix from increased sales of products that carry higher average gross margins.</w:t>
      </w: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average prices paid for commodities in fiscal 2013 compared to fiscal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12"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foreign currency exchange rate movements.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Unabsorbed manufacturing costs, mainly from lower plant utilization and plant realignment.</w:t>
      </w:r>
    </w:p>
    <w:p>
      <w:pPr>
        <w:spacing w:after="0" w:line="19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rate in fiscal 2013 increased by 30 basis points to 24.2 percent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23.9 percent in fiscal 2012. The increase in SG&amp;A expense was driven by:</w:t>
      </w:r>
    </w:p>
    <w:p>
      <w:pPr>
        <w:spacing w:after="0" w:line="18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sales and marketing expense of $9 million.</w:t>
      </w:r>
    </w:p>
    <w:p>
      <w:pPr>
        <w:ind w:left="540" w:right="340" w:hanging="532"/>
        <w:spacing w:after="0" w:line="23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warehousing costs of $6 million, mainly related to our distribution facility in Ankeny, Iowa that opened in early fiscal 2013, plus higher inventory levels.</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incentive compensation expense of $6 million as a result of improved financial performance.</w:t>
      </w:r>
    </w:p>
    <w:p>
      <w:pPr>
        <w:ind w:left="540" w:hanging="532"/>
        <w:spacing w:after="0" w:line="234"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in new product development that resulted in higher engineering expense of $4 million.</w:t>
      </w: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Incremental costs from acquisitions of approximately $4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in SG&amp;A expense was a decline in warranty expense of $4.5 million.</w:t>
      </w:r>
    </w:p>
    <w:p>
      <w:pPr>
        <w:spacing w:after="0" w:line="19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2013 decreased by 4.1 percent compared to fiscal 2012 as a result of higher 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capital projects and lower average debt levels.</w:t>
      </w:r>
    </w:p>
    <w:p>
      <w:pPr>
        <w:spacing w:after="0" w:line="169"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for fiscal 2013 was $12.3 million compared to $7.6 million in fiscal 2012, an increase of $4.7 million.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other income, net was mainly due to a recovery for a litigation settlement of $3 million, an increase in income from our equity investment in Red Iron of $1 million, and lower foreign currency exchange rate losses of $1 million in fiscal 2013 compared to fiscal 2012.</w:t>
      </w:r>
    </w:p>
    <w:p>
      <w:pPr>
        <w:spacing w:after="0" w:line="148" w:lineRule="exact"/>
        <w:rPr>
          <w:sz w:val="20"/>
          <w:szCs w:val="20"/>
          <w:color w:val="auto"/>
        </w:rPr>
      </w:pPr>
    </w:p>
    <w:p>
      <w:pPr>
        <w:ind w:right="300"/>
        <w:spacing w:after="0" w:line="325"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effective tax rate for fiscal 2013 was 31.7 percent compared to 34.0 percent in fiscal 2012. The reduction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effective tax rate was primarily the result of the benefit in fiscal 2013 from the retroactive reenactment of the domestic research tax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BY BUSINESS SEGMENT</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companies, corporate activities, other income, and interest expense.</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4"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Professional segment net sales represented 68 percent of consolidated net sales for fiscal 2014, 70 percent for fiscal 2013, and 68 percent for fiscal 2012. The following table shows the professional segment net sales, operating earnings, and operating earnings as a percent of net sales.</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3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8"/>
              </w:rPr>
              <w:t>1,477.6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1,425.3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1,329.5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professional segment in fiscal 2014 were up by 3.7 percent compared to fiscal 2013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203" w:lineRule="exact"/>
        <w:rPr>
          <w:sz w:val="20"/>
          <w:szCs w:val="20"/>
          <w:color w:val="auto"/>
        </w:rPr>
      </w:pPr>
    </w:p>
    <w:p>
      <w:pPr>
        <w:ind w:left="540" w:right="120" w:hanging="532"/>
        <w:spacing w:after="0" w:line="23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Strong sales and demand for landscape contractor equipment, including new and enhanced products, as contractors continued to invest in turf maintenance equipment.</w:t>
      </w:r>
    </w:p>
    <w:p>
      <w:pPr>
        <w:spacing w:after="0" w:line="1" w:lineRule="exact"/>
        <w:rPr>
          <w:rFonts w:ascii="Arial" w:cs="Arial" w:eastAsia="Arial" w:hAnsi="Arial"/>
          <w:sz w:val="18"/>
          <w:szCs w:val="18"/>
          <w:color w:val="auto"/>
        </w:rPr>
      </w:pPr>
    </w:p>
    <w:p>
      <w:pPr>
        <w:ind w:left="540" w:right="500" w:hanging="532"/>
        <w:spacing w:after="0" w:line="23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global sales of our micro-irrigation products from continued market growth and demand for more efficient watering solutions for agriculture.</w:t>
      </w:r>
    </w:p>
    <w:p>
      <w:pPr>
        <w:spacing w:after="0" w:line="6" w:lineRule="exact"/>
        <w:rPr>
          <w:rFonts w:ascii="Arial" w:cs="Arial" w:eastAsia="Arial" w:hAnsi="Arial"/>
          <w:sz w:val="18"/>
          <w:szCs w:val="18"/>
          <w:color w:val="auto"/>
        </w:rPr>
      </w:pPr>
    </w:p>
    <w:p>
      <w:pPr>
        <w:ind w:left="540" w:right="740" w:hanging="532"/>
        <w:spacing w:after="0" w:line="23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golf product sales mainly due to the successful introduction of new and enhanced products, such as our new INFINITY® sprinklers, that were well received by customers, as well as new international golf course projects.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sales and demand for rental and specialty construction equipment, including products that we introduced under the Toro brand.</w:t>
      </w:r>
    </w:p>
    <w:p>
      <w:pPr>
        <w:spacing w:after="0" w:line="18" w:lineRule="exact"/>
        <w:rPr>
          <w:rFonts w:ascii="Arial" w:cs="Arial" w:eastAsia="Arial" w:hAnsi="Arial"/>
          <w:sz w:val="16"/>
          <w:szCs w:val="16"/>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price realization and incremental sales of $2.8 million from acquisitions.</w:t>
      </w:r>
    </w:p>
    <w:p>
      <w:pPr>
        <w:sectPr>
          <w:pgSz w:w="11900" w:h="16838" w:orient="portrait"/>
          <w:cols w:equalWidth="0" w:num="1">
            <w:col w:w="11420"/>
          </w:cols>
          <w:pgMar w:left="240" w:top="143" w:right="239" w:bottom="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80"/>
        <w:spacing w:after="0" w:line="299" w:lineRule="auto"/>
        <w:rPr>
          <w:sz w:val="20"/>
          <w:szCs w:val="20"/>
          <w:color w:val="auto"/>
        </w:rPr>
      </w:pPr>
      <w:r>
        <w:rPr>
          <w:rFonts w:ascii="Arial" w:cs="Arial" w:eastAsia="Arial" w:hAnsi="Arial"/>
          <w:sz w:val="16"/>
          <w:szCs w:val="16"/>
          <w:color w:val="auto"/>
        </w:rPr>
        <w:t>Our domestic field inventory levels of our professional segment products were higher as of the end of fiscal 2014 compared to the end of fiscal 2013 due, in part, to anticipated strong demand for products subject to Tier 4 diesel engine emission requirements and expansion in new markets.</w:t>
      </w:r>
    </w:p>
    <w:p>
      <w:pPr>
        <w:spacing w:after="0" w:line="163" w:lineRule="exact"/>
        <w:rPr>
          <w:sz w:val="20"/>
          <w:szCs w:val="20"/>
          <w:color w:val="auto"/>
        </w:rPr>
      </w:pPr>
    </w:p>
    <w:p>
      <w:pPr>
        <w:ind w:right="540" w:firstLine="146"/>
        <w:spacing w:after="0" w:line="239" w:lineRule="auto"/>
        <w:rPr>
          <w:sz w:val="20"/>
          <w:szCs w:val="20"/>
          <w:color w:val="auto"/>
        </w:rPr>
      </w:pPr>
      <w:r>
        <w:rPr>
          <w:rFonts w:ascii="Arial" w:cs="Arial" w:eastAsia="Arial" w:hAnsi="Arial"/>
          <w:sz w:val="18"/>
          <w:szCs w:val="18"/>
          <w:color w:val="auto"/>
        </w:rPr>
        <w:t>Worldwide net sales for the professional segment in fiscal 2013 were up by 7.2 percent compared to fiscal 2012 primarily as a result of the following factors:</w:t>
      </w:r>
    </w:p>
    <w:p>
      <w:pPr>
        <w:spacing w:after="0" w:line="209" w:lineRule="exact"/>
        <w:rPr>
          <w:sz w:val="20"/>
          <w:szCs w:val="20"/>
          <w:color w:val="auto"/>
        </w:rPr>
      </w:pPr>
    </w:p>
    <w:p>
      <w:pPr>
        <w:ind w:left="540" w:right="800" w:hanging="532"/>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introduction of new and enhanced products that were well received by customers, particularly for landscape contractor equipment.</w:t>
      </w:r>
    </w:p>
    <w:p>
      <w:pPr>
        <w:spacing w:after="0" w:line="6"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Higher global sales of our micro-irrigation products from market growth and demand for our drip irrigation solutions for agricultural markets, as well as additional manufacturing capacity that increased production and enabled higher sales of our micro-irrigation products.</w:t>
      </w:r>
    </w:p>
    <w:p>
      <w:pPr>
        <w:ind w:left="540" w:right="100" w:hanging="532"/>
        <w:spacing w:after="0" w:line="23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sales and demand in the rental and specialty construction market from broadening our customer base as part of our acquisitions in fiscal 2012, improved market conditions, and new product introductions.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sales of $6.4 million from acquisitions.</w:t>
      </w:r>
    </w:p>
    <w:p>
      <w:pPr>
        <w:spacing w:after="0" w:line="9" w:lineRule="exact"/>
        <w:rPr>
          <w:rFonts w:ascii="Arial" w:cs="Arial" w:eastAsia="Arial" w:hAnsi="Arial"/>
          <w:sz w:val="18"/>
          <w:szCs w:val="18"/>
          <w:color w:val="auto"/>
        </w:rPr>
      </w:pPr>
    </w:p>
    <w:p>
      <w:pPr>
        <w:ind w:left="540" w:right="300" w:hanging="532"/>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sales of golf and grounds equipment and irrigation systems as a result of price increases, higher demand, and golf renovation projects in the U.S., as well as golf projects in Asia and the EMEA region.</w:t>
      </w:r>
    </w:p>
    <w:p>
      <w:pPr>
        <w:spacing w:after="0" w:line="20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Somewhat offsetting those sales increases were lower sales of our retail irrigation products as a result of reduced product placement at a key customer.</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professional segment in fiscal 2014 increased 8.6 percent compared to fiscal 2013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higher sales volumes and an improvement in gross margin. Expressed as a percentage of net sales, professional segment operating margins increased 80 basis points to 18.7 percent in fiscal 2014 compared to 17.9 percent in fiscal 2013. The following factors impacted professional segment operating earnings:</w:t>
      </w:r>
    </w:p>
    <w:p>
      <w:pPr>
        <w:spacing w:after="0" w:line="200"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gross margin in fiscal 2014 compared to fiscal 2013 as a result of improved price realization and cost reduction efforts.</w:t>
      </w:r>
    </w:p>
    <w:p>
      <w:pPr>
        <w:ind w:left="540" w:right="620" w:hanging="532"/>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SG&amp;A expense rate in fiscal 2014 compared to fiscal 2013 due to further leveraging fixed SG&amp;A costs over higher sales volumes.</w:t>
      </w:r>
    </w:p>
    <w:p>
      <w:pPr>
        <w:spacing w:after="0" w:line="209" w:lineRule="exact"/>
        <w:rPr>
          <w:sz w:val="20"/>
          <w:szCs w:val="20"/>
          <w:color w:val="auto"/>
        </w:rPr>
      </w:pPr>
    </w:p>
    <w:p>
      <w:pPr>
        <w:ind w:right="80" w:firstLine="146"/>
        <w:spacing w:after="0" w:line="237" w:lineRule="auto"/>
        <w:rPr>
          <w:sz w:val="20"/>
          <w:szCs w:val="20"/>
          <w:color w:val="auto"/>
        </w:rPr>
      </w:pPr>
      <w:r>
        <w:rPr>
          <w:rFonts w:ascii="Arial" w:cs="Arial" w:eastAsia="Arial" w:hAnsi="Arial"/>
          <w:sz w:val="18"/>
          <w:szCs w:val="18"/>
          <w:color w:val="auto"/>
        </w:rPr>
        <w:t>Operating earnings for the professional segment in fiscal 2013 increased 9.6 percent compared to fiscal 2012 primarily due to higher sales volumes and an improvement in gross margin. Expressed as a percentage of net sales, professional segment operating margins increased 40 basis points to 17.9 percent in fiscal 2013 compared to 17.5 percent in fiscal 2012. The following factors impacted professional segment operating earnings:</w:t>
      </w:r>
    </w:p>
    <w:p>
      <w:pPr>
        <w:spacing w:after="0" w:line="22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Higher gross margin as a result of the same factors discussed previously in the Fiscal 2013 Compared to Fiscal 2012 Gross Margin section.</w:t>
      </w:r>
    </w:p>
    <w:p>
      <w:pPr>
        <w:spacing w:after="0" w:line="18" w:lineRule="exact"/>
        <w:rPr>
          <w:rFonts w:ascii="Arial" w:cs="Arial" w:eastAsia="Arial" w:hAnsi="Arial"/>
          <w:sz w:val="16"/>
          <w:szCs w:val="16"/>
          <w:color w:val="auto"/>
        </w:rPr>
      </w:pPr>
    </w:p>
    <w:p>
      <w:pPr>
        <w:ind w:left="54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slight decline in SG&amp;A expense rate in fiscal 2013 compared to fiscal 2012 due to leveraging fixed SG&amp;A costs over higher sales volumes and lower warranty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Residential segment net sales represented 31 percent of consolidated net sales for fiscal 2014, 29 percent for fiscal 2013, and 31 percent for fiscal 2012. The following table shows the residential segment net sales, operating earnings, and operating earnings as a percent of net sales.</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6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6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6"/>
              </w:rPr>
              <w:t>672.4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96"/>
              </w:rPr>
              <w:t>594.4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Arial" w:cs="Arial" w:eastAsia="Arial" w:hAnsi="Arial"/>
                <w:sz w:val="14"/>
                <w:szCs w:val="14"/>
                <w:b w:val="1"/>
                <w:bCs w:val="1"/>
                <w:color w:val="auto"/>
              </w:rPr>
              <w:t>% change from prior year</w:t>
            </w:r>
          </w:p>
        </w:tc>
        <w:tc>
          <w:tcPr>
            <w:tcW w:w="3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b w:val="1"/>
                <w:bCs w:val="1"/>
                <w:color w:val="auto"/>
              </w:rPr>
              <w:t>As a percent of net sales</w:t>
            </w:r>
          </w:p>
        </w:tc>
        <w:tc>
          <w:tcPr>
            <w:tcW w:w="36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residential segment in fiscal 2014 were up by 13.1 percent compared to fiscal 2013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189" w:lineRule="exact"/>
        <w:rPr>
          <w:sz w:val="20"/>
          <w:szCs w:val="20"/>
          <w:color w:val="auto"/>
        </w:rPr>
      </w:pPr>
    </w:p>
    <w:p>
      <w:pPr>
        <w:ind w:left="540" w:right="240" w:hanging="532"/>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Strong shipments and demand for snow thrower products and parts as a result of heavy snow falls during the 2013-2014 snow season in key markets and strong preseason demand for the 2014-2015 snow season.</w:t>
      </w:r>
    </w:p>
    <w:p>
      <w:pPr>
        <w:spacing w:after="0" w:line="6" w:lineRule="exact"/>
        <w:rPr>
          <w:rFonts w:ascii="Arial" w:cs="Arial" w:eastAsia="Arial" w:hAnsi="Arial"/>
          <w:sz w:val="18"/>
          <w:szCs w:val="18"/>
          <w:color w:val="auto"/>
        </w:rPr>
      </w:pPr>
    </w:p>
    <w:p>
      <w:pPr>
        <w:ind w:left="540" w:right="180" w:hanging="532"/>
        <w:spacing w:after="0" w:line="23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and demand of zero-turn radius riding products, including our enhanced products, as customers continued to transition to this mowing platform.</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sales of electric handheld products due to additional product placement at mass retailers and favorable weather conditions.</w:t>
      </w:r>
    </w:p>
    <w:p>
      <w:pPr>
        <w:ind w:left="540" w:right="180" w:hanging="532"/>
        <w:spacing w:after="0" w:line="23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slight increase in sales of walk power mowers due to the positive customer response to new products and expanded product placement for certain models, which was partially offset by the late arrival of spring weather conditions and a supplier-related rework that hampered sales in fiscal 2014.</w:t>
      </w: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Somewhat offsetting the increase in residential segment net sales was a decline in sales in Australia from unfavorable weather conditions, as well as unfavorable foreign currency exchange rate fluctuations.</w:t>
      </w:r>
    </w:p>
    <w:p>
      <w:pPr>
        <w:spacing w:after="0" w:line="209" w:lineRule="exact"/>
        <w:rPr>
          <w:sz w:val="20"/>
          <w:szCs w:val="20"/>
          <w:color w:val="auto"/>
        </w:rPr>
      </w:pPr>
    </w:p>
    <w:p>
      <w:pPr>
        <w:ind w:right="360" w:firstLine="146"/>
        <w:spacing w:after="0" w:line="239" w:lineRule="auto"/>
        <w:rPr>
          <w:sz w:val="20"/>
          <w:szCs w:val="20"/>
          <w:color w:val="auto"/>
        </w:rPr>
      </w:pPr>
      <w:r>
        <w:rPr>
          <w:rFonts w:ascii="Arial" w:cs="Arial" w:eastAsia="Arial" w:hAnsi="Arial"/>
          <w:sz w:val="18"/>
          <w:szCs w:val="18"/>
          <w:color w:val="auto"/>
        </w:rPr>
        <w:t>Our domestic field inventory levels of our residential segment products were higher as of the end of fiscal 2014 compared to the end of fiscal 2013, mainly for snow thrower products as a result of anticipated strong retail demand for the 2014-2015 winter season.</w:t>
      </w:r>
    </w:p>
    <w:p>
      <w:pPr>
        <w:spacing w:after="0" w:line="209" w:lineRule="exact"/>
        <w:rPr>
          <w:sz w:val="20"/>
          <w:szCs w:val="20"/>
          <w:color w:val="auto"/>
        </w:rPr>
      </w:pPr>
    </w:p>
    <w:p>
      <w:pPr>
        <w:ind w:right="460" w:firstLine="146"/>
        <w:spacing w:after="0" w:line="239" w:lineRule="auto"/>
        <w:rPr>
          <w:sz w:val="20"/>
          <w:szCs w:val="20"/>
          <w:color w:val="auto"/>
        </w:rPr>
      </w:pPr>
      <w:r>
        <w:rPr>
          <w:rFonts w:ascii="Arial" w:cs="Arial" w:eastAsia="Arial" w:hAnsi="Arial"/>
          <w:sz w:val="18"/>
          <w:szCs w:val="18"/>
          <w:color w:val="auto"/>
        </w:rPr>
        <w:t>Worldwide net sales for the residential segment in fiscal 2013 were down by 2.1 percent compared to fiscal 2012 primarily as a result of the following factors:</w:t>
      </w:r>
    </w:p>
    <w:p>
      <w:pPr>
        <w:spacing w:after="0" w:line="223" w:lineRule="exact"/>
        <w:rPr>
          <w:sz w:val="20"/>
          <w:szCs w:val="20"/>
          <w:color w:val="auto"/>
        </w:rPr>
      </w:pPr>
    </w:p>
    <w:p>
      <w:pPr>
        <w:ind w:left="54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shipments and demand for snow thrower products due to the lack of snowfall during the 2013-2012 and 2012-2011 winter seasons in certain key markets.</w:t>
      </w:r>
    </w:p>
    <w:p>
      <w:pPr>
        <w:sectPr>
          <w:pgSz w:w="11900" w:h="16838" w:orient="portrait"/>
          <w:cols w:equalWidth="0" w:num="1">
            <w:col w:w="11400"/>
          </w:cols>
          <w:pgMar w:left="240" w:top="143" w:right="259" w:bottom="564"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564"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00" w:hanging="532"/>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in sales of walk power mowers due to adverse spring weather conditions in fiscal 2013 that negatively impacted demand and our sales during the key selling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the decreases in residential segment net sales were:</w:t>
      </w:r>
    </w:p>
    <w:p>
      <w:pPr>
        <w:spacing w:after="0" w:line="221"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of Pope irrigation products in Australia as a result of dry weather conditions in that region.</w:t>
      </w:r>
    </w:p>
    <w:p>
      <w:pPr>
        <w:ind w:left="540" w:right="460" w:hanging="532"/>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shipments and demand of zero-turn radius riding mowers and handheld trimmer and blower products due to positive customer response to newly introduced and enhanced products, as well as favorable fall weather conditions.</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residential segment in fiscal 2014 increased 24.0 percent compared to fiscal 2013. Expressed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percentage of net sales, residential segment operating margins increased 100 basis points to 11.4 percent in fiscal 2014 compared to 10.4 percent in fiscal 2013. The following factors impacted residential segment operating earnings:</w:t>
      </w:r>
    </w:p>
    <w:p>
      <w:pPr>
        <w:spacing w:after="0" w:line="202" w:lineRule="exact"/>
        <w:rPr>
          <w:sz w:val="20"/>
          <w:szCs w:val="20"/>
          <w:color w:val="auto"/>
        </w:rPr>
      </w:pPr>
    </w:p>
    <w:p>
      <w:pPr>
        <w:ind w:left="540" w:right="520" w:hanging="532"/>
        <w:spacing w:after="0" w:line="23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Slightly lower gross margins from higher commodity prices and costs related to a supplier component rework issue, partially offset by production efficiencies on increased sales volumes.</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SG&amp;A expense rate attributable to leveraging fixed SG&amp;A costs over higher sales volumes.</w:t>
      </w:r>
    </w:p>
    <w:p>
      <w:pPr>
        <w:spacing w:after="0" w:line="212" w:lineRule="exact"/>
        <w:rPr>
          <w:sz w:val="20"/>
          <w:szCs w:val="20"/>
          <w:color w:val="auto"/>
        </w:rPr>
      </w:pPr>
    </w:p>
    <w:p>
      <w:pPr>
        <w:jc w:val="both"/>
        <w:ind w:right="120" w:firstLine="146"/>
        <w:spacing w:after="0" w:line="238" w:lineRule="auto"/>
        <w:rPr>
          <w:sz w:val="20"/>
          <w:szCs w:val="20"/>
          <w:color w:val="auto"/>
        </w:rPr>
      </w:pPr>
      <w:r>
        <w:rPr>
          <w:rFonts w:ascii="Arial" w:cs="Arial" w:eastAsia="Arial" w:hAnsi="Arial"/>
          <w:sz w:val="18"/>
          <w:szCs w:val="18"/>
          <w:color w:val="auto"/>
        </w:rPr>
        <w:t>Operating earnings for the residential segment in fiscal 2013 increased 7.2 percent compared to fiscal 2012. Expressed as a percentage of net sales, residential segment operating margins increased 90 basis points to 10.4 percent in fiscal 2013 compared to 9.5 percent in fiscal 2012. The following factors impacted residential segment operating earnings:</w:t>
      </w:r>
    </w:p>
    <w:p>
      <w:pPr>
        <w:spacing w:after="0" w:line="208" w:lineRule="exact"/>
        <w:rPr>
          <w:sz w:val="20"/>
          <w:szCs w:val="20"/>
          <w:color w:val="auto"/>
        </w:rPr>
      </w:pPr>
    </w:p>
    <w:p>
      <w:pPr>
        <w:ind w:left="540" w:right="300" w:hanging="532"/>
        <w:spacing w:after="0" w:line="23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gross margins from cost reduction efforts and lower commodity costs, somewhat offset by unabsorbed manufacturing costs from lower plant utilization as we cut production due to lower sales volumes of snow thrower products and walk power mowers.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SG&amp;A expense rate due to fixed SG&amp;A costs over lower sales volumes, somewhat offset by lower warranty expense.</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other income due to a recovery from a litigation settlement in fiscal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55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7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7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00"/>
              <w:spacing w:after="0"/>
              <w:rPr>
                <w:sz w:val="20"/>
                <w:szCs w:val="20"/>
                <w:color w:val="auto"/>
              </w:rPr>
            </w:pPr>
            <w:r>
              <w:rPr>
                <w:rFonts w:ascii="Arial" w:cs="Arial" w:eastAsia="Arial" w:hAnsi="Arial"/>
                <w:sz w:val="14"/>
                <w:szCs w:val="14"/>
                <w:b w:val="1"/>
                <w:bCs w:val="1"/>
                <w:color w:val="auto"/>
              </w:rPr>
              <w:t>% change from prior year</w:t>
            </w:r>
          </w:p>
        </w:tc>
        <w:tc>
          <w:tcPr>
            <w:tcW w:w="37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600"/>
        <w:spacing w:after="0" w:line="24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other segment includes sales from our wholly owned domestic distribution companies less sales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and Residential segments to those distribution companies. The other segment net sales in fiscal 2014 were up by $0.9 million compared to fiscal 2013 due to higher sales volumes at our company-owned distribution companies.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other segment net sales in fiscal 2013 were even at $21.8 million compared to fiscal 2012.</w:t>
      </w:r>
    </w:p>
    <w:p>
      <w:pPr>
        <w:spacing w:after="0" w:line="19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 xml:space="preserve">Operating Loss. </w:t>
      </w:r>
      <w:r>
        <w:rPr>
          <w:rFonts w:ascii="Arial" w:cs="Arial" w:eastAsia="Arial" w:hAnsi="Arial"/>
          <w:sz w:val="18"/>
          <w:szCs w:val="18"/>
          <w:color w:val="auto"/>
        </w:rPr>
        <w:t>Operating loss for the other segment in fiscal 2014 increased by 7.8 percent compared to fiscal 2013. This loss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higher incentive compensation expense, higher foreign currency exchange rate losses, and recovery for a litigation settlement in fiscal 2013 that was not duplicated in fiscal 2014.</w:t>
      </w:r>
    </w:p>
    <w:p>
      <w:pPr>
        <w:spacing w:after="0" w:line="202" w:lineRule="exact"/>
        <w:rPr>
          <w:sz w:val="20"/>
          <w:szCs w:val="20"/>
          <w:color w:val="auto"/>
        </w:rPr>
      </w:pPr>
    </w:p>
    <w:p>
      <w:pPr>
        <w:ind w:firstLine="146"/>
        <w:spacing w:after="0" w:line="238" w:lineRule="auto"/>
        <w:rPr>
          <w:sz w:val="20"/>
          <w:szCs w:val="20"/>
          <w:color w:val="auto"/>
        </w:rPr>
      </w:pPr>
      <w:r>
        <w:rPr>
          <w:rFonts w:ascii="Arial" w:cs="Arial" w:eastAsia="Arial" w:hAnsi="Arial"/>
          <w:sz w:val="18"/>
          <w:szCs w:val="18"/>
          <w:color w:val="auto"/>
        </w:rPr>
        <w:t>Operating loss for the other segment in fiscal 2013 decreased by 4.3 percent compared to fiscal 2012. This loss decrease was primarily attributable to litigation recovery in fiscal 2013, lower foreign currency exchange rate losses, and an increase in income from our equity investment in Red Iron.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In fiscal 2014, we continued to place emphasis on improving asset utilization, with a focus on reducing the amount of working capital in the supply chain, adjusting production plans, and maintaining or improving order replenishment and service levels to end users. As a result of our efforts, our average net working capital (accounts receivable plus inventory less trade payables) as a percentage of net sales decreased to 15.1 percent as of the end of fiscal 2014 compared to 16.6 percent as of the end of fiscal 2013.</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90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3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$ 156.9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$ 123.0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208.1</w:t>
            </w:r>
          </w:p>
        </w:tc>
        <w:tc>
          <w:tcPr>
            <w:tcW w:w="540" w:type="dxa"/>
            <w:vAlign w:val="bottom"/>
          </w:tcPr>
          <w:p>
            <w:pPr>
              <w:jc w:val="right"/>
              <w:spacing w:after="0"/>
              <w:rPr>
                <w:sz w:val="20"/>
                <w:szCs w:val="20"/>
                <w:color w:val="auto"/>
              </w:rPr>
            </w:pPr>
            <w:r>
              <w:rPr>
                <w:rFonts w:ascii="Arial" w:cs="Arial" w:eastAsia="Arial" w:hAnsi="Arial"/>
                <w:sz w:val="14"/>
                <w:szCs w:val="14"/>
                <w:color w:val="auto"/>
              </w:rPr>
              <w:t>198.9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306.2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185.2</w:t>
            </w:r>
          </w:p>
        </w:tc>
        <w:tc>
          <w:tcPr>
            <w:tcW w:w="540" w:type="dxa"/>
            <w:vAlign w:val="bottom"/>
          </w:tcPr>
          <w:p>
            <w:pPr>
              <w:jc w:val="right"/>
              <w:spacing w:after="0"/>
              <w:rPr>
                <w:sz w:val="20"/>
                <w:szCs w:val="20"/>
                <w:color w:val="auto"/>
              </w:rPr>
            </w:pPr>
            <w:r>
              <w:rPr>
                <w:rFonts w:ascii="Arial" w:cs="Arial" w:eastAsia="Arial" w:hAnsi="Arial"/>
                <w:sz w:val="14"/>
                <w:szCs w:val="14"/>
                <w:color w:val="auto"/>
              </w:rPr>
              <w:t>158.3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inventory turnover (times)</w:t>
            </w:r>
          </w:p>
        </w:tc>
        <w:tc>
          <w:tcPr>
            <w:tcW w:w="3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impacted our working capital:</w:t>
      </w:r>
    </w:p>
    <w:p>
      <w:pPr>
        <w:spacing w:after="0" w:line="212" w:lineRule="exact"/>
        <w:rPr>
          <w:sz w:val="20"/>
          <w:szCs w:val="20"/>
          <w:color w:val="auto"/>
        </w:rPr>
      </w:pPr>
    </w:p>
    <w:p>
      <w:pPr>
        <w:ind w:left="540" w:right="140" w:hanging="532"/>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Average net receivables increased by 4.6 percent in fiscal 2014 compared to fiscal 2013 as a result of higher sales volumes. Our average days outstanding for receivables slightly decreased to 35.0 days in fiscal 2014 compared to 35.6 days in fiscal 2013.</w:t>
      </w:r>
    </w:p>
    <w:p>
      <w:pPr>
        <w:spacing w:after="0" w:line="1" w:lineRule="exact"/>
        <w:rPr>
          <w:rFonts w:ascii="Arial" w:cs="Arial" w:eastAsia="Arial" w:hAnsi="Arial"/>
          <w:sz w:val="18"/>
          <w:szCs w:val="18"/>
          <w:color w:val="auto"/>
        </w:rPr>
      </w:pPr>
    </w:p>
    <w:p>
      <w:pPr>
        <w:ind w:left="540" w:right="380" w:hanging="532"/>
        <w:spacing w:after="0" w:line="23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Average inventories slightly increased by 2.8 percent in fiscal 2014 compared to fiscal 2013. However, inventory levels as of the end of fiscal 2014 compared to the end of fiscal 2013 were up by $34.5 million, or 14.4 percent, as we built inventory in anticipation of strong demand for certain products, including products impacted by the continued phase-in of applicable Tier 4 diesel engine emission requirements and other regulations in Europe.</w:t>
      </w:r>
    </w:p>
    <w:p>
      <w:pPr>
        <w:sectPr>
          <w:pgSz w:w="11900" w:h="16838" w:orient="portrait"/>
          <w:cols w:equalWidth="0" w:num="1">
            <w:col w:w="11360"/>
          </w:cols>
          <w:pgMar w:left="240" w:top="143" w:right="299" w:bottom="0" w:gutter="0" w:footer="0" w:header="0"/>
        </w:sect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60" w:hanging="532"/>
        <w:spacing w:after="0" w:line="23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Average accounts payable increased by 17.0 percent in fiscal 2014 compared to fiscal 2013 mainly due to higher volume of purchases from increased sales and demand in fiscal 2014 compared to fiscal 2013.</w:t>
      </w:r>
    </w:p>
    <w:p>
      <w:pPr>
        <w:spacing w:after="0" w:line="209" w:lineRule="exact"/>
        <w:rPr>
          <w:sz w:val="20"/>
          <w:szCs w:val="20"/>
          <w:color w:val="auto"/>
        </w:rPr>
      </w:pPr>
    </w:p>
    <w:p>
      <w:pPr>
        <w:ind w:right="40" w:firstLine="146"/>
        <w:spacing w:after="0" w:line="269" w:lineRule="auto"/>
        <w:rPr>
          <w:sz w:val="20"/>
          <w:szCs w:val="20"/>
          <w:color w:val="auto"/>
        </w:rPr>
      </w:pPr>
      <w:r>
        <w:rPr>
          <w:rFonts w:ascii="Arial" w:cs="Arial" w:eastAsia="Arial" w:hAnsi="Arial"/>
          <w:sz w:val="16"/>
          <w:szCs w:val="16"/>
          <w:color w:val="auto"/>
        </w:rPr>
        <w:t>In fiscal 2015, we intend to continue to place emphasis on improving asset utilization and reducing the amount of working capital in the supply chain. Notwithstanding these efforts, we expect average receivables to increase and average inventory turnover to improve in fiscal 2015 compared to fiscal 2014 due to anticipated higher sales volumes. We also expect average inventory levels in fiscal 2015 to be higher as compared to fiscal 2014 due, in part, to incremental inventory levels from our recent acquisition of the BOSS professional snow and ice management business. Additionally, we anticipate average inventory in fiscal 2015 to be higher as compared to average inventory in fiscal 2014 because inventory levels as of the end of fiscal 2014 were higher compared to inventory levels as of the end of fiscal 2013, mainly for certain products impacted by Tier 4 diesel engine emission requirements and other regulations in Europe. We also anticipate average accounts payable to increase in fiscal 2015 as compared to fiscal 2014, driven by higher purchases to meet expected increase in demand for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Long-Term Assets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Fiscal 2014 capital expenditures of $71.1 million were higher by $21.7 million compared to fiscal 2013. This increase was primarily attributable to capital expenditures for the construction of our expanded new corporate facility located in Bloomington, Minnesota, new product tooling, and replacement production equipment. Capital expenditures for fiscal 2015 are planned to be approximately $75 million as we expect to continue to invest in new product tooling, new technology in production processes and equipment, replacement production equipment, as well as renovations of our original corporate facility located in Bloomington, Minnesota to accommodate expansion needs for our product development and test capacities.</w:t>
      </w:r>
    </w:p>
    <w:p>
      <w:pPr>
        <w:spacing w:after="0" w:line="210"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Long-term assets as of October 31, 2014 were $368.4 million compared to $349.5 million as of October 31, 2013, an increase of 5.4 percent. This increase was mainly attributable to higher investments of capital expenditures in fiscal 2014 compared to fiscal 2013, as discussed above. Included in long-term assets as of October 31, 2014 and 2013 was goodwill in the amount of $91.9 million. Based on our annual impairment analysis, we determined there was no goodwill impairment for any of our reporting units as their related fair values were substantially in excess of their carrying values.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5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5"/>
          </w:tcPr>
          <w:p>
            <w:pPr>
              <w:jc w:val="right"/>
              <w:ind w:right="208"/>
              <w:spacing w:after="0"/>
              <w:rPr>
                <w:sz w:val="20"/>
                <w:szCs w:val="20"/>
                <w:color w:val="auto"/>
              </w:rPr>
            </w:pPr>
            <w:r>
              <w:rPr>
                <w:rFonts w:ascii="Arial" w:cs="Arial" w:eastAsia="Arial" w:hAnsi="Arial"/>
                <w:sz w:val="14"/>
                <w:szCs w:val="14"/>
                <w:color w:val="auto"/>
              </w:rPr>
              <w:t>Cash Provided by</w:t>
            </w:r>
          </w:p>
        </w:tc>
        <w:tc>
          <w:tcPr>
            <w:tcW w:w="140" w:type="dxa"/>
            <w:vAlign w:val="bottom"/>
          </w:tcPr>
          <w:p>
            <w:pPr>
              <w:spacing w:after="0"/>
              <w:rPr>
                <w:sz w:val="16"/>
                <w:szCs w:val="16"/>
                <w:color w:val="auto"/>
              </w:rPr>
            </w:pPr>
          </w:p>
        </w:tc>
      </w:tr>
      <w:tr>
        <w:trPr>
          <w:trHeight w:val="228"/>
        </w:trPr>
        <w:tc>
          <w:tcPr>
            <w:tcW w:w="960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1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(Used in)</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3"/>
        </w:trPr>
        <w:tc>
          <w:tcPr>
            <w:tcW w:w="96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9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4"/>
              </w:rPr>
              <w:t>$ 182.4</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221.9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185.8</w:t>
            </w: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95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(65.7)</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(47.3)</w:t>
            </w:r>
          </w:p>
        </w:tc>
      </w:tr>
      <w:tr>
        <w:trPr>
          <w:trHeight w:val="162"/>
        </w:trPr>
        <w:tc>
          <w:tcPr>
            <w:tcW w:w="20" w:type="dxa"/>
            <w:vAlign w:val="bottom"/>
          </w:tcPr>
          <w:p>
            <w:pPr>
              <w:spacing w:after="0"/>
              <w:rPr>
                <w:sz w:val="14"/>
                <w:szCs w:val="14"/>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(118.3)</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(93.0)</w:t>
            </w:r>
          </w:p>
        </w:tc>
      </w:tr>
      <w:tr>
        <w:trPr>
          <w:trHeight w:val="189"/>
        </w:trPr>
        <w:tc>
          <w:tcPr>
            <w:tcW w:w="20" w:type="dxa"/>
            <w:vAlign w:val="bottom"/>
          </w:tcPr>
          <w:p>
            <w:pPr>
              <w:spacing w:after="0"/>
              <w:rPr>
                <w:sz w:val="16"/>
                <w:szCs w:val="16"/>
                <w:color w:val="auto"/>
              </w:rPr>
            </w:pPr>
          </w:p>
        </w:tc>
        <w:tc>
          <w:tcPr>
            <w:tcW w:w="9580" w:type="dxa"/>
            <w:vAlign w:val="bottom"/>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r>
      <w:tr>
        <w:trPr>
          <w:trHeight w:val="156"/>
        </w:trPr>
        <w:tc>
          <w:tcPr>
            <w:tcW w:w="20" w:type="dxa"/>
            <w:vAlign w:val="bottom"/>
          </w:tcPr>
          <w:p>
            <w:pPr>
              <w:spacing w:after="0"/>
              <w:rPr>
                <w:sz w:val="13"/>
                <w:szCs w:val="13"/>
                <w:color w:val="auto"/>
              </w:rPr>
            </w:pPr>
          </w:p>
        </w:tc>
        <w:tc>
          <w:tcPr>
            <w:tcW w:w="9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increase</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4"/>
              </w:rPr>
              <w:t>$ 131.9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57.1</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w:t>
            </w:r>
          </w:p>
        </w:tc>
        <w:tc>
          <w:tcPr>
            <w:tcW w:w="140" w:type="dxa"/>
            <w:vAlign w:val="bottom"/>
            <w:shd w:val="clear" w:color="auto" w:fill="CCEEFF"/>
          </w:tcPr>
          <w:p>
            <w:pPr>
              <w:spacing w:after="0"/>
              <w:rPr>
                <w:sz w:val="13"/>
                <w:szCs w:val="13"/>
                <w:color w:val="auto"/>
              </w:rPr>
            </w:pPr>
          </w:p>
        </w:tc>
      </w:tr>
      <w:tr>
        <w:trPr>
          <w:trHeight w:val="27"/>
        </w:trPr>
        <w:tc>
          <w:tcPr>
            <w:tcW w:w="96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 fiscal year end</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$ 314.9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125.9</w:t>
            </w:r>
          </w:p>
        </w:tc>
        <w:tc>
          <w:tcPr>
            <w:tcW w:w="140" w:type="dxa"/>
            <w:vAlign w:val="bottom"/>
          </w:tcPr>
          <w:p>
            <w:pPr>
              <w:spacing w:after="0"/>
              <w:rPr>
                <w:sz w:val="15"/>
                <w:szCs w:val="15"/>
                <w:color w:val="auto"/>
              </w:rPr>
            </w:pPr>
          </w:p>
        </w:tc>
      </w:tr>
    </w:tbl>
    <w:p>
      <w:pPr>
        <w:spacing w:after="0" w:line="19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Our primary source of funds is cash generated from operations. In fiscal 2014,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decreased $39.5 million, or 17.8 percent, from fiscal 2013. This decrease was due to cash utilized for increased working capital needs, mainly as a result of an increase in inventory levels and a decline in accounts payable, partially offset by higher net earnings.</w:t>
      </w:r>
    </w:p>
    <w:p>
      <w:pPr>
        <w:spacing w:after="0" w:line="202" w:lineRule="exact"/>
        <w:rPr>
          <w:sz w:val="20"/>
          <w:szCs w:val="20"/>
          <w:color w:val="auto"/>
        </w:rPr>
      </w:pPr>
    </w:p>
    <w:p>
      <w:pPr>
        <w:ind w:right="300" w:firstLine="146"/>
        <w:spacing w:after="0" w:line="239" w:lineRule="auto"/>
        <w:rPr>
          <w:sz w:val="20"/>
          <w:szCs w:val="20"/>
          <w:color w:val="auto"/>
        </w:rPr>
      </w:pPr>
      <w:r>
        <w:rPr>
          <w:rFonts w:ascii="Arial" w:cs="Arial" w:eastAsia="Arial" w:hAnsi="Arial"/>
          <w:sz w:val="18"/>
          <w:szCs w:val="18"/>
          <w:color w:val="auto"/>
        </w:rPr>
        <w:t>In fiscal 2013, cash provided by operating activities increased $36.1 million, or 19.4 percent, from fiscal 2012. This improvement was due to a decrease in inventory levels and higher net earnings, somewhat offset by an increase in accounts receivable.</w:t>
      </w:r>
    </w:p>
    <w:p>
      <w:pPr>
        <w:spacing w:after="0" w:line="18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Capital expenditures and acquisitions are a significant use of our capital resources. These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enable sales growth in new and expanding markets, help us to meet product demand, and increase our manufacturing efficiencies and capacity. Cash used in investing activities in fiscal 2014 increased $20.9 million, or 46.7 percent, from fiscal 2013 mainly due to higher purchases of property, plant, and equipment, including our new corporate facility, as previously discussed.</w:t>
      </w:r>
    </w:p>
    <w:p>
      <w:pPr>
        <w:spacing w:after="0" w:line="205" w:lineRule="exact"/>
        <w:rPr>
          <w:sz w:val="20"/>
          <w:szCs w:val="20"/>
          <w:color w:val="auto"/>
        </w:rPr>
      </w:pPr>
    </w:p>
    <w:p>
      <w:pPr>
        <w:ind w:right="840" w:firstLine="146"/>
        <w:spacing w:after="0" w:line="239" w:lineRule="auto"/>
        <w:rPr>
          <w:sz w:val="20"/>
          <w:szCs w:val="20"/>
          <w:color w:val="auto"/>
        </w:rPr>
      </w:pPr>
      <w:r>
        <w:rPr>
          <w:rFonts w:ascii="Arial" w:cs="Arial" w:eastAsia="Arial" w:hAnsi="Arial"/>
          <w:sz w:val="18"/>
          <w:szCs w:val="18"/>
          <w:color w:val="auto"/>
        </w:rPr>
        <w:t>Cash used in investing activities was down 5.4 percent in fiscal 2013 compared to fiscal 2012 due to lower amounts of cash utilized for acquisitions, somewhat offset by an increase in purchases of property, plant, and equipment.</w:t>
      </w:r>
    </w:p>
    <w:p>
      <w:pPr>
        <w:spacing w:after="0" w:line="189"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 xml:space="preserve">Cash Flows From Financing Activities. </w:t>
      </w:r>
      <w:r>
        <w:rPr>
          <w:rFonts w:ascii="Arial" w:cs="Arial" w:eastAsia="Arial" w:hAnsi="Arial"/>
          <w:sz w:val="16"/>
          <w:szCs w:val="16"/>
          <w:color w:val="auto"/>
        </w:rPr>
        <w:t>Cash provided by financing activities was $17.0 million in fiscal 2014 compared to cash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activities of $118.3 million in fiscal 2013. The increase in cash provided by financing activities included an increase in short-term and long-term debt, partially offset by higher amounts of cash paid for dividends and stock repurchases in fiscal 2014 compared to fiscal 2013.</w:t>
      </w:r>
    </w:p>
    <w:p>
      <w:pPr>
        <w:spacing w:after="0" w:line="168" w:lineRule="exact"/>
        <w:rPr>
          <w:sz w:val="20"/>
          <w:szCs w:val="20"/>
          <w:color w:val="auto"/>
        </w:rPr>
      </w:pPr>
    </w:p>
    <w:p>
      <w:pPr>
        <w:ind w:right="660" w:firstLine="146"/>
        <w:spacing w:after="0" w:line="239" w:lineRule="auto"/>
        <w:rPr>
          <w:sz w:val="20"/>
          <w:szCs w:val="20"/>
          <w:color w:val="auto"/>
        </w:rPr>
      </w:pPr>
      <w:r>
        <w:rPr>
          <w:rFonts w:ascii="Arial" w:cs="Arial" w:eastAsia="Arial" w:hAnsi="Arial"/>
          <w:sz w:val="18"/>
          <w:szCs w:val="18"/>
          <w:color w:val="auto"/>
        </w:rPr>
        <w:t>Cash used in financing activities increased by 27.1 percent in fiscal 2013 compared to fiscal 2012 due to higher amounts of cash paid for dividends and repurchases of our common stock, as well as lower amounts of proceeds from exercises of stock options.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as of the end of fiscal 2014 were higher by $131.9 million compared to the end of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In late fiscal 2014, our cash increased due to borrowings under our revolving credit facility, including $130.0 million additional cash received under a term loan in anticipation of cash required to close the acquisition of the BOSS business early in the first quarter of fiscal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October 31, 2014, cash and short-term investments held by our foreign subsidiaries that are not available to fund domestic operations unless repatriated were $56.4 million. We currently do not intend to repatriate this cash held by our foreign subsidiaries; however, if circumstances changed and these funds were needed for our U.S. operations, we would be required to accrue and pay U.S. taxes to repatriate these funds.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Seasonal cash requirements are financed from operations, cash on hand, and with short-term financing arrangements, including our</w:t>
      </w:r>
    </w:p>
    <w:p>
      <w:pPr>
        <w:spacing w:after="0" w:line="235" w:lineRule="auto"/>
        <w:rPr>
          <w:sz w:val="20"/>
          <w:szCs w:val="20"/>
          <w:color w:val="auto"/>
        </w:rPr>
      </w:pPr>
      <w:r>
        <w:rPr>
          <w:rFonts w:ascii="Arial" w:cs="Arial" w:eastAsia="Arial" w:hAnsi="Arial"/>
          <w:sz w:val="18"/>
          <w:szCs w:val="18"/>
          <w:color w:val="auto"/>
        </w:rPr>
        <w:t>$150.0 million unsecured senior five-year revolving credit facility that expires in October 2019, which replaced our prior revolving credit facility that was scheduled to mature in July 2015.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$13.2 million. These facilities bear interest at various rates depending on the rates in their respective countries of operation. As of October 31, 2014, we had $20.8 million outstanding short-term debt under these lines of credit compared to no outstanding short-term debt as of October 31, 2013. Our short-term debt outstanding as of October 31, 2014 was mainly due to borrowings under our credit facility in anticipation of cash required to close the acquisition of the BOSS business early in the first quarter of fiscal 2015. As of October 31, 2014, we had $13.7 million of outstanding letters of credit and $128.7 million of unutilized availability under our credit agreements.</w:t>
      </w:r>
    </w:p>
    <w:p>
      <w:pPr>
        <w:spacing w:after="0" w:line="215" w:lineRule="exact"/>
        <w:rPr>
          <w:sz w:val="20"/>
          <w:szCs w:val="20"/>
          <w:color w:val="auto"/>
        </w:rPr>
      </w:pPr>
    </w:p>
    <w:p>
      <w:pPr>
        <w:ind w:firstLine="137"/>
        <w:spacing w:after="0" w:line="236" w:lineRule="auto"/>
        <w:rPr>
          <w:sz w:val="20"/>
          <w:szCs w:val="20"/>
          <w:color w:val="auto"/>
        </w:rPr>
      </w:pPr>
      <w:r>
        <w:rPr>
          <w:rFonts w:ascii="Arial" w:cs="Arial" w:eastAsia="Arial" w:hAnsi="Arial"/>
          <w:sz w:val="18"/>
          <w:szCs w:val="18"/>
          <w:color w:val="auto"/>
        </w:rPr>
        <w:t>Additionally, as of October 31, 2014, we had $354.0 million outstanding in long-term debt that includes $100 million in aggregate principal amount of 7.8% debentures due June 15, 2027 and $125.0 million in aggregate principal amount of 6.625% senior notes due May 1, 2037. In late fiscal 2014 as part of our renewed credit facility, we also obtained a $130.0 million term loan for cash required to close the acquisition of the BOSS business early in fiscal 2015.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210"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Our revolving and term loan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recently entered into in October 2014, we are not limited in the amount for payments of cash dividends and stock repurchases as long as our debt to EBITDA ratio from the previous quarter compliance certificate is less than or equal to 3.25, provided that immediately after giving effect of any such proposed action, no default or event of default would exist. As of October 31, 2014, we were not limited in the amount for payments of cash dividends and stock repurchases. We were in compliance with all covenants related to our credit agreement for our revolving credit facility as of October 31, 2014, and we expect to be in compliance with all covenants during fiscal 2015.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fiscal 2014 by Standard and Poor's Ratings Group at BBB and by Moody's Investors Service at Baa3.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debt-to-capitalization ratio.</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3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3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$ 20.8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3960" w:type="dxa"/>
            <w:vAlign w:val="bottom"/>
          </w:tcPr>
          <w:p>
            <w:pPr>
              <w:jc w:val="right"/>
              <w:ind w:right="68"/>
              <w:spacing w:after="0"/>
              <w:rPr>
                <w:sz w:val="20"/>
                <w:szCs w:val="20"/>
                <w:color w:val="auto"/>
              </w:rPr>
            </w:pPr>
            <w:r>
              <w:rPr>
                <w:rFonts w:ascii="Arial" w:cs="Arial" w:eastAsia="Arial" w:hAnsi="Arial"/>
                <w:sz w:val="14"/>
                <w:szCs w:val="14"/>
                <w:b w:val="1"/>
                <w:bCs w:val="1"/>
                <w:color w:val="auto"/>
              </w:rPr>
              <w:t>354.0</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223.5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3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408.7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47.8%</w:t>
            </w:r>
          </w:p>
        </w:tc>
        <w:tc>
          <w:tcPr>
            <w:tcW w:w="10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80" w:firstLine="146"/>
        <w:spacing w:after="0" w:line="239" w:lineRule="auto"/>
        <w:rPr>
          <w:sz w:val="20"/>
          <w:szCs w:val="20"/>
          <w:color w:val="auto"/>
        </w:rPr>
      </w:pPr>
      <w:r>
        <w:rPr>
          <w:rFonts w:ascii="Arial" w:cs="Arial" w:eastAsia="Arial" w:hAnsi="Arial"/>
          <w:sz w:val="18"/>
          <w:szCs w:val="18"/>
          <w:color w:val="auto"/>
        </w:rPr>
        <w:t>Our debt-to-capitalization ratio increased in fiscal 2014 compared to fiscal 2013 due to an increase in our short-term and long-term debt, as previously discussed, partially offset by an increase in stockholders' equity from higher net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During the first quarter of fiscal 2014, we changed our annual dividend guideline from 20 to 30 percent to 30 to 40 percent of our three-year average net earnings per share for the current and previous two fiscal years. Each quarter in fiscal 2014, our Board of Directors declared a cash dividend of $0.20 per share, which was a 42.9 percent increase over our cash dividend of $0.14 per share paid each quarter in fiscal 2013. As announced on December 4, 2014, our Board of Directors increased our fiscal 2015 first quarter cash dividend by 25 percent to $0.25 per share from the quarterly cash dividend paid in the first quarter of fiscal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fiscal 2014, we continued repurchasing shares of our common stock in the open market, thereby reducing our shares outstanding. In addition, our repurchase program provided shares for use in connection with our equity compensation plans. As of October 31, 2014, 2,720,493 shares remained available for repurchase under our Board authorization. We expect to continue repurchasing shares of our common stock in fiscal 2015 depending upon market conditions.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3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Shares of common stock purchased</w:t>
            </w:r>
            <w:r>
              <w:rPr>
                <w:rFonts w:ascii="Arial" w:cs="Arial" w:eastAsia="Arial" w:hAnsi="Arial"/>
                <w:sz w:val="21"/>
                <w:szCs w:val="21"/>
                <w:b w:val="1"/>
                <w:bCs w:val="1"/>
                <w:color w:val="auto"/>
                <w:vertAlign w:val="superscript"/>
              </w:rPr>
              <w:t>1</w:t>
            </w:r>
          </w:p>
        </w:tc>
        <w:tc>
          <w:tcPr>
            <w:tcW w:w="3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1,622,569</w:t>
            </w: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2,131,615</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2,591,039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3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3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40" w:hanging="532"/>
        <w:spacing w:after="0" w:line="193" w:lineRule="auto"/>
        <w:tabs>
          <w:tab w:leader="none" w:pos="5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Does not include shares of our common stock surrendered by employees to satisfy minimum tax withholding obligations upon vesting of restricted stock granted under our stock-based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We are party to a joint venture with TCFIF, established as Red Iron, the purpose of which is to provide inventory financing,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including floor plan and open account receivable financing, to distributors and dealers of our products in the U.S. and select distributors of our</w:t>
      </w:r>
    </w:p>
    <w:p>
      <w:pPr>
        <w:spacing w:after="0" w:line="234" w:lineRule="auto"/>
        <w:rPr>
          <w:sz w:val="20"/>
          <w:szCs w:val="20"/>
          <w:color w:val="auto"/>
        </w:rPr>
      </w:pPr>
      <w:r>
        <w:rPr>
          <w:rFonts w:ascii="Arial" w:cs="Arial" w:eastAsia="Arial" w:hAnsi="Arial"/>
          <w:sz w:val="18"/>
          <w:szCs w:val="18"/>
          <w:color w:val="auto"/>
        </w:rPr>
        <w:t>products in Canada that enables them to carry representative inventories of our products. Under a separate arrangement, TCFCFC provides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inventory financing to dealers of our products in Canada. Under these financing arrangements, down payments are not required and, depending 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finance program for each product line, finance charges are incurred by us, shared between us and the distributor and/or the dealer, or paid 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distributor or dealer. Red Iron retains a security interest in the distributors' and dealers' financed inventories, and those inventories are</w:t>
      </w:r>
    </w:p>
    <w:p>
      <w:pPr>
        <w:spacing w:after="0"/>
        <w:rPr>
          <w:sz w:val="20"/>
          <w:szCs w:val="20"/>
          <w:color w:val="auto"/>
        </w:rPr>
      </w:pPr>
      <w:r>
        <w:rPr>
          <w:rFonts w:ascii="Arial" w:cs="Arial" w:eastAsia="Arial" w:hAnsi="Arial"/>
          <w:sz w:val="16"/>
          <w:szCs w:val="16"/>
          <w:color w:val="auto"/>
        </w:rPr>
        <w:t>monitored regularly. Floor plan terms to the distributors and dealers require payment as the equipment, which secures the indebtedness, is sold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customers or when payment terms become due, whichever occurs first. Rates are generally indexed to LIBOR plus a fixed percentage that differs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based on whether the financing is for a distributor or dealer. Rates may also vary based on the product that is financed. Red Iron financed</w:t>
      </w:r>
    </w:p>
    <w:p>
      <w:pPr>
        <w:spacing w:after="0"/>
        <w:rPr>
          <w:sz w:val="20"/>
          <w:szCs w:val="20"/>
          <w:color w:val="auto"/>
        </w:rPr>
      </w:pPr>
      <w:r>
        <w:rPr>
          <w:rFonts w:ascii="Arial" w:cs="Arial" w:eastAsia="Arial" w:hAnsi="Arial"/>
          <w:sz w:val="16"/>
          <w:szCs w:val="16"/>
          <w:color w:val="auto"/>
        </w:rPr>
        <w:t>$1,280.5 million of new receivables for dealers and distributors during fiscal 2014, of which $291.6 million was outstanding as of October 31, 2014.</w:t>
      </w:r>
    </w:p>
    <w:p>
      <w:pPr>
        <w:spacing w:after="0" w:line="235" w:lineRule="exact"/>
        <w:rPr>
          <w:sz w:val="20"/>
          <w:szCs w:val="20"/>
          <w:color w:val="auto"/>
        </w:rPr>
      </w:pPr>
    </w:p>
    <w:p>
      <w:pPr>
        <w:jc w:val="both"/>
        <w:ind w:right="620" w:firstLine="146"/>
        <w:spacing w:after="0" w:line="299" w:lineRule="auto"/>
        <w:rPr>
          <w:sz w:val="20"/>
          <w:szCs w:val="20"/>
          <w:color w:val="auto"/>
        </w:rPr>
      </w:pPr>
      <w:r>
        <w:rPr>
          <w:rFonts w:ascii="Arial" w:cs="Arial" w:eastAsia="Arial" w:hAnsi="Arial"/>
          <w:sz w:val="16"/>
          <w:szCs w:val="16"/>
          <w:color w:val="auto"/>
        </w:rPr>
        <w:t>Some independent international dealers continue to finance their products with a third party financing company. This third party financing company purchased $18.7 million of receivables from us during fiscal 2014, of which $10.9 million was outstanding as of October 31, 2014.</w:t>
      </w:r>
    </w:p>
    <w:p>
      <w:pPr>
        <w:spacing w:after="0" w:line="163"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We also enter into limited inventory repurchase agreements with third party financing companies and Red Iron for receivables financed by them. As of October 31, 2014, we were contingently liable to repurchase up to a maximum amount of $9.4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w:t>
      </w:r>
    </w:p>
    <w:p>
      <w:pPr>
        <w:sectPr>
          <w:pgSz w:w="11900" w:h="16838" w:orient="portrait"/>
          <w:cols w:equalWidth="0" w:num="1">
            <w:col w:w="11420"/>
          </w:cols>
          <w:pgMar w:left="240" w:top="143"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but not exceeding our limited obligation, which could have an adverse effect on our operating results.</w:t>
      </w:r>
    </w:p>
    <w:p>
      <w:pPr>
        <w:spacing w:after="0" w:line="212" w:lineRule="exact"/>
        <w:rPr>
          <w:sz w:val="20"/>
          <w:szCs w:val="20"/>
          <w:color w:val="auto"/>
        </w:rPr>
      </w:pPr>
    </w:p>
    <w:p>
      <w:pPr>
        <w:ind w:right="140" w:firstLine="146"/>
        <w:spacing w:after="0" w:line="236" w:lineRule="auto"/>
        <w:rPr>
          <w:sz w:val="20"/>
          <w:szCs w:val="20"/>
          <w:color w:val="auto"/>
        </w:rPr>
      </w:pPr>
      <w:r>
        <w:rPr>
          <w:rFonts w:ascii="Arial" w:cs="Arial" w:eastAsia="Arial" w:hAnsi="Arial"/>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 Beginning in fiscal 2015 as a result of our acquisition of the BOSS business, we will also provide open account financing to distributors and dealers in our BOSS business until such time as these customers may transition to our Red Iron financing joint venture.</w:t>
      </w:r>
    </w:p>
    <w:p>
      <w:pPr>
        <w:spacing w:after="0" w:line="19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and select countries in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205"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From time to time, we enter into agreements where we provide recourse to third party finance companies in the event of default by the customer for lease payments to the third party finance company. Our maximum exposure for credit collection under those arrangements as of October 31, 2014 was $1.9 million.</w:t>
      </w:r>
    </w:p>
    <w:p>
      <w:pPr>
        <w:spacing w:after="0" w:line="208"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8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From time to time, we enter into long-term loan agreements with some distributors. These transactions are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the distributors' businesses, acquisitions, refinancing working capital agreements, or facilitation of ownership changes. As of October 31, 2014, we had an outstanding note receivable in the amount of $1.1 million, which is included in other current and long-term assets on our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86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rPr>
              <w:t>Payments Due By Period</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Less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More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Than</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than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4"/>
                <w:szCs w:val="14"/>
                <w:color w:val="auto"/>
              </w:rPr>
              <w:t>Contractual Obligation</w:t>
            </w: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Years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 Years</w:t>
            </w:r>
          </w:p>
        </w:tc>
        <w:tc>
          <w:tcPr>
            <w:tcW w:w="1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Short-term debt</w:t>
            </w:r>
            <w:r>
              <w:rPr>
                <w:rFonts w:ascii="Arial" w:cs="Arial" w:eastAsia="Arial" w:hAnsi="Arial"/>
                <w:sz w:val="21"/>
                <w:szCs w:val="21"/>
                <w:b w:val="1"/>
                <w:bCs w:val="1"/>
                <w:color w:val="auto"/>
                <w:vertAlign w:val="superscript"/>
              </w:rPr>
              <w:t>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6,640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26,210</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97,500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225,000</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355,350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Interest payments</w:t>
            </w:r>
            <w:r>
              <w:rPr>
                <w:rFonts w:ascii="Arial" w:cs="Arial" w:eastAsia="Arial" w:hAnsi="Arial"/>
                <w:sz w:val="21"/>
                <w:szCs w:val="21"/>
                <w:b w:val="1"/>
                <w:bCs w:val="1"/>
                <w:color w:val="auto"/>
                <w:vertAlign w:val="superscript"/>
              </w:rPr>
              <w:t>2</w:t>
            </w:r>
          </w:p>
        </w:tc>
        <w:tc>
          <w:tcPr>
            <w:tcW w:w="2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17,960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35,267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34,512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204,373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292,112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4"/>
                <w:szCs w:val="14"/>
                <w:b w:val="1"/>
                <w:bCs w:val="1"/>
                <w:color w:val="auto"/>
              </w:rPr>
              <w:t>Deferred compensation arrangements</w:t>
            </w:r>
            <w:r>
              <w:rPr>
                <w:rFonts w:ascii="Arial" w:cs="Arial" w:eastAsia="Arial" w:hAnsi="Arial"/>
                <w:sz w:val="21"/>
                <w:szCs w:val="21"/>
                <w:b w:val="1"/>
                <w:bCs w:val="1"/>
                <w:color w:val="auto"/>
                <w:vertAlign w:val="superscript"/>
              </w:rPr>
              <w:t>3</w:t>
            </w: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514</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1,028</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599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Purchase obligations</w:t>
            </w:r>
            <w:r>
              <w:rPr>
                <w:rFonts w:ascii="Arial" w:cs="Arial" w:eastAsia="Arial" w:hAnsi="Arial"/>
                <w:sz w:val="21"/>
                <w:szCs w:val="21"/>
                <w:b w:val="1"/>
                <w:bCs w:val="1"/>
                <w:color w:val="auto"/>
                <w:vertAlign w:val="superscript"/>
              </w:rPr>
              <w:t>4</w:t>
            </w:r>
          </w:p>
        </w:tc>
        <w:tc>
          <w:tcPr>
            <w:tcW w:w="2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18,921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18,921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4"/>
                <w:szCs w:val="14"/>
                <w:b w:val="1"/>
                <w:bCs w:val="1"/>
                <w:color w:val="auto"/>
              </w:rPr>
              <w:t>Acquisition</w:t>
            </w:r>
            <w:r>
              <w:rPr>
                <w:rFonts w:ascii="Arial" w:cs="Arial" w:eastAsia="Arial" w:hAnsi="Arial"/>
                <w:sz w:val="21"/>
                <w:szCs w:val="21"/>
                <w:b w:val="1"/>
                <w:bCs w:val="1"/>
                <w:color w:val="auto"/>
                <w:vertAlign w:val="superscript"/>
              </w:rPr>
              <w:t>5</w:t>
            </w: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197,882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30,000</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227,882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6</w:t>
            </w:r>
          </w:p>
        </w:tc>
        <w:tc>
          <w:tcPr>
            <w:tcW w:w="2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15,308</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18,780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9,548</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23,886</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line="216"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21"/>
                <w:szCs w:val="21"/>
                <w:b w:val="1"/>
                <w:bCs w:val="1"/>
                <w:color w:val="auto"/>
                <w:vertAlign w:val="superscript"/>
              </w:rPr>
              <w:t>7</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15,291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15,291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26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293,334</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111,285</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142,159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8"/>
              </w:rPr>
              <w:t>453,259</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9"/>
              </w:rPr>
              <w:t>1,000,037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Principal payments in accordance with our credit facilities and long-term debt agreements.</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Interest payments for outstanding short-term and long-term debt obligations. Interest on variable rate debt was calculated using the interest rate as of October 31, 2014.</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our deferred compensation plans. Our estimated distributions in the contractual obligations table are based upon a number of assumptions including termination dates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participant elections. Deferred compensation balances are invested according to the election of the participant in an array of funds that is substantially similar to the array</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4</w:t>
            </w:r>
          </w:p>
        </w:tc>
        <w:tc>
          <w:tcPr>
            <w:tcW w:w="11080" w:type="dxa"/>
            <w:vAlign w:val="bottom"/>
          </w:tcPr>
          <w:p>
            <w:pPr>
              <w:ind w:left="240"/>
              <w:spacing w:after="0"/>
              <w:rPr>
                <w:sz w:val="20"/>
                <w:szCs w:val="20"/>
                <w:color w:val="auto"/>
              </w:rPr>
            </w:pPr>
            <w:r>
              <w:rPr>
                <w:rFonts w:ascii="Arial" w:cs="Arial" w:eastAsia="Arial" w:hAnsi="Arial"/>
                <w:sz w:val="14"/>
                <w:szCs w:val="14"/>
                <w:color w:val="auto"/>
              </w:rPr>
              <w:t>of funds offered under The Toro Company Investment, Savings and Employee Stock Ownership Plan, and are payable at the election of the participant.</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Purchase obligations represent contracts or commitments for the purchase of raw materials.</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5</w:t>
            </w: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As of October 27, 2014, we entered into an Asset Purchase Agreement for the acquisition of the BOSS business, which was subject to certain closing conditions. On</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November 14, 2014, this acquisition closed for $227.9 million, subject to certain post-closing adjustments, which included a cash payment of $197.9 million and issuance</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6</w:t>
            </w:r>
          </w:p>
        </w:tc>
        <w:tc>
          <w:tcPr>
            <w:tcW w:w="11080" w:type="dxa"/>
            <w:vAlign w:val="bottom"/>
          </w:tcPr>
          <w:p>
            <w:pPr>
              <w:ind w:left="240"/>
              <w:spacing w:after="0"/>
              <w:rPr>
                <w:sz w:val="20"/>
                <w:szCs w:val="20"/>
                <w:color w:val="auto"/>
              </w:rPr>
            </w:pPr>
            <w:r>
              <w:rPr>
                <w:rFonts w:ascii="Arial" w:cs="Arial" w:eastAsia="Arial" w:hAnsi="Arial"/>
                <w:sz w:val="14"/>
                <w:szCs w:val="14"/>
                <w:color w:val="auto"/>
              </w:rPr>
              <w:t>of a long-term note of $30.0 million.</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property owners covering real estate taxes and common area maintenance.</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7</w:t>
            </w: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Payment obligation in connection with the renovation of our original corporate facility located at Bloomington, Minnesota.</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 w:firstLine="137"/>
        <w:spacing w:after="0" w:line="237" w:lineRule="auto"/>
        <w:rPr>
          <w:sz w:val="20"/>
          <w:szCs w:val="20"/>
          <w:color w:val="auto"/>
        </w:rPr>
      </w:pPr>
      <w:r>
        <w:rPr>
          <w:rFonts w:ascii="Arial" w:cs="Arial" w:eastAsia="Arial" w:hAnsi="Arial"/>
          <w:sz w:val="18"/>
          <w:szCs w:val="18"/>
          <w:color w:val="auto"/>
        </w:rPr>
        <w:t>As of October 31, 2014, we also had $16.2 million in outstanding letters of credit issued, including standby letters of credit, during the normal course of business, as required by some vendor contracts. In addition to the above contractual obligations, we may be obligated for additional cash outflows of $5.2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subject to the effects of inflation, deflation, and changing prices. During fiscal 2014, we experienced slightly higher average commodity prices compared to the average prices paid for commodities in fiscal 2013, which hindered our gross margin growth rate in fiscal 2014 as compared to fiscal 2013. We intend to continue to closely follow prices of commodities and components that affect our product lines, and we anticipate average prices paid for some commodities and components to be slightly higher in fiscal 2015 as compared to fiscal 2014.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 November 27, 2013, during the first quarter of fiscal 2014, we completed the acquisition of certain assets of a quality value-priced line of outdoor lighting fixtures for the landscape lighting market. The purchase price of this acquisition was $1.2 million.</w:t>
      </w:r>
    </w:p>
    <w:p>
      <w:pPr>
        <w:spacing w:after="0" w:line="209" w:lineRule="exact"/>
        <w:rPr>
          <w:sz w:val="20"/>
          <w:szCs w:val="20"/>
          <w:color w:val="auto"/>
        </w:rPr>
      </w:pPr>
    </w:p>
    <w:p>
      <w:pPr>
        <w:jc w:val="both"/>
        <w:ind w:firstLine="146"/>
        <w:spacing w:after="0" w:line="238" w:lineRule="auto"/>
        <w:rPr>
          <w:sz w:val="20"/>
          <w:szCs w:val="20"/>
          <w:color w:val="auto"/>
        </w:rPr>
      </w:pPr>
      <w:r>
        <w:rPr>
          <w:rFonts w:ascii="Arial" w:cs="Arial" w:eastAsia="Arial" w:hAnsi="Arial"/>
          <w:sz w:val="18"/>
          <w:szCs w:val="18"/>
          <w:color w:val="auto"/>
        </w:rPr>
        <w:t>On September 30, 2013, during the fourth quarter of fiscal 2013, we completed the acquisition of certain assets and assumed certain liabilities for a company in China that manufactures water-efficient drip irrigation products, sprinklers, emitters, and filters for agriculture, landscaping, and green house production. The purchase price of this acquisition was $3.5 million.</w:t>
      </w:r>
    </w:p>
    <w:p>
      <w:pPr>
        <w:spacing w:after="0" w:line="208"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On April 25, 2012, during the second quarter of fiscal 2012, we completed the acquisition of certain assets for an equipment line of concrete and mortar mixers, material handlers, compaction equipment, and other concrete power tools for the rental and specialty construction market. On February 10, 2012, also during the second quarter of fiscal 2012, we completed the acquisition of certain assets and assumed certain liabilities for an equipment line of vibratory plows, trenchers, and horizontal directional drills for the specialty construction market. On December 9, 2011, during the first quarter of fiscal 2012, we completed the acquisition of certain assets and assumed certain liabilities for a greens roller product line for the golf course market. The aggregate purchase price of these acquisitions was $11.1 million.</w:t>
      </w:r>
    </w:p>
    <w:p>
      <w:pPr>
        <w:spacing w:after="0" w:line="210" w:lineRule="exact"/>
        <w:rPr>
          <w:sz w:val="20"/>
          <w:szCs w:val="20"/>
          <w:color w:val="auto"/>
        </w:rPr>
      </w:pPr>
    </w:p>
    <w:p>
      <w:pPr>
        <w:ind w:right="660" w:firstLine="143"/>
        <w:spacing w:after="0" w:line="239" w:lineRule="auto"/>
        <w:rPr>
          <w:sz w:val="20"/>
          <w:szCs w:val="20"/>
          <w:color w:val="auto"/>
        </w:rPr>
      </w:pPr>
      <w:r>
        <w:rPr>
          <w:rFonts w:ascii="Arial" w:cs="Arial" w:eastAsia="Arial" w:hAnsi="Arial"/>
          <w:sz w:val="18"/>
          <w:szCs w:val="18"/>
          <w:color w:val="auto"/>
        </w:rPr>
        <w:t>These acquisitions were immaterial based on our consolidated financial condition and results of operations and all were accounted for as business combinations.</w:t>
      </w:r>
    </w:p>
    <w:p>
      <w:pPr>
        <w:spacing w:after="0" w:line="209" w:lineRule="exact"/>
        <w:rPr>
          <w:sz w:val="20"/>
          <w:szCs w:val="20"/>
          <w:color w:val="auto"/>
        </w:rPr>
      </w:pPr>
    </w:p>
    <w:p>
      <w:pPr>
        <w:ind w:right="220" w:firstLine="146"/>
        <w:spacing w:after="0" w:line="239" w:lineRule="auto"/>
        <w:rPr>
          <w:sz w:val="20"/>
          <w:szCs w:val="20"/>
          <w:color w:val="auto"/>
        </w:rPr>
      </w:pPr>
      <w:r>
        <w:rPr>
          <w:rFonts w:ascii="Arial" w:cs="Arial" w:eastAsia="Arial" w:hAnsi="Arial"/>
          <w:sz w:val="18"/>
          <w:szCs w:val="18"/>
          <w:color w:val="auto"/>
        </w:rPr>
        <w:t>On November 14, 2014, during the first quarter of fiscal 2015, we acquired substantially all of the assets (excluding accounts receivable) of the BOSS professional snow and ice management business of privately held Northern Star Industries, Inc., as previously discussed.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440"/>
        <w:spacing w:after="0" w:line="273" w:lineRule="auto"/>
        <w:rPr>
          <w:sz w:val="20"/>
          <w:szCs w:val="20"/>
          <w:color w:val="auto"/>
        </w:rPr>
      </w:pPr>
      <w:r>
        <w:rPr>
          <w:rFonts w:ascii="Arial" w:cs="Arial" w:eastAsia="Arial" w:hAnsi="Arial"/>
          <w:sz w:val="16"/>
          <w:szCs w:val="16"/>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3"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 xml:space="preserve">Warranty Reserve. </w:t>
      </w:r>
      <w:r>
        <w:rPr>
          <w:rFonts w:ascii="Arial" w:cs="Arial" w:eastAsia="Arial" w:hAnsi="Arial"/>
          <w:sz w:val="16"/>
          <w:szCs w:val="16"/>
          <w:color w:val="auto"/>
        </w:rPr>
        <w:t>Warranty coverage on our products is generally for specified periods of time and on select products' hours of usage,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covers parts, labor, and 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costs may differ from our estimates. An unexpected increase in warranty claims or in the costs associated with servicing those claims would result in an increase in our warranty accrual and a decrease in our net earnings.</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Sales Promotions and Incentives. </w:t>
      </w:r>
      <w:r>
        <w:rPr>
          <w:rFonts w:ascii="Arial" w:cs="Arial" w:eastAsia="Arial" w:hAnsi="Arial"/>
          <w:sz w:val="18"/>
          <w:szCs w:val="18"/>
          <w:color w:val="auto"/>
        </w:rPr>
        <w:t>At the time of sale to a customer, we record an estimate for sales promotion and incentive costs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2"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b w:val="1"/>
          <w:bCs w:val="1"/>
          <w:i w:val="1"/>
          <w:iCs w:val="1"/>
          <w:color w:val="auto"/>
        </w:rPr>
        <w:t xml:space="preserve">Goodwill and Other Intangibles. </w:t>
      </w:r>
      <w:r>
        <w:rPr>
          <w:rFonts w:ascii="Arial" w:cs="Arial" w:eastAsia="Arial" w:hAnsi="Arial"/>
          <w:sz w:val="18"/>
          <w:szCs w:val="18"/>
          <w:color w:val="auto"/>
        </w:rPr>
        <w:t>Identifiable intangible assets are amortized over their useful lives, unless the useful life is determined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 The useful life of an identifiable intangible asset is based on an analysis of several factors, including contractual, regulatory or legal obligations, demand, competition, and industry trends. Goodwill and indefinite-life intangible assets are not amortized, but are tested at least annually for impairment and whenever events or changes in circumstances indicate that impairment may have occurred.</w:t>
      </w:r>
    </w:p>
    <w:p>
      <w:pPr>
        <w:spacing w:after="0" w:line="205"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Our impairment testing for goodwill is performed separately from our impairment testing of indefinite-life intangible assets, and the income approach is utilized for both. We test goodwill for impairment at the reporting unit level. Under the income approach, we calculate the fair value of our reporting units and indefinite-life intangible assets using the present value of future cash flows. Individual indefinite-life intangible assets are tested by comparing the book values of each asset to the estimated fair value. Our estimate of fair value for indefinite-life intangible assets uses projected revenues from our forecasting process, assumed royalty rates, and a discount rate. Assumptions used in our impairment evaluations, such as forecasted growth rates and cost of capital, are consistent with internal projections and operating plans. Materially different assumptions regarding future performance of our businesses or a different weighted-average cost of capital could result in impairment losses or additional amortization expense.</w:t>
      </w:r>
    </w:p>
    <w:p>
      <w:pPr>
        <w:spacing w:after="0" w:line="208"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In conducting the goodwill impairment test, we first perform a qualitative assessment to determine whether it is more likely than not the fair value of any reporting unit is less than its carrying amount. If we conclude that this is the case, a two-step quantitative test for goodwill impairment is performed. In conducting the initial qualitative assessment, we analyze actual and projected growth trends for net sales, gross margin, and earnings for each reporting unit, as well as historical versus planned performance. Additionally, each reporting unit assesses critical areas that may impact its business, including macroeconomic conditions, market related exposures, competitive changes, new or discontinued products, changes in key personnel, or any other potential risks to projected financial results. All assumptions used in the qualitative assessment require significant judgment.</w:t>
      </w:r>
    </w:p>
    <w:p>
      <w:pPr>
        <w:spacing w:after="0" w:line="209"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If performed due to impairment indicators or the amount of time since the last analysis, the quantitative goodwill impairment test is a two-step process. First, we compare the carrying value of a reporting unit, including goodwill, to its fair value. The fair value of each reporting unit is estimated using a discounted cash flow model. Where available, and as appropriate, comparable market multiples and our company's market capitalization are also used to corroborate the results of the discounted cash flow models. If the first step indicates the carrying value exceeds the fair value of the reporting unit, then a second step must be completed in order to determine the amount of goodwill impairment that should be recorded. In the second step, the implied fair value of the reporting unit's goodwill is determined by allocating the reporting unit's fair value to all of its assets and liabilities other than goodwill. The implied fair value of the goodwill that results from the application of this second step is then compared to the carrying amount of the goodwill and an impairment charge is recorded for the difference.</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value our inventories at the lower of the cost of inventory or net realizable value, with cost determined by either the last-in, first-out ("LIFO")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are recorded based on historical loss trends, ongoing cycle-count and periodic testing adjustments, and inventory levels.</w:t>
      </w:r>
    </w:p>
    <w:p>
      <w:pPr>
        <w:spacing w:after="0" w:line="212" w:lineRule="exact"/>
        <w:rPr>
          <w:sz w:val="20"/>
          <w:szCs w:val="20"/>
          <w:color w:val="auto"/>
        </w:rPr>
      </w:pPr>
    </w:p>
    <w:p>
      <w:pPr>
        <w:ind w:right="20" w:firstLine="143"/>
        <w:spacing w:after="0" w:line="239" w:lineRule="auto"/>
        <w:rPr>
          <w:sz w:val="20"/>
          <w:szCs w:val="20"/>
          <w:color w:val="auto"/>
        </w:rPr>
      </w:pPr>
      <w:r>
        <w:rPr>
          <w:rFonts w:ascii="Arial" w:cs="Arial" w:eastAsia="Arial" w:hAnsi="Arial"/>
          <w:sz w:val="18"/>
          <w:szCs w:val="18"/>
          <w:color w:val="auto"/>
        </w:rPr>
        <w:t>Though management considers reserve balances adequate and proper, changes in economic conditions in specific markets in which we operate could have an effect on the reserve balances required.</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Accounts and Notes Receivable Valuation. </w:t>
      </w:r>
      <w:r>
        <w:rPr>
          <w:rFonts w:ascii="Arial" w:cs="Arial" w:eastAsia="Arial" w:hAnsi="Arial"/>
          <w:sz w:val="18"/>
          <w:szCs w:val="18"/>
          <w:color w:val="auto"/>
        </w:rPr>
        <w:t>We value accounts and notes receivable net of an allowance for doubtful accounts. Each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Deterioration in the financial condition of any key customer, inability of customers to obtain bank credit lines, or a significant slow-down in the economy could have a material negative impact on our ability to collect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to be Adopted</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that updates the principles for recognizing revenue. The core principle of the guidance is that an entity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We will adopt this guidance on November 1, 2017, as required.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213" w:lineRule="exact"/>
        <w:rPr>
          <w:sz w:val="20"/>
          <w:szCs w:val="20"/>
          <w:color w:val="auto"/>
        </w:rPr>
      </w:pPr>
    </w:p>
    <w:p>
      <w:pPr>
        <w:ind w:right="280" w:firstLine="146"/>
        <w:spacing w:after="0" w:line="23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2014 has had or is expected to have a material impact on our consolidated financial statements.</w:t>
      </w:r>
    </w:p>
    <w:p>
      <w:pPr>
        <w:spacing w:after="0" w:line="17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4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market risk 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395"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life of the hedge contract. Further information regarding gains and losses on our derivative instruments is presented in Note 14 of the Notes to Consolidated Financial Statements.</w:t>
      </w:r>
    </w:p>
    <w:p>
      <w:pPr>
        <w:spacing w:after="0" w:line="209" w:lineRule="exact"/>
        <w:rPr>
          <w:sz w:val="20"/>
          <w:szCs w:val="20"/>
          <w:color w:val="auto"/>
        </w:rPr>
      </w:pPr>
    </w:p>
    <w:p>
      <w:pPr>
        <w:ind w:right="20" w:firstLine="143"/>
        <w:spacing w:after="0" w:line="236" w:lineRule="auto"/>
        <w:rPr>
          <w:sz w:val="20"/>
          <w:szCs w:val="20"/>
          <w:color w:val="auto"/>
        </w:rPr>
      </w:pPr>
      <w:r>
        <w:rPr>
          <w:rFonts w:ascii="Arial" w:cs="Arial" w:eastAsia="Arial" w:hAnsi="Arial"/>
          <w:sz w:val="18"/>
          <w:szCs w:val="18"/>
          <w:color w:val="auto"/>
        </w:rPr>
        <w:t>The following foreign currency exchange contracts held by us have maturity dates in fiscal 2015 and 2016. All items are non-trading and stated in U.S. dollars. Some derivative instruments we enter into do not meet cash flow hedge accounting criteria;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2014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520" w:type="dxa"/>
            <w:vAlign w:val="bottom"/>
            <w:tcBorders>
              <w:top w:val="single" w:sz="8" w:color="auto"/>
            </w:tcBorders>
          </w:tcPr>
          <w:p>
            <w:pPr>
              <w:spacing w:after="0"/>
              <w:rPr>
                <w:sz w:val="15"/>
                <w:szCs w:val="15"/>
                <w:color w:val="auto"/>
              </w:rPr>
            </w:pPr>
          </w:p>
        </w:tc>
        <w:tc>
          <w:tcPr>
            <w:tcW w:w="39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Fair</w:t>
            </w:r>
          </w:p>
        </w:tc>
        <w:tc>
          <w:tcPr>
            <w:tcW w:w="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in</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Value</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960" w:type="dxa"/>
            <w:vAlign w:val="bottom"/>
          </w:tcPr>
          <w:p>
            <w:pPr>
              <w:jc w:val="right"/>
              <w:spacing w:after="0"/>
              <w:rPr>
                <w:sz w:val="20"/>
                <w:szCs w:val="20"/>
                <w:color w:val="auto"/>
              </w:rPr>
            </w:pPr>
            <w:r>
              <w:rPr>
                <w:rFonts w:ascii="Arial" w:cs="Arial" w:eastAsia="Arial" w:hAnsi="Arial"/>
                <w:sz w:val="14"/>
                <w:szCs w:val="14"/>
                <w:color w:val="auto"/>
              </w:rPr>
              <w:t>Average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AOCL</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r>
      <w:tr>
        <w:trPr>
          <w:trHeight w:val="162"/>
        </w:trPr>
        <w:tc>
          <w:tcPr>
            <w:tcW w:w="55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96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680" w:type="dxa"/>
            <w:vAlign w:val="bottom"/>
          </w:tcPr>
          <w:p>
            <w:pPr>
              <w:jc w:val="right"/>
              <w:spacing w:after="0"/>
              <w:rPr>
                <w:sz w:val="20"/>
                <w:szCs w:val="20"/>
                <w:color w:val="auto"/>
              </w:rPr>
            </w:pPr>
            <w:r>
              <w:rPr>
                <w:rFonts w:ascii="Arial" w:cs="Arial" w:eastAsia="Arial" w:hAnsi="Arial"/>
                <w:sz w:val="14"/>
                <w:szCs w:val="14"/>
                <w:color w:val="auto"/>
              </w:rPr>
              <w:t>Notional</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Income</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Gain</w:t>
            </w:r>
          </w:p>
        </w:tc>
      </w:tr>
      <w:tr>
        <w:trPr>
          <w:trHeight w:val="178"/>
        </w:trPr>
        <w:tc>
          <w:tcPr>
            <w:tcW w:w="5540" w:type="dxa"/>
            <w:vAlign w:val="bottom"/>
            <w:gridSpan w:val="2"/>
          </w:tcPr>
          <w:p>
            <w:pPr>
              <w:spacing w:after="0"/>
              <w:rPr>
                <w:sz w:val="20"/>
                <w:szCs w:val="20"/>
                <w:color w:val="auto"/>
              </w:rPr>
            </w:pPr>
            <w:r>
              <w:rPr>
                <w:rFonts w:ascii="Arial" w:cs="Arial" w:eastAsia="Arial" w:hAnsi="Arial"/>
                <w:sz w:val="14"/>
                <w:szCs w:val="14"/>
                <w:color w:val="auto"/>
              </w:rPr>
              <w:t>(except average contracted rate)</w:t>
            </w:r>
          </w:p>
        </w:tc>
        <w:tc>
          <w:tcPr>
            <w:tcW w:w="3960" w:type="dxa"/>
            <w:vAlign w:val="bottom"/>
          </w:tcPr>
          <w:p>
            <w:pPr>
              <w:jc w:val="right"/>
              <w:spacing w:after="0"/>
              <w:rPr>
                <w:sz w:val="20"/>
                <w:szCs w:val="20"/>
                <w:color w:val="auto"/>
              </w:rPr>
            </w:pPr>
            <w:r>
              <w:rPr>
                <w:rFonts w:ascii="Arial" w:cs="Arial" w:eastAsia="Arial" w:hAnsi="Arial"/>
                <w:sz w:val="14"/>
                <w:szCs w:val="14"/>
                <w:color w:val="auto"/>
              </w:rPr>
              <w:t>Rate</w:t>
            </w:r>
          </w:p>
        </w:tc>
        <w:tc>
          <w:tcPr>
            <w:tcW w:w="680" w:type="dxa"/>
            <w:vAlign w:val="bottom"/>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(Loss)</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(Loss)</w:t>
            </w:r>
          </w:p>
        </w:tc>
      </w:tr>
      <w:tr>
        <w:trPr>
          <w:trHeight w:val="162"/>
        </w:trPr>
        <w:tc>
          <w:tcPr>
            <w:tcW w:w="20" w:type="dxa"/>
            <w:vAlign w:val="bottom"/>
          </w:tcPr>
          <w:p>
            <w:pPr>
              <w:spacing w:after="0"/>
              <w:rPr>
                <w:sz w:val="14"/>
                <w:szCs w:val="14"/>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Buy U.S. $/Sell Australian dollar</w:t>
            </w:r>
          </w:p>
        </w:tc>
        <w:tc>
          <w:tcPr>
            <w:tcW w:w="3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0.8959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$45,869.6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717.0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$ 666.0</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b w:val="1"/>
                <w:bCs w:val="1"/>
                <w:color w:val="auto"/>
              </w:rPr>
              <w:t>Buy U.S. $/Sell Canadian dollar</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1.0823</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8,722.4</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405.5</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196.1</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3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1.3153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95,690.9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3,917.1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(768.0)</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1.5987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9,272.3</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247.4</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 Sell U.S. $</w:t>
            </w:r>
          </w:p>
        </w:tc>
        <w:tc>
          <w:tcPr>
            <w:tcW w:w="3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1.2523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6,787.3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831.4</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b w:val="1"/>
                <w:bCs w:val="1"/>
                <w:color w:val="auto"/>
              </w:rPr>
              <w:t>Buy Mexican peso/ Sell U.S. $</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13.4633</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15,375.2</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(641.3)</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543.5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Euro/Sell Romanian New Leu</w:t>
            </w:r>
          </w:p>
        </w:tc>
        <w:tc>
          <w:tcPr>
            <w:tcW w:w="3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4.4105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10,643.2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(536.3)</w:t>
            </w:r>
          </w:p>
        </w:tc>
      </w:tr>
      <w:tr>
        <w:trPr>
          <w:trHeight w:val="27"/>
        </w:trPr>
        <w:tc>
          <w:tcPr>
            <w:tcW w:w="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19" w:lineRule="exact"/>
        <w:rPr>
          <w:sz w:val="20"/>
          <w:szCs w:val="20"/>
          <w:color w:val="auto"/>
        </w:rPr>
      </w:pPr>
    </w:p>
    <w:p>
      <w:pPr>
        <w:jc w:val="both"/>
        <w:ind w:right="220" w:firstLine="146"/>
        <w:spacing w:after="0" w:line="238"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market risk on interest rates relates primarily to LIBOR-based short-term debt and a term loan from commercial banks,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potential increase in fair value of our fixed-rate long-term debt resulting from a potential decrease in interest rates. We generally do not use interest rate swaps to mitigate the impact of fluctuations in interest rates. Included in long-term debt is $224.0 million of fixed-rate debt that is not subject to variable interest rate fluctuations and $130.0 million LIBOR-based term loan, which is subject to market risk based on changes in LIBOR rates. We have no earnings or cash flow exposure due to market risks on our fixed-rate long-term debt obligations. As of October 31, 2014, the estimated fair value of long-term debt with fixed interest rates was $261.0 million compared to its carrying amount of $224.0 million. Market risk for fixed-rate, long-term debt is estimated as the potential increase in fair value, resulting from a hypothetical 10 percent decrease in interest rates, and amounts to approximately $15.8 million. The fair value is estimated by discounting the projected cash flows using the rate that similar amounts and terms of debt could currently be borrowed.</w:t>
      </w:r>
    </w:p>
    <w:p>
      <w:pPr>
        <w:spacing w:after="0" w:line="212"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Commodity Risk. </w:t>
      </w:r>
      <w:r>
        <w:rPr>
          <w:rFonts w:ascii="Arial" w:cs="Arial" w:eastAsia="Arial" w:hAnsi="Arial"/>
          <w:sz w:val="18"/>
          <w:szCs w:val="18"/>
          <w:color w:val="auto"/>
        </w:rPr>
        <w:t>We are subject to market risk from fluctuating market prices of certain purchased commodity raw materials including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aluminum, petroleum and natural gas-based resins,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In fiscal 2014, our manufacturing facilities entered into these fixed-price contracts for approximately 40 percent of their monthly-anticipated usage.</w:t>
      </w:r>
    </w:p>
    <w:p>
      <w:pPr>
        <w:spacing w:after="0" w:line="19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trading price volatility of our common stock impacts compensation expense related to our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Further information is presented in Note 10 of the Notes to Consolidated Financial Statements regarding our stock-based compensation plans.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ind w:right="40"/>
        <w:spacing w:after="0" w:line="238"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120" w:firstLine="14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83"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Treasurer and Chief Financial Officer, evaluated the effectiveness of the company's internal control over financial reporting as of October 31, 2014.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Based on this assessment,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October 31, 2014. Our internal control over financial reporting as of October 31, 2014, has been audited by KPMG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95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w:t>
      </w:r>
    </w:p>
    <w:p>
      <w:pPr>
        <w:spacing w:after="0"/>
        <w:rPr>
          <w:sz w:val="20"/>
          <w:szCs w:val="20"/>
          <w:color w:val="auto"/>
        </w:rPr>
      </w:pPr>
      <w:r>
        <w:rPr>
          <w:rFonts w:ascii="Arial" w:cs="Arial" w:eastAsia="Arial" w:hAnsi="Arial"/>
          <w:sz w:val="18"/>
          <w:szCs w:val="18"/>
          <w:color w:val="auto"/>
        </w:rPr>
        <w:t>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report.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as of October 31, 2014 and 2013 and the related consolidated statements of earnings, comprehensive income, stockholders' equity, and cash flows for each of the fiscal years in the three-year period ended October 31, 2014. In connection with our audits of the consolidated financial statements, we have audited the financial statement schedule listed in Item 15(a) 2. We also have audited The Toro Company's internal control over financial reporting as of October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The Toro Company's management 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ind w:firstLine="137"/>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and subsidiaries as of October 31, 2014 and 2013 and the results of their operations and their cash flows for each of the fiscal years in the three-year period ended October 31, 2014, in conformity with U.S. generally accepted accounting principles. In our opinion, the identified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94765" cy="26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94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22,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CONSOLIDATED STATEMENTS OF EARNINGS</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8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2,172,691</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2,041,431</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1,958,690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Cost of sales</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w w:val="94"/>
              </w:rPr>
              <w:t>1,399,420</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w w:val="97"/>
              </w:rPr>
              <w:t>1,316,634</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1,285,596</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773,271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724,797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673,094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Selling, general, and administrative expense</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510,114</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494,135</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467,481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Operating earnings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263,157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230,662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205,613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8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(15,426)</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(16,210)</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(16,906)</w:t>
            </w:r>
          </w:p>
        </w:tc>
      </w:tr>
      <w:tr>
        <w:trPr>
          <w:trHeight w:val="203"/>
        </w:trPr>
        <w:tc>
          <w:tcPr>
            <w:tcW w:w="20" w:type="dxa"/>
            <w:vAlign w:val="bottom"/>
          </w:tcPr>
          <w:p>
            <w:pPr>
              <w:spacing w:after="0"/>
              <w:rPr>
                <w:sz w:val="17"/>
                <w:szCs w:val="17"/>
                <w:color w:val="auto"/>
              </w:rPr>
            </w:pPr>
          </w:p>
        </w:tc>
        <w:tc>
          <w:tcPr>
            <w:tcW w:w="7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net</w:t>
            </w:r>
          </w:p>
        </w:tc>
        <w:tc>
          <w:tcPr>
            <w:tcW w:w="8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8,714</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12,261</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7,555</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8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256,445</w:t>
            </w:r>
          </w:p>
        </w:tc>
        <w:tc>
          <w:tcPr>
            <w:tcW w:w="140" w:type="dxa"/>
            <w:vAlign w:val="bottom"/>
          </w:tcPr>
          <w:p>
            <w:pPr>
              <w:spacing w:after="0"/>
              <w:rPr>
                <w:sz w:val="17"/>
                <w:szCs w:val="17"/>
                <w:color w:val="auto"/>
              </w:rPr>
            </w:pP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226,713</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196,262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8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82,575</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71,868</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66,721</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Net earnings</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173,870</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154,845</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129,541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3.09</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2.67</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Diluted net earnings per share of common stock</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3.02</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of common stock outstanding – Basic</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56,359</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57,922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59,446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7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Weighted-average number of shares of common stock outstanding – Diluted</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57,628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59,105</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60,618</w:t>
            </w:r>
          </w:p>
        </w:tc>
        <w:tc>
          <w:tcPr>
            <w:tcW w:w="160" w:type="dxa"/>
            <w:vAlign w:val="bottom"/>
          </w:tcPr>
          <w:p>
            <w:pPr>
              <w:spacing w:after="0"/>
              <w:rPr>
                <w:sz w:val="17"/>
                <w:szCs w:val="17"/>
                <w:color w:val="auto"/>
              </w:rPr>
            </w:pPr>
          </w:p>
        </w:tc>
      </w:tr>
    </w:tbl>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CONSOLIDATED STATEMENTS OF COMPREHENSIVE INCOME</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76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112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$173,870</w:t>
            </w:r>
          </w:p>
        </w:tc>
        <w:tc>
          <w:tcPr>
            <w:tcW w:w="90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$154,845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$129,541</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Foreign currency translation adjustments, net of tax of $(34), $247, and $0, respectively</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(4,758)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(2,342)</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(2,532)</w:t>
            </w:r>
          </w:p>
        </w:tc>
      </w:tr>
      <w:tr>
        <w:trPr>
          <w:trHeight w:val="203"/>
        </w:trPr>
        <w:tc>
          <w:tcPr>
            <w:tcW w:w="20" w:type="dxa"/>
            <w:vAlign w:val="bottom"/>
          </w:tcPr>
          <w:p>
            <w:pPr>
              <w:spacing w:after="0"/>
              <w:rPr>
                <w:sz w:val="17"/>
                <w:szCs w:val="17"/>
                <w:color w:val="auto"/>
              </w:rPr>
            </w:pPr>
          </w:p>
        </w:tc>
        <w:tc>
          <w:tcPr>
            <w:tcW w:w="76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Pension and retiree medical benefits, net of tax of $10, $904, and $279, respectively</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(1,583)</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645</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(528)</w:t>
            </w: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Derivative instruments, net of tax of $2,350, $(261), and $(239), respectively</w:t>
            </w: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3,206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ind w:left="340"/>
              <w:spacing w:after="0" w:line="196" w:lineRule="exact"/>
              <w:rPr>
                <w:sz w:val="20"/>
                <w:szCs w:val="20"/>
                <w:color w:val="auto"/>
              </w:rPr>
            </w:pPr>
            <w:r>
              <w:rPr>
                <w:rFonts w:ascii="Arial" w:cs="Arial" w:eastAsia="Arial" w:hAnsi="Arial"/>
                <w:sz w:val="18"/>
                <w:szCs w:val="18"/>
                <w:b w:val="1"/>
                <w:bCs w:val="1"/>
                <w:color w:val="auto"/>
              </w:rPr>
              <w:t>Other comprehensive loss, net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(3,135)</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(2,596)</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(3,148)</w:t>
            </w:r>
          </w:p>
        </w:tc>
      </w:tr>
      <w:tr>
        <w:trPr>
          <w:trHeight w:val="196"/>
        </w:trPr>
        <w:tc>
          <w:tcPr>
            <w:tcW w:w="20" w:type="dxa"/>
            <w:vAlign w:val="bottom"/>
          </w:tcPr>
          <w:p>
            <w:pPr>
              <w:spacing w:after="0"/>
              <w:rPr>
                <w:sz w:val="17"/>
                <w:szCs w:val="17"/>
                <w:color w:val="auto"/>
              </w:rPr>
            </w:pPr>
          </w:p>
        </w:tc>
        <w:tc>
          <w:tcPr>
            <w:tcW w:w="7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112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$170,735</w:t>
            </w:r>
          </w:p>
        </w:tc>
        <w:tc>
          <w:tcPr>
            <w:tcW w:w="90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$152,249</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$126,393</w:t>
            </w: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ind w:left="5620" w:right="4400" w:hanging="5607"/>
        <w:spacing w:after="0" w:line="523" w:lineRule="auto"/>
        <w:rPr>
          <w:sz w:val="20"/>
          <w:szCs w:val="20"/>
          <w:color w:val="auto"/>
        </w:rPr>
      </w:pPr>
      <w:r>
        <w:rPr>
          <w:rFonts w:ascii="Arial" w:cs="Arial" w:eastAsia="Arial" w:hAnsi="Arial"/>
          <w:sz w:val="14"/>
          <w:szCs w:val="14"/>
          <w:color w:val="auto"/>
        </w:rPr>
        <w:t xml:space="preserve">The financial statements should be read in conjunction with the Notes to Consolidated Financial Statements </w:t>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CONSOLIDATED BALANCE SHEETS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(Dollars in thousands, except per share data) October 31</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314,873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182,993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Receivables,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Customers (net of $1,481 and $3,035, respectively, for allowance for doubtful</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151,479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147,475</w:t>
            </w:r>
          </w:p>
        </w:tc>
        <w:tc>
          <w:tcPr>
            <w:tcW w:w="1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6,679</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9,696</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receivables, net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158,158</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157,171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Inventories,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274,603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240,089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33,580</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33,258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42,822</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39,756</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824,036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653,267</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205,195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185,096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Long-term deferred income taxes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26,075</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25,981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91,851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91,914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23,829</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28,308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21,429</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18,182</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1,192,415</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1,002,748</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6,640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20,818</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Accounts payable</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124,271</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136,158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Accrued liabilities: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Warranty</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71,080</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72,177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66,169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64,191</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59,724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53,500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Insurance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6,960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18,184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4,699</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40,059</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42,697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400,420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388,845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347,316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223,544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Deferred revenue</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10,947</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10,899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25,005</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14,753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tcPr>
          <w:p>
            <w:pPr>
              <w:ind w:left="280"/>
              <w:spacing w:after="0" w:line="184" w:lineRule="exact"/>
              <w:rPr>
                <w:sz w:val="20"/>
                <w:szCs w:val="20"/>
                <w:color w:val="auto"/>
              </w:rPr>
            </w:pPr>
            <w:r>
              <w:rPr>
                <w:rFonts w:ascii="Arial" w:cs="Arial" w:eastAsia="Arial" w:hAnsi="Arial"/>
                <w:sz w:val="18"/>
                <w:szCs w:val="18"/>
                <w:b w:val="1"/>
                <w:bCs w:val="1"/>
                <w:color w:val="auto"/>
                <w:w w:val="98"/>
              </w:rPr>
              <w:t>Preferred stock, par value $1.00, authorized 1,000,000 voting and 850,000 non-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b w:val="1"/>
                <w:bCs w:val="1"/>
                <w:color w:val="auto"/>
              </w:rPr>
              <w:t>voting shares; none issued and outstanding</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84"/>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Common stock, par value $1.00, authorized 175,000,000 shares; issued and</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w w:val="99"/>
              </w:rPr>
              <w:t>outstanding 55,678,419 shares as of October 31, 2014 and 56,788,723 shares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 of October 31, 2013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55,678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56,789</w:t>
            </w:r>
          </w:p>
        </w:tc>
        <w:tc>
          <w:tcPr>
            <w:tcW w:w="16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Retained earnings</w:t>
            </w:r>
          </w:p>
        </w:tc>
        <w:tc>
          <w:tcPr>
            <w:tcW w:w="2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368,754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314,519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(15,705)</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(12,570)</w:t>
            </w:r>
          </w:p>
        </w:tc>
      </w:tr>
      <w:tr>
        <w:trPr>
          <w:trHeight w:val="196"/>
        </w:trPr>
        <w:tc>
          <w:tcPr>
            <w:tcW w:w="20" w:type="dxa"/>
            <w:vAlign w:val="bottom"/>
          </w:tcPr>
          <w:p>
            <w:pPr>
              <w:spacing w:after="0"/>
              <w:rPr>
                <w:sz w:val="17"/>
                <w:szCs w:val="17"/>
                <w:color w:val="auto"/>
              </w:rPr>
            </w:pPr>
          </w:p>
        </w:tc>
        <w:tc>
          <w:tcPr>
            <w:tcW w:w="690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408,727</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358,738</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1,192,415</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1,002,748</w:t>
            </w: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ind w:left="2860"/>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6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Net earnings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173,870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154,845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129,541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2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b w:val="1"/>
                <w:bCs w:val="1"/>
                <w:color w:val="auto"/>
              </w:rPr>
              <w:t>Adjustments to reconcile net earnings to net cash provided by</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Provision for depreciation, amortization, and impairment losses</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53,138</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54,134</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53,634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Noncash income from finance affiliate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(7,262)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(Increase) decrease in deferred income taxes</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(4,700)</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11,291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10,237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Changes in operating assets and liabilities, net of effect of acquisitions: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Receivables, net</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(5,042)</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(11,912)</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Inventories, net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(37,183)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9,373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(3,245)</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(6,825)</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2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Accounts payable, accrued liabilities, deferred revenue, and other</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1,470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18,962</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182,365</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221,876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185,798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property, plant, and equipment</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(71,138)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(49,427)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479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Distributions from finance affiliate, net</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5,672</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6,342</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5,091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Acquisitions, net of cash acquired</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(65,702)</w:t>
            </w: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(44,773)</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(47,323)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Increase in (repayments of) short-term debt</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19,498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Increase in (repayments of) long-term debt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129,557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8,857</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6,134</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9,017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7,192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9,808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(103,039)</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(99,587)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Dividends paid on Toro common stock</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(45,048)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(32,499)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Pr>
          <w:p>
            <w:pPr>
              <w:spacing w:after="0"/>
              <w:rPr>
                <w:sz w:val="17"/>
                <w:szCs w:val="17"/>
                <w:color w:val="auto"/>
              </w:rPr>
            </w:pPr>
          </w:p>
        </w:tc>
        <w:tc>
          <w:tcPr>
            <w:tcW w:w="8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17,017</w:t>
            </w: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8"/>
              </w:rPr>
              <w:t>(118,298)</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(93,041)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rates on cash and cash equivalents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131,880</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57,137</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44,970</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182,993</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125,856</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80,886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as of the end of the fiscal year</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314,873</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182,993</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125,856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Interest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16,925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17,054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6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76,325</w:t>
            </w:r>
          </w:p>
        </w:tc>
        <w:tc>
          <w:tcPr>
            <w:tcW w:w="1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76,186</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58,709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Shares issued in connection with stock-based compensation plans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6,619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6,629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Payment obligations issued in connection with acquisitions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420</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1,395</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ind w:left="2100"/>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Retained</w:t>
            </w:r>
          </w:p>
        </w:tc>
        <w:tc>
          <w:tcPr>
            <w:tcW w:w="320" w:type="dxa"/>
            <w:vAlign w:val="bottom"/>
          </w:tcPr>
          <w:p>
            <w:pPr>
              <w:spacing w:after="0"/>
              <w:rPr>
                <w:sz w:val="14"/>
                <w:szCs w:val="14"/>
                <w:color w:val="auto"/>
              </w:rPr>
            </w:pPr>
          </w:p>
        </w:tc>
        <w:tc>
          <w:tcPr>
            <w:tcW w:w="1660" w:type="dxa"/>
            <w:vAlign w:val="bottom"/>
          </w:tcPr>
          <w:p>
            <w:pPr>
              <w:jc w:val="right"/>
              <w:ind w:right="33"/>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Stockholders'</w:t>
            </w:r>
          </w:p>
        </w:tc>
      </w:tr>
      <w:tr>
        <w:trPr>
          <w:trHeight w:val="157"/>
        </w:trPr>
        <w:tc>
          <w:tcPr>
            <w:tcW w:w="382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 except per share data)</w:t>
            </w:r>
          </w:p>
        </w:tc>
        <w:tc>
          <w:tcPr>
            <w:tcW w:w="220" w:type="dxa"/>
            <w:vAlign w:val="bottom"/>
          </w:tcPr>
          <w:p>
            <w:pPr>
              <w:spacing w:after="0"/>
              <w:rPr>
                <w:sz w:val="13"/>
                <w:szCs w:val="13"/>
                <w:color w:val="auto"/>
              </w:rPr>
            </w:pPr>
          </w:p>
        </w:tc>
        <w:tc>
          <w:tcPr>
            <w:tcW w:w="740" w:type="dxa"/>
            <w:vAlign w:val="bottom"/>
          </w:tcPr>
          <w:p>
            <w:pPr>
              <w:jc w:val="right"/>
              <w:ind w:right="33"/>
              <w:spacing w:after="0" w:line="157" w:lineRule="exact"/>
              <w:rPr>
                <w:sz w:val="20"/>
                <w:szCs w:val="20"/>
                <w:color w:val="auto"/>
              </w:rPr>
            </w:pPr>
            <w:r>
              <w:rPr>
                <w:rFonts w:ascii="Arial" w:cs="Arial" w:eastAsia="Arial" w:hAnsi="Arial"/>
                <w:sz w:val="14"/>
                <w:szCs w:val="14"/>
                <w:color w:val="auto"/>
              </w:rPr>
              <w:t>Stock</w:t>
            </w:r>
          </w:p>
        </w:tc>
        <w:tc>
          <w:tcPr>
            <w:tcW w:w="200" w:type="dxa"/>
            <w:vAlign w:val="bottom"/>
          </w:tcPr>
          <w:p>
            <w:pPr>
              <w:spacing w:after="0"/>
              <w:rPr>
                <w:sz w:val="13"/>
                <w:szCs w:val="13"/>
                <w:color w:val="auto"/>
              </w:rPr>
            </w:pPr>
          </w:p>
        </w:tc>
        <w:tc>
          <w:tcPr>
            <w:tcW w:w="840" w:type="dxa"/>
            <w:vAlign w:val="bottom"/>
          </w:tcPr>
          <w:p>
            <w:pPr>
              <w:jc w:val="right"/>
              <w:ind w:right="33"/>
              <w:spacing w:after="0" w:line="157" w:lineRule="exact"/>
              <w:rPr>
                <w:sz w:val="20"/>
                <w:szCs w:val="20"/>
                <w:color w:val="auto"/>
              </w:rPr>
            </w:pPr>
            <w:r>
              <w:rPr>
                <w:rFonts w:ascii="Arial" w:cs="Arial" w:eastAsia="Arial" w:hAnsi="Arial"/>
                <w:sz w:val="14"/>
                <w:szCs w:val="14"/>
                <w:color w:val="auto"/>
              </w:rPr>
              <w:t>Earnings</w:t>
            </w:r>
          </w:p>
        </w:tc>
        <w:tc>
          <w:tcPr>
            <w:tcW w:w="320" w:type="dxa"/>
            <w:vAlign w:val="bottom"/>
          </w:tcPr>
          <w:p>
            <w:pPr>
              <w:spacing w:after="0"/>
              <w:rPr>
                <w:sz w:val="13"/>
                <w:szCs w:val="13"/>
                <w:color w:val="auto"/>
              </w:rPr>
            </w:pPr>
          </w:p>
        </w:tc>
        <w:tc>
          <w:tcPr>
            <w:tcW w:w="1660" w:type="dxa"/>
            <w:vAlign w:val="bottom"/>
          </w:tcPr>
          <w:p>
            <w:pPr>
              <w:jc w:val="right"/>
              <w:ind w:right="33"/>
              <w:spacing w:after="0" w:line="157" w:lineRule="exact"/>
              <w:rPr>
                <w:sz w:val="20"/>
                <w:szCs w:val="20"/>
                <w:color w:val="auto"/>
              </w:rPr>
            </w:pPr>
            <w:r>
              <w:rPr>
                <w:rFonts w:ascii="Arial" w:cs="Arial" w:eastAsia="Arial" w:hAnsi="Arial"/>
                <w:sz w:val="14"/>
                <w:szCs w:val="14"/>
                <w:color w:val="auto"/>
              </w:rPr>
              <w:t>Comprehensive Loss</w:t>
            </w:r>
          </w:p>
        </w:tc>
        <w:tc>
          <w:tcPr>
            <w:tcW w:w="22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Equity</w:t>
            </w: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October 31, 2011</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59,206</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214,387</w:t>
            </w:r>
          </w:p>
        </w:tc>
        <w:tc>
          <w:tcPr>
            <w:tcW w:w="32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(6,826)</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266,767</w:t>
            </w:r>
          </w:p>
        </w:tc>
        <w:tc>
          <w:tcPr>
            <w:tcW w:w="160" w:type="dxa"/>
            <w:vAlign w:val="bottom"/>
            <w:shd w:val="clear" w:color="auto" w:fill="CCEEFF"/>
          </w:tcPr>
          <w:p>
            <w:pPr>
              <w:spacing w:after="0"/>
              <w:rPr>
                <w:sz w:val="17"/>
                <w:szCs w:val="17"/>
                <w:color w:val="auto"/>
              </w:rPr>
            </w:pP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color w:val="auto"/>
              </w:rPr>
              <w:t>Cash dividends paid on common stock – $0.44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tcPr>
          <w:p>
            <w:pPr>
              <w:ind w:left="160"/>
              <w:spacing w:after="0" w:line="200" w:lineRule="exact"/>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(26,230)</w:t>
            </w:r>
          </w:p>
        </w:tc>
        <w:tc>
          <w:tcPr>
            <w:tcW w:w="320" w:type="dxa"/>
            <w:vAlign w:val="bottom"/>
          </w:tcPr>
          <w:p>
            <w:pPr>
              <w:spacing w:after="0"/>
              <w:rPr>
                <w:sz w:val="17"/>
                <w:szCs w:val="17"/>
                <w:color w:val="auto"/>
              </w:rPr>
            </w:pPr>
          </w:p>
        </w:tc>
        <w:tc>
          <w:tcPr>
            <w:tcW w:w="16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(26,230)</w:t>
            </w: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1,664,835 shares under stock-</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based compensation plans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27,930</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29,595</w:t>
            </w:r>
          </w:p>
        </w:tc>
        <w:tc>
          <w:tcPr>
            <w:tcW w:w="160" w:type="dxa"/>
            <w:vAlign w:val="bottom"/>
            <w:shd w:val="clear" w:color="auto" w:fill="CCEEFF"/>
          </w:tcPr>
          <w:p>
            <w:pPr>
              <w:spacing w:after="0"/>
              <w:rPr>
                <w:sz w:val="17"/>
                <w:szCs w:val="17"/>
                <w:color w:val="auto"/>
              </w:rPr>
            </w:pPr>
          </w:p>
        </w:tc>
      </w:tr>
      <w:tr>
        <w:trPr>
          <w:trHeight w:val="206"/>
        </w:trPr>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rPr>
              <w:t>Contribution of stock to a deferred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tcPr>
          <w:p>
            <w:pPr>
              <w:ind w:left="160"/>
              <w:spacing w:after="0" w:line="200" w:lineRule="exact"/>
              <w:rPr>
                <w:sz w:val="20"/>
                <w:szCs w:val="20"/>
                <w:color w:val="auto"/>
              </w:rPr>
            </w:pPr>
            <w:r>
              <w:rPr>
                <w:rFonts w:ascii="Arial" w:cs="Arial" w:eastAsia="Arial" w:hAnsi="Arial"/>
                <w:sz w:val="18"/>
                <w:szCs w:val="18"/>
                <w:color w:val="auto"/>
              </w:rPr>
              <w:t>compensation trust</w:t>
            </w:r>
          </w:p>
        </w:tc>
        <w:tc>
          <w:tcPr>
            <w:tcW w:w="22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255</w:t>
            </w:r>
          </w:p>
        </w:tc>
        <w:tc>
          <w:tcPr>
            <w:tcW w:w="320" w:type="dxa"/>
            <w:vAlign w:val="bottom"/>
          </w:tcPr>
          <w:p>
            <w:pPr>
              <w:spacing w:after="0"/>
              <w:rPr>
                <w:sz w:val="17"/>
                <w:szCs w:val="17"/>
                <w:color w:val="auto"/>
              </w:rPr>
            </w:pPr>
          </w:p>
        </w:tc>
        <w:tc>
          <w:tcPr>
            <w:tcW w:w="16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Purchase of 2,604,525 shares of common stock</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(90,790)</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(93,395)</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2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9,017</w:t>
            </w:r>
          </w:p>
        </w:tc>
        <w:tc>
          <w:tcPr>
            <w:tcW w:w="32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9,017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(3,148)</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129,541</w:t>
            </w:r>
          </w:p>
        </w:tc>
        <w:tc>
          <w:tcPr>
            <w:tcW w:w="32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129,541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October 31, 2012</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58,266</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264,110</w:t>
            </w:r>
          </w:p>
        </w:tc>
        <w:tc>
          <w:tcPr>
            <w:tcW w:w="32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(9,974)</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312,402</w:t>
            </w:r>
          </w:p>
        </w:tc>
        <w:tc>
          <w:tcPr>
            <w:tcW w:w="160" w:type="dxa"/>
            <w:vAlign w:val="bottom"/>
            <w:shd w:val="clear" w:color="auto" w:fill="CCEEFF"/>
          </w:tcPr>
          <w:p>
            <w:pPr>
              <w:spacing w:after="0"/>
              <w:rPr>
                <w:sz w:val="17"/>
                <w:szCs w:val="17"/>
                <w:color w:val="auto"/>
              </w:rPr>
            </w:pPr>
          </w:p>
        </w:tc>
      </w:tr>
      <w:tr>
        <w:trPr>
          <w:trHeight w:val="199"/>
        </w:trPr>
        <w:tc>
          <w:tcPr>
            <w:tcW w:w="3820" w:type="dxa"/>
            <w:vAlign w:val="bottom"/>
            <w:gridSpan w:val="2"/>
          </w:tcPr>
          <w:p>
            <w:pPr>
              <w:spacing w:after="0" w:line="200" w:lineRule="exact"/>
              <w:rPr>
                <w:sz w:val="20"/>
                <w:szCs w:val="20"/>
                <w:color w:val="auto"/>
              </w:rPr>
            </w:pPr>
            <w:r>
              <w:rPr>
                <w:rFonts w:ascii="Arial" w:cs="Arial" w:eastAsia="Arial" w:hAnsi="Arial"/>
                <w:sz w:val="18"/>
                <w:szCs w:val="18"/>
                <w:color w:val="auto"/>
              </w:rPr>
              <w:t>Cash dividends paid on common stock – $0.56</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tcPr>
          <w:p>
            <w:pPr>
              <w:ind w:left="160"/>
              <w:spacing w:after="0" w:line="200" w:lineRule="exact"/>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(32,499)</w:t>
            </w:r>
          </w:p>
        </w:tc>
        <w:tc>
          <w:tcPr>
            <w:tcW w:w="320" w:type="dxa"/>
            <w:vAlign w:val="bottom"/>
          </w:tcPr>
          <w:p>
            <w:pPr>
              <w:spacing w:after="0"/>
              <w:rPr>
                <w:sz w:val="17"/>
                <w:szCs w:val="17"/>
                <w:color w:val="auto"/>
              </w:rPr>
            </w:pPr>
          </w:p>
        </w:tc>
        <w:tc>
          <w:tcPr>
            <w:tcW w:w="16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(32,499)</w:t>
            </w: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669,426 shares under stock-based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compensation plans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17,904</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18,574</w:t>
            </w:r>
          </w:p>
        </w:tc>
        <w:tc>
          <w:tcPr>
            <w:tcW w:w="160" w:type="dxa"/>
            <w:vAlign w:val="bottom"/>
            <w:shd w:val="clear" w:color="auto" w:fill="CCEEFF"/>
          </w:tcPr>
          <w:p>
            <w:pPr>
              <w:spacing w:after="0"/>
              <w:rPr>
                <w:sz w:val="17"/>
                <w:szCs w:val="17"/>
                <w:color w:val="auto"/>
              </w:rPr>
            </w:pPr>
          </w:p>
        </w:tc>
      </w:tr>
      <w:tr>
        <w:trPr>
          <w:trHeight w:val="206"/>
        </w:trPr>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rPr>
              <w:t>Contribution of stock to a deferred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00" w:type="dxa"/>
            <w:vAlign w:val="bottom"/>
          </w:tcPr>
          <w:p>
            <w:pPr>
              <w:ind w:left="160"/>
              <w:spacing w:after="0" w:line="200" w:lineRule="exact"/>
              <w:rPr>
                <w:sz w:val="20"/>
                <w:szCs w:val="20"/>
                <w:color w:val="auto"/>
              </w:rPr>
            </w:pPr>
            <w:r>
              <w:rPr>
                <w:rFonts w:ascii="Arial" w:cs="Arial" w:eastAsia="Arial" w:hAnsi="Arial"/>
                <w:sz w:val="18"/>
                <w:szCs w:val="18"/>
                <w:color w:val="auto"/>
              </w:rPr>
              <w:t>compensation trust</w:t>
            </w:r>
          </w:p>
        </w:tc>
        <w:tc>
          <w:tcPr>
            <w:tcW w:w="22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1,466</w:t>
            </w:r>
          </w:p>
        </w:tc>
        <w:tc>
          <w:tcPr>
            <w:tcW w:w="320" w:type="dxa"/>
            <w:vAlign w:val="bottom"/>
          </w:tcPr>
          <w:p>
            <w:pPr>
              <w:spacing w:after="0"/>
              <w:rPr>
                <w:sz w:val="17"/>
                <w:szCs w:val="17"/>
                <w:color w:val="auto"/>
              </w:rPr>
            </w:pPr>
          </w:p>
        </w:tc>
        <w:tc>
          <w:tcPr>
            <w:tcW w:w="16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1,466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Purchase of 2,147,185 shares of common stock</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(97,441)</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(99,588)</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2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6,134</w:t>
            </w:r>
          </w:p>
        </w:tc>
        <w:tc>
          <w:tcPr>
            <w:tcW w:w="32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6,134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(2,596)</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154,845</w:t>
            </w:r>
          </w:p>
        </w:tc>
        <w:tc>
          <w:tcPr>
            <w:tcW w:w="32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154,845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October 31, 2013</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56,789</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314,519</w:t>
            </w:r>
          </w:p>
        </w:tc>
        <w:tc>
          <w:tcPr>
            <w:tcW w:w="32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(12,570)</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358,738</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3800" w:type="dxa"/>
            <w:vAlign w:val="bottom"/>
          </w:tcPr>
          <w:p>
            <w:pPr>
              <w:spacing w:after="0" w:line="177" w:lineRule="exact"/>
              <w:rPr>
                <w:sz w:val="20"/>
                <w:szCs w:val="20"/>
                <w:color w:val="auto"/>
              </w:rPr>
            </w:pPr>
            <w:r>
              <w:rPr>
                <w:rFonts w:ascii="Arial" w:cs="Arial" w:eastAsia="Arial" w:hAnsi="Arial"/>
                <w:sz w:val="18"/>
                <w:szCs w:val="18"/>
                <w:b w:val="1"/>
                <w:bCs w:val="1"/>
                <w:color w:val="auto"/>
              </w:rPr>
              <w:t>Cash dividends paid on common stock –</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$0.80 per share</w:t>
            </w: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(45,048)</w:t>
            </w:r>
          </w:p>
        </w:tc>
        <w:tc>
          <w:tcPr>
            <w:tcW w:w="3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(45,048)</w:t>
            </w:r>
          </w:p>
        </w:tc>
      </w:tr>
      <w:tr>
        <w:trPr>
          <w:trHeight w:val="184"/>
        </w:trPr>
        <w:tc>
          <w:tcPr>
            <w:tcW w:w="20" w:type="dxa"/>
            <w:vAlign w:val="bottom"/>
          </w:tcPr>
          <w:p>
            <w:pPr>
              <w:spacing w:after="0"/>
              <w:rPr>
                <w:sz w:val="15"/>
                <w:szCs w:val="15"/>
                <w:color w:val="auto"/>
              </w:rPr>
            </w:pPr>
          </w:p>
        </w:tc>
        <w:tc>
          <w:tcPr>
            <w:tcW w:w="38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Issuance of 532,692 shares under stock-</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based compensation plans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533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16,270</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16,803</w:t>
            </w:r>
          </w:p>
        </w:tc>
        <w:tc>
          <w:tcPr>
            <w:tcW w:w="160" w:type="dxa"/>
            <w:vAlign w:val="bottom"/>
            <w:shd w:val="clear" w:color="auto" w:fill="CCEEFF"/>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3800" w:type="dxa"/>
            <w:vAlign w:val="bottom"/>
          </w:tcPr>
          <w:p>
            <w:pPr>
              <w:spacing w:after="0" w:line="184" w:lineRule="exact"/>
              <w:rPr>
                <w:sz w:val="20"/>
                <w:szCs w:val="20"/>
                <w:color w:val="auto"/>
              </w:rPr>
            </w:pPr>
            <w:r>
              <w:rPr>
                <w:rFonts w:ascii="Arial" w:cs="Arial" w:eastAsia="Arial" w:hAnsi="Arial"/>
                <w:sz w:val="18"/>
                <w:szCs w:val="18"/>
                <w:b w:val="1"/>
                <w:bCs w:val="1"/>
                <w:color w:val="auto"/>
              </w:rPr>
              <w:t>Contribution of stock to a deferred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compensation trust</w:t>
            </w: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1,681</w:t>
            </w:r>
          </w:p>
        </w:tc>
        <w:tc>
          <w:tcPr>
            <w:tcW w:w="3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1,681</w:t>
            </w:r>
          </w:p>
        </w:tc>
        <w:tc>
          <w:tcPr>
            <w:tcW w:w="160" w:type="dxa"/>
            <w:vAlign w:val="bottom"/>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38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Purchase of 1,644,230 shares of common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(101,395)</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(103,039)</w:t>
            </w:r>
          </w:p>
        </w:tc>
      </w:tr>
      <w:tr>
        <w:trPr>
          <w:trHeight w:val="184"/>
        </w:trPr>
        <w:tc>
          <w:tcPr>
            <w:tcW w:w="20" w:type="dxa"/>
            <w:vAlign w:val="bottom"/>
          </w:tcPr>
          <w:p>
            <w:pPr>
              <w:spacing w:after="0"/>
              <w:rPr>
                <w:sz w:val="15"/>
                <w:szCs w:val="15"/>
                <w:color w:val="auto"/>
              </w:rPr>
            </w:pPr>
          </w:p>
        </w:tc>
        <w:tc>
          <w:tcPr>
            <w:tcW w:w="3800" w:type="dxa"/>
            <w:vAlign w:val="bottom"/>
          </w:tcPr>
          <w:p>
            <w:pPr>
              <w:spacing w:after="0" w:line="184" w:lineRule="exact"/>
              <w:rPr>
                <w:sz w:val="20"/>
                <w:szCs w:val="20"/>
                <w:color w:val="auto"/>
              </w:rPr>
            </w:pPr>
            <w:r>
              <w:rPr>
                <w:rFonts w:ascii="Arial" w:cs="Arial" w:eastAsia="Arial" w:hAnsi="Arial"/>
                <w:sz w:val="18"/>
                <w:szCs w:val="18"/>
                <w:b w:val="1"/>
                <w:bCs w:val="1"/>
                <w:color w:val="auto"/>
              </w:rPr>
              <w:t>Excess tax benefits from stock-based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awards</w:t>
            </w: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8,857</w:t>
            </w:r>
          </w:p>
        </w:tc>
        <w:tc>
          <w:tcPr>
            <w:tcW w:w="32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8,857</w:t>
            </w:r>
          </w:p>
        </w:tc>
        <w:tc>
          <w:tcPr>
            <w:tcW w:w="1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comprehensive loss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(3,135)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(3,135)</w:t>
            </w:r>
          </w:p>
        </w:tc>
      </w:tr>
      <w:tr>
        <w:trPr>
          <w:trHeight w:val="203"/>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173,870</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173,870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October 31, 2014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55,678</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368,754</w:t>
            </w:r>
          </w:p>
        </w:tc>
        <w:tc>
          <w:tcPr>
            <w:tcW w:w="32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(15,705)</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408,727</w:t>
            </w: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42" w:lineRule="exact"/>
        <w:rPr>
          <w:sz w:val="20"/>
          <w:szCs w:val="20"/>
          <w:color w:val="auto"/>
        </w:rPr>
      </w:pPr>
    </w:p>
    <w:p>
      <w:pPr>
        <w:ind w:left="740" w:hanging="732"/>
        <w:spacing w:after="0"/>
        <w:tabs>
          <w:tab w:leader="none" w:pos="740" w:val="left"/>
        </w:tabs>
        <w:numPr>
          <w:ilvl w:val="0"/>
          <w:numId w:val="42"/>
        </w:numPr>
        <w:rPr>
          <w:rFonts w:ascii="Arial" w:cs="Arial" w:eastAsia="Arial" w:hAnsi="Arial"/>
          <w:sz w:val="43"/>
          <w:szCs w:val="43"/>
          <w:b w:val="1"/>
          <w:bCs w:val="1"/>
          <w:color w:val="auto"/>
        </w:rPr>
      </w:pPr>
      <w:r>
        <w:rPr>
          <w:rFonts w:ascii="Arial" w:cs="Arial" w:eastAsia="Arial" w:hAnsi="Arial"/>
          <w:sz w:val="22"/>
          <w:szCs w:val="22"/>
          <w:b w:val="1"/>
          <w:bCs w:val="1"/>
          <w:color w:val="auto"/>
        </w:rPr>
        <w:t>SUMMARY OF SIGNIFICANT ACCOUNTING POLICIES AND RELATED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preparing the consolidated financial statements in conformity with United States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 As of October 31, 2014, cash and short-term investments held by the company's foreign subsidiaries that are not available to fund domestic operations unless repatriated were $56,418.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company estimates the balance of allowance for doubtful accounts by analyzing the age of accounts and notes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a majority of the company's inventories. The first-in, first-out ("FIFO") method is used for all other inventories, constituting 28 and 33 percent of total inventories as of October 31, 2014 and 2013, respectively.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 During fiscal 2014 and 2013, LIFO layers were reduced. This reduction resulted in charging lower inventory costs prevailing in previous years to cost of sales, thus reducing cost of sales by $65 and $122 in fiscal 2014 and 2013, respectively. During fiscal 2012, no LIFO layers were reduced.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Raw materials and work in progress</w:t>
            </w:r>
          </w:p>
        </w:tc>
        <w:tc>
          <w:tcPr>
            <w:tcW w:w="3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95,144</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87,668</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3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246,954</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217,796</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Total FIFO value</w:t>
            </w:r>
          </w:p>
        </w:tc>
        <w:tc>
          <w:tcPr>
            <w:tcW w:w="37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342,098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305,464</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adjustment to LIFO value</w:t>
            </w:r>
          </w:p>
        </w:tc>
        <w:tc>
          <w:tcPr>
            <w:tcW w:w="3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67,495</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65,375</w:t>
            </w:r>
          </w:p>
        </w:tc>
        <w:tc>
          <w:tcPr>
            <w:tcW w:w="160" w:type="dxa"/>
            <w:vAlign w:val="bottom"/>
          </w:tcPr>
          <w:p>
            <w:pPr>
              <w:spacing w:after="0"/>
              <w:rPr>
                <w:sz w:val="14"/>
                <w:szCs w:val="14"/>
                <w:color w:val="auto"/>
              </w:rPr>
            </w:pPr>
          </w:p>
        </w:tc>
      </w:tr>
      <w:tr>
        <w:trPr>
          <w:trHeight w:val="156"/>
        </w:trPr>
        <w:tc>
          <w:tcPr>
            <w:tcW w:w="61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3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274,603</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240,089</w:t>
            </w:r>
          </w:p>
        </w:tc>
        <w:tc>
          <w:tcPr>
            <w:tcW w:w="160" w:type="dxa"/>
            <w:vAlign w:val="bottom"/>
          </w:tcPr>
          <w:p>
            <w:pPr>
              <w:spacing w:after="0"/>
              <w:rPr>
                <w:sz w:val="13"/>
                <w:szCs w:val="13"/>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two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2014, 2013, and 2012, the company capitalized $1,710, $722, and $256 of interest, respectively.</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7100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Land and land improvements</w:t>
            </w:r>
          </w:p>
        </w:tc>
        <w:tc>
          <w:tcPr>
            <w:tcW w:w="3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32,731</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27,632</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156,374</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133,866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305,131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284,492</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Tooling</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177,704</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173,039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Computer hardware and software</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77,395</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73,302</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Construction in process</w:t>
            </w:r>
          </w:p>
        </w:tc>
        <w:tc>
          <w:tcPr>
            <w:tcW w:w="3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10,857</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29,173</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Subtotal</w:t>
            </w:r>
          </w:p>
        </w:tc>
        <w:tc>
          <w:tcPr>
            <w:tcW w:w="36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760,192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721,504</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3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554,997</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536,408</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3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205,195</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185,096</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2014, 2013, and 2012, the company recorded depreciation expense of $47,136, $48,207, and $46,840,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Indefinite-Life Intangible Assets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Goodwill represents the cost of acquisitions in excess of the fair values assigned to identifiable net assets acquired. Goodwill is assigned to reporting units based upon the expected benefit of the synergies of the acquisition. Goodwill and some trade names, which are considered to have indefinite lives, are not amortized; however, the company reviews them for impairment annually during each fourth fiscal quarter or more frequently if changes in circumstances or occurrence of events suggest the fair value may not be recoverable.</w:t>
      </w:r>
    </w:p>
    <w:p>
      <w:pPr>
        <w:spacing w:after="0" w:line="209" w:lineRule="exact"/>
        <w:rPr>
          <w:sz w:val="20"/>
          <w:szCs w:val="20"/>
          <w:color w:val="auto"/>
        </w:rPr>
      </w:pPr>
    </w:p>
    <w:p>
      <w:pPr>
        <w:ind w:right="20" w:firstLine="143"/>
        <w:spacing w:after="0" w:line="236" w:lineRule="auto"/>
        <w:rPr>
          <w:sz w:val="20"/>
          <w:szCs w:val="20"/>
          <w:color w:val="auto"/>
        </w:rPr>
      </w:pPr>
      <w:r>
        <w:rPr>
          <w:rFonts w:ascii="Arial" w:cs="Arial" w:eastAsia="Arial" w:hAnsi="Arial"/>
          <w:sz w:val="18"/>
          <w:szCs w:val="18"/>
          <w:color w:val="auto"/>
        </w:rPr>
        <w:t>The company reviewed the fair value of its reporting units that have goodwill on their respective balance sheets and compared these fair values to the respective carrying amounts during the fourth quarter of fiscal 2014. The company determined that it has eight reporting units, which are the same as its eight operating segments. Six reporting units contain goodwill on their respective balance sheets. The company's estimate of fair value is determined based on a discounted cash flow model. Where available and as appropriate, comparable market multiples are used to corroborate the results of the discounted cash flow method. Growth rates for sales and profits are determined using inputs from the company's annual plan and long-range planning process. Management also makes estimates of discount rates, perpetuity growth assumptions, market comparables, and other factors. As of August 29, 2014, the company performed its annual impairment analysis and determined there was no impairment of goodwill for any of its reporting units as the fair values exceeded their respective carrying amounts.</w:t>
      </w:r>
    </w:p>
    <w:p>
      <w:pPr>
        <w:spacing w:after="0" w:line="208" w:lineRule="exact"/>
        <w:rPr>
          <w:sz w:val="20"/>
          <w:szCs w:val="20"/>
          <w:color w:val="auto"/>
        </w:rPr>
      </w:pPr>
    </w:p>
    <w:p>
      <w:pPr>
        <w:ind w:right="100" w:firstLine="137"/>
        <w:spacing w:after="0" w:line="273" w:lineRule="auto"/>
        <w:rPr>
          <w:sz w:val="20"/>
          <w:szCs w:val="20"/>
          <w:color w:val="auto"/>
        </w:rPr>
      </w:pPr>
      <w:r>
        <w:rPr>
          <w:rFonts w:ascii="Arial" w:cs="Arial" w:eastAsia="Arial" w:hAnsi="Arial"/>
          <w:sz w:val="16"/>
          <w:szCs w:val="16"/>
          <w:color w:val="auto"/>
        </w:rPr>
        <w:t>As of August 29, 2014, the company also performed an assessment of its indefinite-life intangible assets, which consist of certain trade names. The company's estimate of the fair value of its trade names are based on a discounted cash flow model using inputs which included: projected revenues from the company's forecasting process; assumed royalty rates that could be payable if the company did not own the trade name; and a discount rate. Based on this analysis, which was also performed in the prior fiscal year, the company concluded its indefinite-life intangible assets were not impaired during fiscal 2014 or 2013. In fiscal 2012, the company wrote down $400 of an indefinite-life intangible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long-lived assets include property, plant, and equipment and definite-lived intangible assets, which are identifiable assets that arose from purchase acquisitions consisting primarily of patents, non-compete agreements, customer relationships, trade names, and developed technology and are amortized on a straight-line basis over periods ranging from 1.5 to 13 years. The company reviews other long-lived assets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 measured using a discounted cash flow model or independent</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appraisals, as appropriate. For long-lived assets to be abandoned, the company tests for potential impairment. If the company commits to a plan to abandon a long-lived asset before the end of its previously estimated useful life, depreciation estimates are revised.</w:t>
      </w:r>
    </w:p>
    <w:p>
      <w:pPr>
        <w:spacing w:after="0" w:line="209"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For fiscal 2014 and 2013, the company did not have any impairment losses of other long-lived assets. Based on the company's impairment analysis, the company wrote down $386 of other long-lived assets during fiscal 2012. Additionally, based on the company's analysis of estimated useful lives of property, plant, and equipment, the company did not have any accelerated depreciation expense during fiscal 2014. During fiscal 2013 and 2012, the company had accelerated depreciation expense of $824 and $305,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a customer-managed service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09" w:lineRule="exact"/>
        <w:rPr>
          <w:sz w:val="20"/>
          <w:szCs w:val="20"/>
          <w:color w:val="auto"/>
        </w:rPr>
      </w:pPr>
    </w:p>
    <w:p>
      <w:pPr>
        <w:ind w:right="60" w:firstLine="143"/>
        <w:spacing w:after="0" w:line="237"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affected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2014 and 2013, $12,296 and $16,572, respectively, of the company's outstanding payment obligations had been placed on the accounts payable tracking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changes in accrued warranties were as follows: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4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4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$ 72,177</w:t>
            </w:r>
          </w:p>
        </w:tc>
        <w:tc>
          <w:tcPr>
            <w:tcW w:w="8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$ 69,848</w:t>
            </w: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4440" w:type="dxa"/>
            <w:vAlign w:val="bottom"/>
          </w:tcPr>
          <w:p>
            <w:pPr>
              <w:jc w:val="right"/>
              <w:ind w:right="28"/>
              <w:spacing w:after="0"/>
              <w:rPr>
                <w:sz w:val="20"/>
                <w:szCs w:val="20"/>
                <w:color w:val="auto"/>
              </w:rPr>
            </w:pPr>
            <w:r>
              <w:rPr>
                <w:rFonts w:ascii="Arial" w:cs="Arial" w:eastAsia="Arial" w:hAnsi="Arial"/>
                <w:sz w:val="14"/>
                <w:szCs w:val="14"/>
                <w:b w:val="1"/>
                <w:bCs w:val="1"/>
                <w:color w:val="auto"/>
              </w:rPr>
              <w:t>41,608</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41,067</w:t>
            </w:r>
          </w:p>
        </w:tc>
      </w:tr>
      <w:tr>
        <w:trPr>
          <w:trHeight w:val="162"/>
        </w:trPr>
        <w:tc>
          <w:tcPr>
            <w:tcW w:w="5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4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(38,568)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(35,529)</w:t>
            </w: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4440" w:type="dxa"/>
            <w:vAlign w:val="bottom"/>
          </w:tcPr>
          <w:p>
            <w:pPr>
              <w:jc w:val="right"/>
              <w:spacing w:after="0"/>
              <w:rPr>
                <w:sz w:val="20"/>
                <w:szCs w:val="20"/>
                <w:color w:val="auto"/>
              </w:rPr>
            </w:pPr>
            <w:r>
              <w:rPr>
                <w:rFonts w:ascii="Arial" w:cs="Arial" w:eastAsia="Arial" w:hAnsi="Arial"/>
                <w:sz w:val="14"/>
                <w:szCs w:val="14"/>
                <w:b w:val="1"/>
                <w:bCs w:val="1"/>
                <w:color w:val="auto"/>
              </w:rPr>
              <w:t>(4,137)</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(3,209)</w:t>
            </w:r>
          </w:p>
        </w:tc>
      </w:tr>
      <w:tr>
        <w:trPr>
          <w:trHeight w:val="20"/>
        </w:trPr>
        <w:tc>
          <w:tcPr>
            <w:tcW w:w="574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Ending balance</w:t>
            </w:r>
          </w:p>
        </w:tc>
        <w:tc>
          <w:tcPr>
            <w:tcW w:w="4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$ 71,080</w:t>
            </w:r>
          </w:p>
        </w:tc>
        <w:tc>
          <w:tcPr>
            <w:tcW w:w="8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$ 72,177</w:t>
            </w:r>
          </w:p>
        </w:tc>
      </w:tr>
      <w:tr>
        <w:trPr>
          <w:trHeight w:val="20"/>
        </w:trPr>
        <w:tc>
          <w:tcPr>
            <w:tcW w:w="574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Derivatives, consisting mainly of forward currency contracts, are used to hedge most foreign currency transactions, including forecasted sales and purchases denominated in foreign currencies. The company also utilizes cross currency swaps to offset foreign currency intercompany loan exposures. Derivatives are recognized on the consolidated balance sheet at fair value. If the derivative is designated as a cash flow hedge, the effective portion of the change in the fair value of the derivative is recorded as a component of other comprehensive income within the consolidated statements of comprehensive income and the consolidated statements of stockholders' equity, and recognized in earnings when the hedged item affects earnings. Derivatives that do not meet the requirements for hedge accounting are adjusted to fair value through other income, net in the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(loss)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210" w:lineRule="exact"/>
        <w:rPr>
          <w:sz w:val="20"/>
          <w:szCs w:val="20"/>
          <w:color w:val="auto"/>
        </w:rPr>
      </w:pPr>
    </w:p>
    <w:p>
      <w:pPr>
        <w:ind w:right="520" w:firstLine="143"/>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 expenses. Sales, use, value-added, and other excise taxes are not recognized in revenue. Freight revenue billed to customers is included in net sales.</w:t>
      </w:r>
    </w:p>
    <w:p>
      <w:pPr>
        <w:spacing w:after="0" w:line="211"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to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2014 and 2013 was $22,080 and $18,283, respectively.</w:t>
      </w:r>
    </w:p>
    <w:p>
      <w:pPr>
        <w:spacing w:after="0" w:line="210" w:lineRule="exact"/>
        <w:rPr>
          <w:sz w:val="20"/>
          <w:szCs w:val="20"/>
          <w:color w:val="auto"/>
        </w:rPr>
      </w:pPr>
    </w:p>
    <w:p>
      <w:pPr>
        <w:ind w:right="60" w:firstLine="146"/>
        <w:spacing w:after="0" w:line="299"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 / Dealer Inventory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209" w:lineRule="exact"/>
        <w:rPr>
          <w:sz w:val="20"/>
          <w:szCs w:val="20"/>
          <w:color w:val="auto"/>
        </w:rPr>
      </w:pPr>
    </w:p>
    <w:p>
      <w:pPr>
        <w:ind w:right="300" w:firstLine="146"/>
        <w:spacing w:after="0" w:line="238" w:lineRule="auto"/>
        <w:rPr>
          <w:sz w:val="20"/>
          <w:szCs w:val="20"/>
          <w:color w:val="auto"/>
        </w:rPr>
      </w:pPr>
      <w:r>
        <w:rPr>
          <w:rFonts w:ascii="Arial" w:cs="Arial" w:eastAsia="Arial" w:hAnsi="Arial"/>
          <w:sz w:val="18"/>
          <w:szCs w:val="18"/>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party financing sources to finance distributor and dealer inventory purchases. These financing arrangements are used by the company as a marketing tool to assist customers to buy inventory. The financing costs for distributor and dealer inventories were $21,080, $19,729, and $19,492 for the fiscal years ended October 31, 2014, 2013, and 2012,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$43,590, $48,071, and $46,947 for the fiscal years ended October 31, 2014, 2013, and 2012,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restricted stock units, and restricted stock awards. Compensation expense equal to the grant date fair value is recognized for these awards over the vesting period and is classified in selling, general and administrative expense. See Note 10 for additional information regarding stock-based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common stock and units.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4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3"/>
                <w:szCs w:val="13"/>
                <w:color w:val="auto"/>
              </w:rPr>
            </w:pPr>
          </w:p>
        </w:tc>
        <w:tc>
          <w:tcPr>
            <w:tcW w:w="6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2013</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w:t>
            </w:r>
          </w:p>
        </w:tc>
        <w:tc>
          <w:tcPr>
            <w:tcW w:w="7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56,346</w:t>
            </w:r>
          </w:p>
        </w:tc>
        <w:tc>
          <w:tcPr>
            <w:tcW w:w="6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57,898</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59,440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56,359</w:t>
            </w:r>
          </w:p>
        </w:tc>
        <w:tc>
          <w:tcPr>
            <w:tcW w:w="6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57,922</w:t>
            </w:r>
          </w:p>
        </w:tc>
        <w:tc>
          <w:tcPr>
            <w:tcW w:w="7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59,446</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9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DILUTED</w:t>
            </w:r>
          </w:p>
        </w:tc>
        <w:tc>
          <w:tcPr>
            <w:tcW w:w="7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24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4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3"/>
                <w:szCs w:val="13"/>
                <w:color w:val="auto"/>
              </w:rPr>
            </w:pPr>
          </w:p>
        </w:tc>
        <w:tc>
          <w:tcPr>
            <w:tcW w:w="6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2013</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56,359</w:t>
            </w:r>
          </w:p>
        </w:tc>
        <w:tc>
          <w:tcPr>
            <w:tcW w:w="6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57,922</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59,446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1,269</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1,183</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7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securities</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57,628</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59,105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00" w:firstLine="146"/>
        <w:spacing w:after="0" w:line="238" w:lineRule="auto"/>
        <w:rPr>
          <w:sz w:val="20"/>
          <w:szCs w:val="20"/>
          <w:color w:val="auto"/>
        </w:rPr>
      </w:pPr>
      <w:r>
        <w:rPr>
          <w:rFonts w:ascii="Arial" w:cs="Arial" w:eastAsia="Arial" w:hAnsi="Arial"/>
          <w:sz w:val="18"/>
          <w:szCs w:val="18"/>
          <w:color w:val="auto"/>
        </w:rPr>
        <w:t>Incremental shares from options, restricted stock, and restricted stock units are computed by the treasury stock method. Options, restricted stock, and restricted stock units of 259,925, 182,868, and 33,427 during fiscal 2014, 2013, and 2012, respectively, were excluded from the computation of diluted net earnings per share because they were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21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In December 2011, the Financial Accounting Standards Board ("FASB") issued Accounting Standards Update ("ASU") No. 2011-11,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ASU No. 2011-11 requires entities to disclose gross and net information about both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eligible for offset in the statement of financial position and those subject to an agreement similar to a master netting arrangement. This would include derivatives and other financial securities arrangements. The company adopted this guidance in the first quarter of fiscal 2014, as required. The adoption of this guidance did not have an impact on the company's consolidated financial statements.</w:t>
      </w:r>
    </w:p>
    <w:p>
      <w:pPr>
        <w:spacing w:after="0" w:line="163" w:lineRule="exact"/>
        <w:rPr>
          <w:sz w:val="20"/>
          <w:szCs w:val="20"/>
          <w:color w:val="auto"/>
        </w:rPr>
      </w:pPr>
    </w:p>
    <w:p>
      <w:pPr>
        <w:ind w:right="100" w:firstLine="146"/>
        <w:spacing w:after="0" w:line="239"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Reporting of Amounts Reclassified Out of Accumulated Other Comprehensive Income</w:t>
      </w:r>
      <w:r>
        <w:rPr>
          <w:rFonts w:ascii="Arial" w:cs="Arial" w:eastAsia="Arial" w:hAnsi="Arial"/>
          <w:sz w:val="18"/>
          <w:szCs w:val="18"/>
          <w:color w:val="auto"/>
        </w:rPr>
        <w:t>. ASU No. 2013-02 requires entities to disclose, for items reclassified out of accumulated other comprehensive income (loss) and into net income in their entirety, the effect of the reclassification on each affected net income line item. ASU No. 2013-02 also requires a cross reference to other required U.S. GAAP disclosures for accumulated other comprehensive income (loss) reclassification items that are not reclassified in their entirety into net income. The company adopted this guidance in its fiscal 2013 fourth quarter. The adoption of this guidance did not have an impact on the company's consolidated financial statements.</w:t>
      </w:r>
    </w:p>
    <w:p>
      <w:pPr>
        <w:spacing w:after="0" w:line="225" w:lineRule="exact"/>
        <w:rPr>
          <w:sz w:val="20"/>
          <w:szCs w:val="20"/>
          <w:color w:val="auto"/>
        </w:rPr>
      </w:pPr>
    </w:p>
    <w:p>
      <w:pPr>
        <w:ind w:left="740" w:hanging="732"/>
        <w:spacing w:after="0"/>
        <w:tabs>
          <w:tab w:leader="none" w:pos="740" w:val="left"/>
        </w:tabs>
        <w:numPr>
          <w:ilvl w:val="0"/>
          <w:numId w:val="43"/>
        </w:numPr>
        <w:rPr>
          <w:rFonts w:ascii="Arial" w:cs="Arial" w:eastAsia="Arial" w:hAnsi="Arial"/>
          <w:sz w:val="43"/>
          <w:szCs w:val="43"/>
          <w:b w:val="1"/>
          <w:bCs w:val="1"/>
          <w:color w:val="auto"/>
        </w:rPr>
      </w:pPr>
      <w:r>
        <w:rPr>
          <w:rFonts w:ascii="Arial" w:cs="Arial" w:eastAsia="Arial" w:hAnsi="Arial"/>
          <w:sz w:val="22"/>
          <w:szCs w:val="22"/>
          <w:b w:val="1"/>
          <w:bCs w:val="1"/>
          <w:color w:val="auto"/>
        </w:rPr>
        <w:t>ACQUISITIONS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November 27, 2013, during the first quarter of fiscal 2014, the company completed the acquisition of certain assets of a quality value-priced line of outdoor lighting fixtures for the landscape lighting market. The purchase price of this acquisition was $1,245, which included cash payments, issuance of a long-term note, and an estimated contingent consideration.</w:t>
      </w:r>
    </w:p>
    <w:p>
      <w:pPr>
        <w:spacing w:after="0" w:line="208"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On September 30, 2013, during the fourth quarter of fiscal 2013, the company completed the acquisition of certain assets and assumed certain liabilities for a company in China that manufactures water-efficient drip irrigation products, sprinklers, emitters, and filters for agriculture, landscaping, and green house production. The net purchase price of this acquisition was $3,481, of which $2,101 was paid in cash in fiscal 2013 and $1,380 was paid in cash in fiscal 2014.</w:t>
      </w:r>
    </w:p>
    <w:p>
      <w:pPr>
        <w:spacing w:after="0" w:line="209" w:lineRule="exact"/>
        <w:rPr>
          <w:sz w:val="20"/>
          <w:szCs w:val="20"/>
          <w:color w:val="auto"/>
        </w:rPr>
      </w:pPr>
    </w:p>
    <w:p>
      <w:pPr>
        <w:ind w:right="200" w:firstLine="146"/>
        <w:spacing w:after="0" w:line="236" w:lineRule="auto"/>
        <w:rPr>
          <w:sz w:val="20"/>
          <w:szCs w:val="20"/>
          <w:color w:val="auto"/>
        </w:rPr>
      </w:pPr>
      <w:r>
        <w:rPr>
          <w:rFonts w:ascii="Arial" w:cs="Arial" w:eastAsia="Arial" w:hAnsi="Arial"/>
          <w:sz w:val="18"/>
          <w:szCs w:val="18"/>
          <w:color w:val="auto"/>
        </w:rPr>
        <w:t>On April 25, 2012, during the second quarter of fiscal 2012, the company completed the acquisition of certain assets for an equipment line of concrete and mortar mixers, material handlers, compaction equipment, and other concrete power tools for the rental and specialty construction market. On February 10, 2012, also during the second quarter of fiscal 2012, the company completed the acquisition of certain assets and assumed certain liabilities for an equipment line of vibratory plows, trenchers, and horizontal directional drills for the underground utilities market. On December 9, 2011, during the first quarter of fiscal 2012, the company completed the acquisition of certain assets and assumed certain liabilities for a greens roller product line for the golf course market. The aggregate purchase price of these three acquisitions was $11,112, which included cash payments and issuance of long-term notes.</w:t>
      </w:r>
    </w:p>
    <w:p>
      <w:pPr>
        <w:spacing w:after="0" w:line="209" w:lineRule="exact"/>
        <w:rPr>
          <w:sz w:val="20"/>
          <w:szCs w:val="20"/>
          <w:color w:val="auto"/>
        </w:rPr>
      </w:pPr>
    </w:p>
    <w:p>
      <w:pPr>
        <w:ind w:right="360" w:firstLine="143"/>
        <w:spacing w:after="0" w:line="237" w:lineRule="auto"/>
        <w:rPr>
          <w:sz w:val="20"/>
          <w:szCs w:val="20"/>
          <w:color w:val="auto"/>
        </w:rPr>
      </w:pPr>
      <w:r>
        <w:rPr>
          <w:rFonts w:ascii="Arial" w:cs="Arial" w:eastAsia="Arial" w:hAnsi="Arial"/>
          <w:sz w:val="18"/>
          <w:szCs w:val="18"/>
          <w:color w:val="auto"/>
        </w:rPr>
        <w:t>The purchase price of all of these acquisitions was allocated to the identifiable assets acquired and liabilities assumed based on estimates of their fair value, with the excess purchase price for acquisitions recorded as goodwill. Additional purchase accounting disclosures have been omitted given the immateriality of these acquisitions in relation to the company's consolidated financial condition and results of operations. See Note 5 for further details related to the acquired intangible assets.</w:t>
      </w:r>
    </w:p>
    <w:p>
      <w:pPr>
        <w:spacing w:after="0" w:line="20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On November 14, 2014, subsequent to the end of fiscal 2014, the company acquired substantially all of the assets (excluding accounts receivable) of the BOSS® professional snow and ice management business of privately held Northern Star Industries, Inc. Based in Iron Mountain, Michigan, BOSS designs, manufactures, and sells a broad line of snowplows, salt and sand spreaders, and related parts and accessories for light and medium duty trucks, all terrain vehicles, utility terrain vehicles, skid steers, and front-end loaders. Through this acquisition, the company added another professional contractor brand; a portfolio of counter-seasonal equipment; manufacturing and distribution facilities located in Iron Mountain, Michigan; and a distribution network for these products. Management believes that this acquisition positions the company to strengthen and grow its relationships with professional contractors, municipalities, and other customers by enabling the company to provide them with innovative, durable equipment and high-quality service they need each season.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acquisition closed for $227,882, subject to certain post-closing adjustments, which included a cash payment of $197,882 and issuance of 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long-term note of $30,000. The company funded the acquisition with cash on hand, a $130,000 term loan, and an increase in short-term debt of</w:t>
      </w:r>
    </w:p>
    <w:p>
      <w:pPr>
        <w:spacing w:after="0"/>
        <w:rPr>
          <w:sz w:val="20"/>
          <w:szCs w:val="20"/>
          <w:color w:val="auto"/>
        </w:rPr>
      </w:pPr>
      <w:r>
        <w:rPr>
          <w:rFonts w:ascii="Arial" w:cs="Arial" w:eastAsia="Arial" w:hAnsi="Arial"/>
          <w:sz w:val="16"/>
          <w:szCs w:val="16"/>
          <w:color w:val="auto"/>
        </w:rPr>
        <w:t>$20,000 under the company's recently renewed revolving credit facility. During fiscal year 2014, the company expensed $509 of acquisition related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costs, which was recorded in selling, general, and administrative expense. The company also capitalized $373 of debt issuance costs in other</w:t>
      </w:r>
    </w:p>
    <w:p>
      <w:pPr>
        <w:spacing w:after="0"/>
        <w:rPr>
          <w:sz w:val="20"/>
          <w:szCs w:val="20"/>
          <w:color w:val="auto"/>
        </w:rPr>
      </w:pPr>
      <w:r>
        <w:rPr>
          <w:rFonts w:ascii="Arial" w:cs="Arial" w:eastAsia="Arial" w:hAnsi="Arial"/>
          <w:sz w:val="18"/>
          <w:szCs w:val="18"/>
          <w:color w:val="auto"/>
        </w:rPr>
        <w:t>assets related to the $130,000 term loan, which will be amortized over the term of the loan.</w:t>
      </w:r>
    </w:p>
    <w:p>
      <w:pPr>
        <w:spacing w:after="0" w:line="212" w:lineRule="exact"/>
        <w:rPr>
          <w:sz w:val="20"/>
          <w:szCs w:val="20"/>
          <w:color w:val="auto"/>
        </w:rPr>
      </w:pPr>
    </w:p>
    <w:p>
      <w:pPr>
        <w:ind w:right="120" w:firstLine="143"/>
        <w:spacing w:after="0" w:line="237" w:lineRule="auto"/>
        <w:rPr>
          <w:sz w:val="20"/>
          <w:szCs w:val="20"/>
          <w:color w:val="auto"/>
        </w:rPr>
      </w:pPr>
      <w:r>
        <w:rPr>
          <w:rFonts w:ascii="Arial" w:cs="Arial" w:eastAsia="Arial" w:hAnsi="Arial"/>
          <w:sz w:val="18"/>
          <w:szCs w:val="18"/>
          <w:color w:val="auto"/>
        </w:rPr>
        <w:t>The purchase price of this acquisition will be accounted for as a business combination using the acquisition method, which requires that, among other things, assets acquired and liabilities assumed be recorded at their fair value as of the acquisition date using independent appraisals and other analyses. The excess of the consideration transferred over those fair values is recorded as goodwill, and the company expects the goodwill to be deductible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tax purposes. Due to the timing of the acquisition, the initial valuation and subsequent purchase accounting for this acquisition is incomplete at this time.</w:t>
      </w:r>
    </w:p>
    <w:p>
      <w:pPr>
        <w:spacing w:after="0" w:line="221"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43"/>
          <w:szCs w:val="43"/>
          <w:b w:val="1"/>
          <w:bCs w:val="1"/>
          <w:color w:val="auto"/>
        </w:rPr>
      </w:pPr>
      <w:r>
        <w:rPr>
          <w:rFonts w:ascii="Arial" w:cs="Arial" w:eastAsia="Arial" w:hAnsi="Arial"/>
          <w:sz w:val="22"/>
          <w:szCs w:val="22"/>
          <w:b w:val="1"/>
          <w:bCs w:val="1"/>
          <w:color w:val="auto"/>
        </w:rPr>
        <w:t>INVESTMENT IN JOINT VENTURE</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fiscal 2009, the company and TCFIF, a subsidiary of TCF National Bank, established Red Iron, a joint venture in the form of a Delaware limited liability company that provides inventory financing, including floor plan and open account receivable financing, to distributors and dealers of the company's products in the U.S. and select distributors of the company's products in Canada. The initial term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pacing w:after="0" w:line="210" w:lineRule="exact"/>
        <w:rPr>
          <w:sz w:val="20"/>
          <w:szCs w:val="20"/>
          <w:color w:val="auto"/>
        </w:rPr>
      </w:pPr>
    </w:p>
    <w:p>
      <w:pPr>
        <w:ind w:right="120" w:firstLine="143"/>
        <w:spacing w:after="0" w:line="23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2014 and 2013 was $14,890 and $13,300, respectively. The company has not guaranteed the outstanding indebtedness of Red Iron. The company has agreed to repurchase products repossessed by Red Iron and the TCFIF Canadian affiliate, up to a maximum aggregate amount of $7,500 in a calendar year. In addition, the company has provided recourse to Red Iron for certain outstanding receivables, which amounted to a maximum amount of $470 and $465 as of October 31, 2014 and 2013, respectively.</w:t>
      </w:r>
    </w:p>
    <w:p>
      <w:pPr>
        <w:spacing w:after="0" w:line="215" w:lineRule="exact"/>
        <w:rPr>
          <w:sz w:val="20"/>
          <w:szCs w:val="20"/>
          <w:color w:val="auto"/>
        </w:rPr>
      </w:pPr>
    </w:p>
    <w:p>
      <w:pPr>
        <w:ind w:right="140" w:firstLine="146"/>
        <w:spacing w:after="0" w:line="271" w:lineRule="auto"/>
        <w:rPr>
          <w:sz w:val="20"/>
          <w:szCs w:val="20"/>
          <w:color w:val="auto"/>
        </w:rPr>
      </w:pPr>
      <w:r>
        <w:rPr>
          <w:rFonts w:ascii="Arial" w:cs="Arial" w:eastAsia="Arial" w:hAnsi="Arial"/>
          <w:sz w:val="16"/>
          <w:szCs w:val="16"/>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during fiscal 2014, 2013, and 2012 was $1,280,505, $1,211,470, and $1,191,343, respectively.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For the twelve months ended October 31</w:t>
            </w:r>
          </w:p>
        </w:tc>
        <w:tc>
          <w:tcPr>
            <w:tcW w:w="3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36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$ 22,678</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$ 22,418</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$ 19,765</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16,139</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15,776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13,326</w:t>
            </w:r>
          </w:p>
        </w:tc>
        <w:tc>
          <w:tcPr>
            <w:tcW w:w="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4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Finance receivables, net</w:t>
            </w:r>
          </w:p>
        </w:tc>
        <w:tc>
          <w:tcPr>
            <w:tcW w:w="47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$290,927</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$260,319</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4760" w:type="dxa"/>
            <w:vAlign w:val="bottom"/>
          </w:tcPr>
          <w:p>
            <w:pPr>
              <w:jc w:val="right"/>
              <w:ind w:right="8"/>
              <w:spacing w:after="0"/>
              <w:rPr>
                <w:sz w:val="20"/>
                <w:szCs w:val="20"/>
                <w:color w:val="auto"/>
              </w:rPr>
            </w:pPr>
            <w:r>
              <w:rPr>
                <w:rFonts w:ascii="Arial" w:cs="Arial" w:eastAsia="Arial" w:hAnsi="Arial"/>
                <w:sz w:val="14"/>
                <w:szCs w:val="14"/>
                <w:b w:val="1"/>
                <w:bCs w:val="1"/>
                <w:color w:val="auto"/>
              </w:rPr>
              <w:t>3,659</w:t>
            </w:r>
          </w:p>
        </w:tc>
        <w:tc>
          <w:tcPr>
            <w:tcW w:w="700" w:type="dxa"/>
            <w:vAlign w:val="bottom"/>
          </w:tcPr>
          <w:p>
            <w:pPr>
              <w:jc w:val="right"/>
              <w:spacing w:after="0"/>
              <w:rPr>
                <w:sz w:val="20"/>
                <w:szCs w:val="20"/>
                <w:color w:val="auto"/>
              </w:rPr>
            </w:pPr>
            <w:r>
              <w:rPr>
                <w:rFonts w:ascii="Arial" w:cs="Arial" w:eastAsia="Arial" w:hAnsi="Arial"/>
                <w:sz w:val="14"/>
                <w:szCs w:val="14"/>
                <w:color w:val="auto"/>
              </w:rPr>
              <w:t>4,040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4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261,527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234,804</w:t>
            </w:r>
          </w:p>
        </w:tc>
        <w:tc>
          <w:tcPr>
            <w:tcW w:w="1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0" w:hanging="732"/>
        <w:spacing w:after="0"/>
        <w:tabs>
          <w:tab w:leader="none" w:pos="740" w:val="left"/>
        </w:tabs>
        <w:numPr>
          <w:ilvl w:val="0"/>
          <w:numId w:val="45"/>
        </w:numPr>
        <w:rPr>
          <w:rFonts w:ascii="Arial" w:cs="Arial" w:eastAsia="Arial" w:hAnsi="Arial"/>
          <w:sz w:val="43"/>
          <w:szCs w:val="43"/>
          <w:b w:val="1"/>
          <w:bCs w:val="1"/>
          <w:color w:val="auto"/>
        </w:rPr>
      </w:pPr>
      <w:r>
        <w:rPr>
          <w:rFonts w:ascii="Arial" w:cs="Arial" w:eastAsia="Arial" w:hAnsi="Arial"/>
          <w:sz w:val="22"/>
          <w:szCs w:val="22"/>
          <w:b w:val="1"/>
          <w:bCs w:val="1"/>
          <w:color w:val="auto"/>
        </w:rPr>
        <w:t>OTHER INCOME, NET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3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center"/>
              <w:ind w:left="288"/>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465</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447</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786</w:t>
            </w:r>
          </w:p>
        </w:tc>
        <w:tc>
          <w:tcPr>
            <w:tcW w:w="1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Arial" w:cs="Arial" w:eastAsia="Arial" w:hAnsi="Arial"/>
                <w:sz w:val="14"/>
                <w:szCs w:val="14"/>
                <w:b w:val="1"/>
                <w:bCs w:val="1"/>
                <w:color w:val="auto"/>
              </w:rPr>
              <w:t>Retail financing revenue</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1,077</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1,106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 loss</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(1,006)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(1,786)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Arial" w:cs="Arial" w:eastAsia="Arial" w:hAnsi="Arial"/>
                <w:sz w:val="14"/>
                <w:szCs w:val="14"/>
                <w:b w:val="1"/>
                <w:bCs w:val="1"/>
                <w:color w:val="auto"/>
              </w:rPr>
              <w:t>Income from affiliates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7,262</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7,097</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5,996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recovery (settlements), net</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3,071</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Miscellaneous</w:t>
            </w: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789</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1,255</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income, net</w:t>
            </w:r>
          </w:p>
        </w:tc>
        <w:tc>
          <w:tcPr>
            <w:tcW w:w="3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center"/>
              <w:ind w:left="288"/>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8,714</w:t>
            </w:r>
          </w:p>
        </w:tc>
        <w:tc>
          <w:tcPr>
            <w:tcW w:w="720" w:type="dxa"/>
            <w:vAlign w:val="bottom"/>
            <w:tcBorders>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$ 12,261</w:t>
            </w:r>
          </w:p>
        </w:tc>
        <w:tc>
          <w:tcPr>
            <w:tcW w:w="56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$ 7,555</w:t>
            </w: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731"/>
        </w:trPr>
        <w:tc>
          <w:tcPr>
            <w:tcW w:w="260" w:type="dxa"/>
            <w:vAlign w:val="bottom"/>
            <w:gridSpan w:val="3"/>
          </w:tcPr>
          <w:p>
            <w:pPr>
              <w:spacing w:after="0"/>
              <w:rPr>
                <w:sz w:val="20"/>
                <w:szCs w:val="20"/>
                <w:color w:val="auto"/>
              </w:rPr>
            </w:pPr>
            <w:r>
              <w:rPr>
                <w:rFonts w:ascii="Arial" w:cs="Arial" w:eastAsia="Arial" w:hAnsi="Arial"/>
                <w:sz w:val="43"/>
                <w:szCs w:val="43"/>
                <w:b w:val="1"/>
                <w:bCs w:val="1"/>
                <w:color w:val="auto"/>
              </w:rPr>
              <w:t>5</w:t>
            </w:r>
          </w:p>
        </w:tc>
        <w:tc>
          <w:tcPr>
            <w:tcW w:w="8200" w:type="dxa"/>
            <w:vAlign w:val="bottom"/>
          </w:tcPr>
          <w:p>
            <w:pPr>
              <w:ind w:left="480"/>
              <w:spacing w:after="0"/>
              <w:rPr>
                <w:sz w:val="20"/>
                <w:szCs w:val="20"/>
                <w:color w:val="auto"/>
              </w:rPr>
            </w:pPr>
            <w:r>
              <w:rPr>
                <w:rFonts w:ascii="Arial" w:cs="Arial" w:eastAsia="Arial" w:hAnsi="Arial"/>
                <w:sz w:val="22"/>
                <w:szCs w:val="22"/>
                <w:b w:val="1"/>
                <w:bCs w:val="1"/>
                <w:color w:val="auto"/>
              </w:rPr>
              <w:t>GOODWILL AND OTHER INTANGIBLE ASSETS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The changes in the net carrying amount of goodwill for fiscal 2014 and 2013 were as follows: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p>
        </w:tc>
        <w:tc>
          <w:tcPr>
            <w:tcW w:w="860" w:type="dxa"/>
            <w:vAlign w:val="bottom"/>
            <w:tcBorders>
              <w:bottom w:val="single" w:sz="8" w:color="auto"/>
            </w:tcBorders>
            <w:gridSpan w:val="3"/>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68"/>
              <w:spacing w:after="0"/>
              <w:rPr>
                <w:sz w:val="20"/>
                <w:szCs w:val="20"/>
                <w:color w:val="auto"/>
              </w:rPr>
            </w:pPr>
            <w:r>
              <w:rPr>
                <w:rFonts w:ascii="Arial" w:cs="Arial" w:eastAsia="Arial" w:hAnsi="Arial"/>
                <w:sz w:val="14"/>
                <w:szCs w:val="14"/>
                <w:color w:val="auto"/>
              </w:rPr>
              <w:t>Professional</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Residential</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68"/>
              <w:spacing w:after="0" w:line="157" w:lineRule="exact"/>
              <w:rPr>
                <w:sz w:val="20"/>
                <w:szCs w:val="20"/>
                <w:color w:val="auto"/>
              </w:rPr>
            </w:pPr>
            <w:r>
              <w:rPr>
                <w:rFonts w:ascii="Arial" w:cs="Arial" w:eastAsia="Arial" w:hAnsi="Arial"/>
                <w:sz w:val="14"/>
                <w:szCs w:val="14"/>
                <w:color w:val="auto"/>
              </w:rPr>
              <w:t>Segment</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Segment</w:t>
            </w:r>
          </w:p>
        </w:tc>
        <w:tc>
          <w:tcPr>
            <w:tcW w:w="66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4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Balance as of October 31, 2012</w:t>
            </w:r>
          </w:p>
        </w:tc>
        <w:tc>
          <w:tcPr>
            <w:tcW w:w="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80,984</w:t>
            </w:r>
          </w:p>
        </w:tc>
        <w:tc>
          <w:tcPr>
            <w:tcW w:w="2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11,016</w:t>
            </w:r>
          </w:p>
        </w:tc>
        <w:tc>
          <w:tcPr>
            <w:tcW w:w="82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$ 92,000</w:t>
            </w:r>
          </w:p>
        </w:tc>
      </w:tr>
      <w:tr>
        <w:trPr>
          <w:trHeight w:val="162"/>
        </w:trPr>
        <w:tc>
          <w:tcPr>
            <w:tcW w:w="8460" w:type="dxa"/>
            <w:vAlign w:val="bottom"/>
            <w:gridSpan w:val="4"/>
          </w:tcPr>
          <w:p>
            <w:pPr>
              <w:spacing w:after="0"/>
              <w:rPr>
                <w:sz w:val="20"/>
                <w:szCs w:val="20"/>
                <w:color w:val="auto"/>
              </w:rPr>
            </w:pPr>
            <w:r>
              <w:rPr>
                <w:rFonts w:ascii="Arial" w:cs="Arial" w:eastAsia="Arial" w:hAnsi="Arial"/>
                <w:sz w:val="14"/>
                <w:szCs w:val="14"/>
                <w:color w:val="auto"/>
              </w:rPr>
              <w:t>Translation adjustments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rPr>
              <w:t>(86)</w:t>
            </w:r>
          </w:p>
        </w:tc>
      </w:tr>
      <w:tr>
        <w:trPr>
          <w:trHeight w:val="156"/>
        </w:trPr>
        <w:tc>
          <w:tcPr>
            <w:tcW w:w="20" w:type="dxa"/>
            <w:vAlign w:val="bottom"/>
          </w:tcPr>
          <w:p>
            <w:pPr>
              <w:spacing w:after="0"/>
              <w:rPr>
                <w:sz w:val="13"/>
                <w:szCs w:val="13"/>
                <w:color w:val="auto"/>
              </w:rPr>
            </w:pPr>
          </w:p>
        </w:tc>
        <w:tc>
          <w:tcPr>
            <w:tcW w:w="844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Balance as of October 31, 2013</w:t>
            </w: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80,962</w:t>
            </w:r>
          </w:p>
        </w:tc>
        <w:tc>
          <w:tcPr>
            <w:tcW w:w="2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10,952</w:t>
            </w:r>
          </w:p>
        </w:tc>
        <w:tc>
          <w:tcPr>
            <w:tcW w:w="66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$ 91,914</w:t>
            </w:r>
          </w:p>
        </w:tc>
        <w:tc>
          <w:tcPr>
            <w:tcW w:w="160" w:type="dxa"/>
            <w:vAlign w:val="bottom"/>
            <w:shd w:val="clear" w:color="auto" w:fill="CCEEFF"/>
          </w:tcPr>
          <w:p>
            <w:pPr>
              <w:spacing w:after="0"/>
              <w:rPr>
                <w:sz w:val="13"/>
                <w:szCs w:val="13"/>
                <w:color w:val="auto"/>
              </w:rPr>
            </w:pPr>
          </w:p>
        </w:tc>
      </w:tr>
      <w:tr>
        <w:trPr>
          <w:trHeight w:val="162"/>
        </w:trPr>
        <w:tc>
          <w:tcPr>
            <w:tcW w:w="8460" w:type="dxa"/>
            <w:vAlign w:val="bottom"/>
            <w:gridSpan w:val="4"/>
          </w:tcPr>
          <w:p>
            <w:pPr>
              <w:spacing w:after="0"/>
              <w:rPr>
                <w:sz w:val="20"/>
                <w:szCs w:val="20"/>
                <w:color w:val="auto"/>
              </w:rPr>
            </w:pPr>
            <w:r>
              <w:rPr>
                <w:rFonts w:ascii="Arial" w:cs="Arial" w:eastAsia="Arial" w:hAnsi="Arial"/>
                <w:sz w:val="14"/>
                <w:szCs w:val="14"/>
                <w:color w:val="auto"/>
              </w:rPr>
              <w:t>Translation adjustments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rPr>
              <w:t>(63)</w:t>
            </w:r>
          </w:p>
        </w:tc>
      </w:tr>
      <w:tr>
        <w:trPr>
          <w:trHeight w:val="156"/>
        </w:trPr>
        <w:tc>
          <w:tcPr>
            <w:tcW w:w="20" w:type="dxa"/>
            <w:vAlign w:val="bottom"/>
          </w:tcPr>
          <w:p>
            <w:pPr>
              <w:spacing w:after="0"/>
              <w:rPr>
                <w:sz w:val="13"/>
                <w:szCs w:val="13"/>
                <w:color w:val="auto"/>
              </w:rPr>
            </w:pPr>
          </w:p>
        </w:tc>
        <w:tc>
          <w:tcPr>
            <w:tcW w:w="8440" w:type="dxa"/>
            <w:vAlign w:val="bottom"/>
            <w:tcBorders>
              <w:top w:val="single" w:sz="8" w:color="auto"/>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October 31, 2014</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80,946</w:t>
            </w:r>
          </w:p>
        </w:tc>
        <w:tc>
          <w:tcPr>
            <w:tcW w:w="20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10,905</w:t>
            </w:r>
          </w:p>
        </w:tc>
        <w:tc>
          <w:tcPr>
            <w:tcW w:w="660" w:type="dxa"/>
            <w:vAlign w:val="bottom"/>
            <w:tcBorders>
              <w:top w:val="single" w:sz="8" w:color="auto"/>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$ 91,851</w:t>
            </w:r>
          </w:p>
        </w:tc>
        <w:tc>
          <w:tcPr>
            <w:tcW w:w="1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023"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023"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8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Other Intangible Assets </w:t>
            </w:r>
            <w:r>
              <w:rPr>
                <w:rFonts w:ascii="Arial" w:cs="Arial" w:eastAsia="Arial" w:hAnsi="Arial"/>
                <w:sz w:val="18"/>
                <w:szCs w:val="18"/>
                <w:color w:val="auto"/>
                <w:w w:val="99"/>
              </w:rPr>
              <w:t>–</w:t>
            </w:r>
          </w:p>
        </w:tc>
        <w:tc>
          <w:tcPr>
            <w:tcW w:w="6620" w:type="dxa"/>
            <w:vAlign w:val="bottom"/>
          </w:tcPr>
          <w:p>
            <w:pPr>
              <w:jc w:val="right"/>
              <w:ind w:right="1907"/>
              <w:spacing w:after="0"/>
              <w:rPr>
                <w:sz w:val="20"/>
                <w:szCs w:val="20"/>
                <w:color w:val="auto"/>
              </w:rPr>
            </w:pPr>
            <w:r>
              <w:rPr>
                <w:rFonts w:ascii="Arial" w:cs="Arial" w:eastAsia="Arial" w:hAnsi="Arial"/>
                <w:sz w:val="18"/>
                <w:szCs w:val="18"/>
                <w:color w:val="auto"/>
                <w:w w:val="97"/>
              </w:rPr>
              <w:t>The components of other intangible assets were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8"/>
              </w:rPr>
              <w:t>Accumulated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80" w:type="dxa"/>
            <w:vAlign w:val="bottom"/>
            <w:gridSpan w:val="3"/>
            <w:vMerge w:val="continue"/>
          </w:tcPr>
          <w:p>
            <w:pPr>
              <w:spacing w:after="0"/>
              <w:rPr>
                <w:sz w:val="13"/>
                <w:szCs w:val="13"/>
                <w:color w:val="auto"/>
              </w:rPr>
            </w:pPr>
          </w:p>
        </w:tc>
        <w:tc>
          <w:tcPr>
            <w:tcW w:w="6620" w:type="dxa"/>
            <w:vAlign w:val="bottom"/>
          </w:tcPr>
          <w:p>
            <w:pPr>
              <w:jc w:val="right"/>
              <w:ind w:right="7"/>
              <w:spacing w:after="0" w:line="157" w:lineRule="exact"/>
              <w:rPr>
                <w:sz w:val="20"/>
                <w:szCs w:val="20"/>
                <w:color w:val="auto"/>
              </w:rPr>
            </w:pPr>
            <w:r>
              <w:rPr>
                <w:rFonts w:ascii="Arial" w:cs="Arial" w:eastAsia="Arial" w:hAnsi="Arial"/>
                <w:sz w:val="14"/>
                <w:szCs w:val="14"/>
                <w:color w:val="auto"/>
              </w:rPr>
              <w:t>(Years)</w:t>
            </w:r>
          </w:p>
        </w:tc>
        <w:tc>
          <w:tcPr>
            <w:tcW w:w="160" w:type="dxa"/>
            <w:vAlign w:val="bottom"/>
          </w:tcPr>
          <w:p>
            <w:pPr>
              <w:spacing w:after="0"/>
              <w:rPr>
                <w:sz w:val="13"/>
                <w:szCs w:val="13"/>
                <w:color w:val="auto"/>
              </w:rPr>
            </w:pP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3"/>
                <w:szCs w:val="13"/>
                <w:color w:val="auto"/>
              </w:rPr>
            </w:pPr>
          </w:p>
        </w:tc>
        <w:tc>
          <w:tcPr>
            <w:tcW w:w="620" w:type="dxa"/>
            <w:vAlign w:val="bottom"/>
            <w:gridSpan w:val="2"/>
          </w:tcPr>
          <w:p>
            <w:pPr>
              <w:ind w:left="240"/>
              <w:spacing w:after="0" w:line="15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Patents</w:t>
            </w:r>
          </w:p>
        </w:tc>
        <w:tc>
          <w:tcPr>
            <w:tcW w:w="6620" w:type="dxa"/>
            <w:vAlign w:val="bottom"/>
            <w:tcBorders>
              <w:top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4"/>
                <w:szCs w:val="14"/>
                <w:b w:val="1"/>
                <w:bCs w:val="1"/>
                <w:color w:val="auto"/>
              </w:rPr>
              <w:t>1.5 - 13</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10,711</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(8,942)</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Non-compete agreements</w:t>
            </w:r>
          </w:p>
        </w:tc>
        <w:tc>
          <w:tcPr>
            <w:tcW w:w="6620" w:type="dxa"/>
            <w:vAlign w:val="bottom"/>
          </w:tcPr>
          <w:p>
            <w:pPr>
              <w:jc w:val="right"/>
              <w:ind w:right="7"/>
              <w:spacing w:after="0"/>
              <w:rPr>
                <w:sz w:val="20"/>
                <w:szCs w:val="20"/>
                <w:color w:val="auto"/>
              </w:rPr>
            </w:pPr>
            <w:r>
              <w:rPr>
                <w:rFonts w:ascii="Arial" w:cs="Arial" w:eastAsia="Arial" w:hAnsi="Arial"/>
                <w:sz w:val="14"/>
                <w:szCs w:val="14"/>
                <w:b w:val="1"/>
                <w:bCs w:val="1"/>
                <w:color w:val="auto"/>
              </w:rPr>
              <w:t>1.5 - 10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7,039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(5,315)</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6620" w:type="dxa"/>
            <w:vAlign w:val="bottom"/>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1.5 - 13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8,650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3,133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Developed technology</w:t>
            </w:r>
          </w:p>
        </w:tc>
        <w:tc>
          <w:tcPr>
            <w:tcW w:w="6620" w:type="dxa"/>
            <w:vAlign w:val="bottom"/>
          </w:tcPr>
          <w:p>
            <w:pPr>
              <w:jc w:val="right"/>
              <w:ind w:right="7"/>
              <w:spacing w:after="0"/>
              <w:rPr>
                <w:sz w:val="20"/>
                <w:szCs w:val="20"/>
                <w:color w:val="auto"/>
              </w:rPr>
            </w:pPr>
            <w:r>
              <w:rPr>
                <w:rFonts w:ascii="Arial" w:cs="Arial" w:eastAsia="Arial" w:hAnsi="Arial"/>
                <w:sz w:val="14"/>
                <w:szCs w:val="14"/>
                <w:b w:val="1"/>
                <w:bCs w:val="1"/>
                <w:color w:val="auto"/>
              </w:rPr>
              <w:t>1.5 - 10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28,841</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(16,869)</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11,972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Trade names</w:t>
            </w:r>
          </w:p>
        </w:tc>
        <w:tc>
          <w:tcPr>
            <w:tcW w:w="6620" w:type="dxa"/>
            <w:vAlign w:val="bottom"/>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1.5 - 5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Other</w:t>
            </w:r>
          </w:p>
        </w:tc>
        <w:tc>
          <w:tcPr>
            <w:tcW w:w="6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800</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amortizable</w:t>
            </w:r>
          </w:p>
        </w:tc>
        <w:tc>
          <w:tcPr>
            <w:tcW w:w="6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57,556</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(38,608)</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18,948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Non-amortizable – trade names</w:t>
            </w:r>
          </w:p>
        </w:tc>
        <w:tc>
          <w:tcPr>
            <w:tcW w:w="6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4,881</w:t>
            </w: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4,881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intangible assets, net</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62,437</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(38,608)</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23,829</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66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8"/>
              </w:rPr>
              <w:t>Accumulated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spacing w:after="0" w:line="157" w:lineRule="exact"/>
              <w:rPr>
                <w:sz w:val="20"/>
                <w:szCs w:val="20"/>
                <w:color w:val="auto"/>
              </w:rPr>
            </w:pPr>
            <w:r>
              <w:rPr>
                <w:rFonts w:ascii="Arial" w:cs="Arial" w:eastAsia="Arial" w:hAnsi="Arial"/>
                <w:sz w:val="14"/>
                <w:szCs w:val="14"/>
                <w:color w:val="auto"/>
              </w:rPr>
              <w:t>October 31, 2013</w:t>
            </w:r>
          </w:p>
        </w:tc>
        <w:tc>
          <w:tcPr>
            <w:tcW w:w="6620" w:type="dxa"/>
            <w:vAlign w:val="bottom"/>
          </w:tcPr>
          <w:p>
            <w:pPr>
              <w:jc w:val="right"/>
              <w:ind w:right="7"/>
              <w:spacing w:after="0" w:line="157" w:lineRule="exact"/>
              <w:rPr>
                <w:sz w:val="20"/>
                <w:szCs w:val="20"/>
                <w:color w:val="auto"/>
              </w:rPr>
            </w:pPr>
            <w:r>
              <w:rPr>
                <w:rFonts w:ascii="Arial" w:cs="Arial" w:eastAsia="Arial" w:hAnsi="Arial"/>
                <w:sz w:val="14"/>
                <w:szCs w:val="14"/>
                <w:color w:val="auto"/>
              </w:rPr>
              <w:t>(Years)</w:t>
            </w:r>
          </w:p>
        </w:tc>
        <w:tc>
          <w:tcPr>
            <w:tcW w:w="160" w:type="dxa"/>
            <w:vAlign w:val="bottom"/>
          </w:tcPr>
          <w:p>
            <w:pPr>
              <w:spacing w:after="0"/>
              <w:rPr>
                <w:sz w:val="13"/>
                <w:szCs w:val="13"/>
                <w:color w:val="auto"/>
              </w:rPr>
            </w:pP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3"/>
                <w:szCs w:val="13"/>
                <w:color w:val="auto"/>
              </w:rPr>
            </w:pPr>
          </w:p>
        </w:tc>
        <w:tc>
          <w:tcPr>
            <w:tcW w:w="620" w:type="dxa"/>
            <w:vAlign w:val="bottom"/>
            <w:gridSpan w:val="2"/>
          </w:tcPr>
          <w:p>
            <w:pPr>
              <w:ind w:left="240"/>
              <w:spacing w:after="0" w:line="15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Patents</w:t>
            </w:r>
          </w:p>
        </w:tc>
        <w:tc>
          <w:tcPr>
            <w:tcW w:w="6620" w:type="dxa"/>
            <w:vAlign w:val="bottom"/>
            <w:tcBorders>
              <w:top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4"/>
                <w:szCs w:val="14"/>
                <w:color w:val="auto"/>
              </w:rPr>
              <w:t>1.5 - 13</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10,213</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(8,537)</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80" w:type="dxa"/>
            <w:vAlign w:val="bottom"/>
            <w:gridSpan w:val="3"/>
          </w:tcPr>
          <w:p>
            <w:pPr>
              <w:spacing w:after="0"/>
              <w:rPr>
                <w:sz w:val="20"/>
                <w:szCs w:val="20"/>
                <w:color w:val="auto"/>
              </w:rPr>
            </w:pPr>
            <w:r>
              <w:rPr>
                <w:rFonts w:ascii="Arial" w:cs="Arial" w:eastAsia="Arial" w:hAnsi="Arial"/>
                <w:sz w:val="14"/>
                <w:szCs w:val="14"/>
                <w:color w:val="auto"/>
              </w:rPr>
              <w:t>Non-compete agreements</w:t>
            </w: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1.5 - 10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6,849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(4,488)</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66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1.5 - 13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8,654</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162"/>
        </w:trPr>
        <w:tc>
          <w:tcPr>
            <w:tcW w:w="2180" w:type="dxa"/>
            <w:vAlign w:val="bottom"/>
            <w:gridSpan w:val="3"/>
          </w:tcPr>
          <w:p>
            <w:pPr>
              <w:spacing w:after="0"/>
              <w:rPr>
                <w:sz w:val="20"/>
                <w:szCs w:val="20"/>
                <w:color w:val="auto"/>
              </w:rPr>
            </w:pPr>
            <w:r>
              <w:rPr>
                <w:rFonts w:ascii="Arial" w:cs="Arial" w:eastAsia="Arial" w:hAnsi="Arial"/>
                <w:sz w:val="14"/>
                <w:szCs w:val="14"/>
                <w:color w:val="auto"/>
              </w:rPr>
              <w:t>Developed technology</w:t>
            </w:r>
          </w:p>
        </w:tc>
        <w:tc>
          <w:tcPr>
            <w:tcW w:w="6620" w:type="dxa"/>
            <w:vAlign w:val="bottom"/>
          </w:tcPr>
          <w:p>
            <w:pPr>
              <w:jc w:val="right"/>
              <w:ind w:right="7"/>
              <w:spacing w:after="0"/>
              <w:rPr>
                <w:sz w:val="20"/>
                <w:szCs w:val="20"/>
                <w:color w:val="auto"/>
              </w:rPr>
            </w:pPr>
            <w:r>
              <w:rPr>
                <w:rFonts w:ascii="Arial" w:cs="Arial" w:eastAsia="Arial" w:hAnsi="Arial"/>
                <w:sz w:val="14"/>
                <w:szCs w:val="14"/>
                <w:color w:val="auto"/>
              </w:rPr>
              <w:t>1.5 - 10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28,224</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(13,478)</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14,746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Trade names</w:t>
            </w:r>
          </w:p>
        </w:tc>
        <w:tc>
          <w:tcPr>
            <w:tcW w:w="66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1.5 - 5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62"/>
        </w:trPr>
        <w:tc>
          <w:tcPr>
            <w:tcW w:w="2180" w:type="dxa"/>
            <w:vAlign w:val="bottom"/>
            <w:gridSpan w:val="3"/>
          </w:tcPr>
          <w:p>
            <w:pPr>
              <w:spacing w:after="0"/>
              <w:rPr>
                <w:sz w:val="20"/>
                <w:szCs w:val="20"/>
                <w:color w:val="auto"/>
              </w:rPr>
            </w:pPr>
            <w:r>
              <w:rPr>
                <w:rFonts w:ascii="Arial" w:cs="Arial" w:eastAsia="Arial" w:hAnsi="Arial"/>
                <w:sz w:val="14"/>
                <w:szCs w:val="14"/>
                <w:color w:val="auto"/>
              </w:rPr>
              <w:t>Other</w:t>
            </w: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amortizable</w:t>
            </w:r>
          </w:p>
        </w:tc>
        <w:tc>
          <w:tcPr>
            <w:tcW w:w="6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56,255</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(32,828)</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gridSpan w:val="3"/>
          </w:tcPr>
          <w:p>
            <w:pPr>
              <w:spacing w:after="0" w:line="155" w:lineRule="exact"/>
              <w:rPr>
                <w:sz w:val="20"/>
                <w:szCs w:val="20"/>
                <w:color w:val="auto"/>
              </w:rPr>
            </w:pPr>
            <w:r>
              <w:rPr>
                <w:rFonts w:ascii="Arial" w:cs="Arial" w:eastAsia="Arial" w:hAnsi="Arial"/>
                <w:sz w:val="14"/>
                <w:szCs w:val="14"/>
                <w:color w:val="auto"/>
              </w:rPr>
              <w:t>Non-amortizable – trade names</w:t>
            </w:r>
          </w:p>
        </w:tc>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8"/>
              <w:spacing w:after="0" w:line="155" w:lineRule="exact"/>
              <w:rPr>
                <w:sz w:val="20"/>
                <w:szCs w:val="20"/>
                <w:color w:val="auto"/>
              </w:rPr>
            </w:pPr>
            <w:r>
              <w:rPr>
                <w:rFonts w:ascii="Arial" w:cs="Arial" w:eastAsia="Arial" w:hAnsi="Arial"/>
                <w:sz w:val="14"/>
                <w:szCs w:val="14"/>
                <w:color w:val="auto"/>
              </w:rPr>
              <w:t>4,881</w:t>
            </w:r>
          </w:p>
        </w:tc>
        <w:tc>
          <w:tcPr>
            <w:tcW w:w="160" w:type="dxa"/>
            <w:vAlign w:val="bottom"/>
          </w:tcPr>
          <w:p>
            <w:pPr>
              <w:spacing w:after="0"/>
              <w:rPr>
                <w:sz w:val="13"/>
                <w:szCs w:val="13"/>
                <w:color w:val="auto"/>
              </w:rPr>
            </w:pP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4,881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other intangible assets, net</w:t>
            </w:r>
          </w:p>
        </w:tc>
        <w:tc>
          <w:tcPr>
            <w:tcW w:w="6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61,136</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(32,828)</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28,308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20" w:firstLine="143"/>
        <w:spacing w:after="0" w:line="239" w:lineRule="auto"/>
        <w:rPr>
          <w:sz w:val="20"/>
          <w:szCs w:val="20"/>
          <w:color w:val="auto"/>
        </w:rPr>
      </w:pPr>
      <w:r>
        <w:rPr>
          <w:rFonts w:ascii="Arial" w:cs="Arial" w:eastAsia="Arial" w:hAnsi="Arial"/>
          <w:sz w:val="18"/>
          <w:szCs w:val="18"/>
          <w:color w:val="auto"/>
        </w:rPr>
        <w:t>The change in gross carrying amount of other intangible assets of $1,301 from October 31, 2014 compared to October 31, 2013 was the result of intangible assets acquired from a company, disclosed in Note 2, and changes in foreign currency exchange rates.</w:t>
      </w:r>
    </w:p>
    <w:p>
      <w:pPr>
        <w:spacing w:after="0" w:line="209" w:lineRule="exact"/>
        <w:rPr>
          <w:sz w:val="20"/>
          <w:szCs w:val="20"/>
          <w:color w:val="auto"/>
        </w:rPr>
      </w:pPr>
    </w:p>
    <w:p>
      <w:pPr>
        <w:jc w:val="both"/>
        <w:ind w:right="600" w:firstLine="137"/>
        <w:spacing w:after="0" w:line="238" w:lineRule="auto"/>
        <w:rPr>
          <w:sz w:val="20"/>
          <w:szCs w:val="20"/>
          <w:color w:val="auto"/>
        </w:rPr>
      </w:pPr>
      <w:r>
        <w:rPr>
          <w:rFonts w:ascii="Arial" w:cs="Arial" w:eastAsia="Arial" w:hAnsi="Arial"/>
          <w:sz w:val="18"/>
          <w:szCs w:val="18"/>
          <w:color w:val="auto"/>
        </w:rPr>
        <w:t>Amortization expense for intangible assets for the fiscal years ended October 31, 2014, 2013, and 2012 was $6,002, $5,769, and $6,008, respectively. Estimated amortization expense for the succeeding fiscal years is as follows: 2015, $5,610; 2016, $5,091; 2017, $4,196; 2018, $2,168; 2019, $1,191; and after 2019, $692.</w:t>
      </w:r>
    </w:p>
    <w:p>
      <w:pPr>
        <w:spacing w:after="0" w:line="220" w:lineRule="exact"/>
        <w:rPr>
          <w:sz w:val="20"/>
          <w:szCs w:val="20"/>
          <w:color w:val="auto"/>
        </w:rPr>
      </w:pPr>
    </w:p>
    <w:p>
      <w:pPr>
        <w:ind w:left="740" w:hanging="732"/>
        <w:spacing w:after="0"/>
        <w:tabs>
          <w:tab w:leader="none" w:pos="740" w:val="left"/>
        </w:tabs>
        <w:numPr>
          <w:ilvl w:val="0"/>
          <w:numId w:val="46"/>
        </w:numPr>
        <w:rPr>
          <w:rFonts w:ascii="Arial" w:cs="Arial" w:eastAsia="Arial" w:hAnsi="Arial"/>
          <w:sz w:val="43"/>
          <w:szCs w:val="43"/>
          <w:b w:val="1"/>
          <w:bCs w:val="1"/>
          <w:color w:val="auto"/>
        </w:rPr>
      </w:pPr>
      <w:r>
        <w:rPr>
          <w:rFonts w:ascii="Arial" w:cs="Arial" w:eastAsia="Arial" w:hAnsi="Arial"/>
          <w:sz w:val="22"/>
          <w:szCs w:val="22"/>
          <w:b w:val="1"/>
          <w:bCs w:val="1"/>
          <w:color w:val="auto"/>
        </w:rPr>
        <w:t>SHORT-TERM CAPITAL RESOURCES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October 31, 2014, the company had a $150,000 unsecured senior five-year revolving credit facility that expires in October 2019, which replaced the prior revolving credit facility that was scheduled to mature in July 2015. Included in this $150,000 revolving credit facility is a sublimit of $20,000 for standby letters of credit and a sublimit for swingline loans of $20,000. At the election of the company, and the approval of the named borrowers on the revolving credit facility,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The company's non-U.S. operations also maintain unsecured short-term lines of credit in the aggregate amount of $13,257. These facilities bear interest at various rates depending on the rates in their respective countries of operation. Under all these lines of credit, the company had $20,818 outstanding as of October 31, 2014. The weighted-average interest rate on outstanding short-term debt as of October 31, 2014 was 1.95%. There was no outstanding debt under the company's lines of credit as of October 31, 2013.</w:t>
      </w:r>
    </w:p>
    <w:p>
      <w:pPr>
        <w:spacing w:after="0" w:line="215" w:lineRule="exact"/>
        <w:rPr>
          <w:sz w:val="20"/>
          <w:szCs w:val="20"/>
          <w:color w:val="auto"/>
        </w:rPr>
      </w:pPr>
    </w:p>
    <w:p>
      <w:pPr>
        <w:ind w:right="40" w:firstLine="143"/>
        <w:spacing w:after="0" w:line="235" w:lineRule="auto"/>
        <w:rPr>
          <w:sz w:val="20"/>
          <w:szCs w:val="20"/>
          <w:color w:val="auto"/>
        </w:rPr>
      </w:pPr>
      <w:r>
        <w:rPr>
          <w:rFonts w:ascii="Arial" w:cs="Arial" w:eastAsia="Arial" w:hAnsi="Arial"/>
          <w:sz w:val="18"/>
          <w:szCs w:val="18"/>
          <w:color w:val="auto"/>
        </w:rPr>
        <w:t>The credit agreement that contains the revolving credit facility and term loan, which is described in more detail in Note 7,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entered into in October 2014, the company is not limited in the amount for payments of cash dividends and stock repurchases as long as the debt to earnings before interest, tax, depreciation, and amortization ("EBITDA") ratio from the previous quarter compliance certificate is less than or equal to 3.25, provided that immediately after giving effect of any such proposed action, no default or event of default would exist. Under the prior revolving credit facility that was scheduled to mature in July 2015, the company was not limited in the amounts for payments of cash dividends and stock repurchases as long as the debt to EBITDA ratio from the previous quarter compliance certificate is less than or equal to 2.75; however, the company was limited to $50,000 per fiscal year if the debt to EBITDA ratio from the previous quarter compliance certificate was greater than 2.75. In fiscal 2014, 2013 and 2012, the company was not limited in the amount for payments of cash dividends and stock repurchases as its debt to EBITDA ratio was below the thresholds. The company was in compliance with all covenants related to the lines of credit described above as of October 31, 2014 and 2013.</w:t>
      </w:r>
    </w:p>
    <w:p>
      <w:pPr>
        <w:sectPr>
          <w:pgSz w:w="11900" w:h="16838" w:orient="portrait"/>
          <w:cols w:equalWidth="0" w:num="1">
            <w:col w:w="11420"/>
          </w:cols>
          <w:pgMar w:left="240" w:top="108"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740" w:hanging="732"/>
        <w:spacing w:after="0"/>
        <w:tabs>
          <w:tab w:leader="none" w:pos="740" w:val="left"/>
        </w:tabs>
        <w:numPr>
          <w:ilvl w:val="0"/>
          <w:numId w:val="47"/>
        </w:numPr>
        <w:rPr>
          <w:rFonts w:ascii="Arial" w:cs="Arial" w:eastAsia="Arial" w:hAnsi="Arial"/>
          <w:sz w:val="43"/>
          <w:szCs w:val="43"/>
          <w:b w:val="1"/>
          <w:bCs w:val="1"/>
          <w:color w:val="auto"/>
        </w:rPr>
      </w:pPr>
      <w:r>
        <w:rPr>
          <w:rFonts w:ascii="Arial" w:cs="Arial" w:eastAsia="Arial" w:hAnsi="Arial"/>
          <w:sz w:val="22"/>
          <w:szCs w:val="22"/>
          <w:b w:val="1"/>
          <w:bCs w:val="1"/>
          <w:color w:val="auto"/>
        </w:rPr>
        <w:t>LONG-TERM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Term loan, due October 25, 2019</w:t>
            </w:r>
          </w:p>
        </w:tc>
        <w:tc>
          <w:tcPr>
            <w:tcW w:w="42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$130,000</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7.800%</w:t>
            </w:r>
          </w:p>
        </w:tc>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4280" w:type="dxa"/>
            <w:vAlign w:val="bottom"/>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100,000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6"/>
              </w:rPr>
              <w:t>6.625%</w:t>
            </w:r>
          </w:p>
        </w:tc>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123,606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123,544</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5720" w:type="dxa"/>
            <w:vAlign w:val="bottom"/>
          </w:tcPr>
          <w:p>
            <w:pPr>
              <w:spacing w:after="0"/>
              <w:rPr>
                <w:sz w:val="14"/>
                <w:szCs w:val="14"/>
                <w:color w:val="auto"/>
              </w:rPr>
            </w:pPr>
          </w:p>
        </w:tc>
        <w:tc>
          <w:tcPr>
            <w:tcW w:w="428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62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long-term debt</w:t>
            </w:r>
          </w:p>
        </w:tc>
        <w:tc>
          <w:tcPr>
            <w:tcW w:w="428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353,956</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223,544</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0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current portion</w:t>
            </w:r>
          </w:p>
        </w:tc>
        <w:tc>
          <w:tcPr>
            <w:tcW w:w="4280" w:type="dxa"/>
            <w:vAlign w:val="bottom"/>
          </w:tcPr>
          <w:p>
            <w:pPr>
              <w:jc w:val="right"/>
              <w:ind w:right="8"/>
              <w:spacing w:after="0"/>
              <w:rPr>
                <w:sz w:val="20"/>
                <w:szCs w:val="20"/>
                <w:color w:val="auto"/>
              </w:rPr>
            </w:pPr>
            <w:r>
              <w:rPr>
                <w:rFonts w:ascii="Arial" w:cs="Arial" w:eastAsia="Arial" w:hAnsi="Arial"/>
                <w:sz w:val="14"/>
                <w:szCs w:val="14"/>
                <w:b w:val="1"/>
                <w:bCs w:val="1"/>
                <w:color w:val="auto"/>
              </w:rPr>
              <w:t>6,640</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620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Long-term debt, less current portion</w:t>
            </w:r>
          </w:p>
        </w:tc>
        <w:tc>
          <w:tcPr>
            <w:tcW w:w="42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$347,316</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223,544</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In October 2014, the company obtained a $130,000 term loan with various banks, which was a part of the new credit agreement that included the new revolving credit facility. Under the credit agreement,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209"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215" w:lineRule="exact"/>
        <w:rPr>
          <w:sz w:val="20"/>
          <w:szCs w:val="20"/>
          <w:color w:val="auto"/>
        </w:rPr>
      </w:pPr>
    </w:p>
    <w:p>
      <w:pPr>
        <w:ind w:right="220" w:firstLine="146"/>
        <w:spacing w:after="0" w:line="270" w:lineRule="auto"/>
        <w:rPr>
          <w:sz w:val="20"/>
          <w:szCs w:val="20"/>
          <w:color w:val="auto"/>
        </w:rPr>
      </w:pPr>
      <w:r>
        <w:rPr>
          <w:rFonts w:ascii="Arial" w:cs="Arial" w:eastAsia="Arial" w:hAnsi="Arial"/>
          <w:sz w:val="16"/>
          <w:szCs w:val="16"/>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 As of October 31, 2014, the company had $1,995 remaining in other assets for the excess termination fees over deferred income.</w:t>
      </w:r>
    </w:p>
    <w:p>
      <w:pPr>
        <w:spacing w:after="0" w:line="185" w:lineRule="exact"/>
        <w:rPr>
          <w:sz w:val="20"/>
          <w:szCs w:val="20"/>
          <w:color w:val="auto"/>
        </w:rPr>
      </w:pPr>
    </w:p>
    <w:p>
      <w:pPr>
        <w:ind w:right="660" w:firstLine="146"/>
        <w:spacing w:after="0" w:line="23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2015, $6,640; 2016, $13,140; 2017, $13,070; 2018, $13,000; 2019, $84,500; and after 2019, $225,000.</w:t>
      </w:r>
    </w:p>
    <w:p>
      <w:pPr>
        <w:spacing w:after="0" w:line="221" w:lineRule="exact"/>
        <w:rPr>
          <w:sz w:val="20"/>
          <w:szCs w:val="20"/>
          <w:color w:val="auto"/>
        </w:rPr>
      </w:pPr>
    </w:p>
    <w:p>
      <w:pPr>
        <w:ind w:left="740" w:hanging="732"/>
        <w:spacing w:after="0"/>
        <w:tabs>
          <w:tab w:leader="none" w:pos="740" w:val="left"/>
        </w:tabs>
        <w:numPr>
          <w:ilvl w:val="0"/>
          <w:numId w:val="48"/>
        </w:numPr>
        <w:rPr>
          <w:rFonts w:ascii="Arial" w:cs="Arial" w:eastAsia="Arial" w:hAnsi="Arial"/>
          <w:sz w:val="43"/>
          <w:szCs w:val="43"/>
          <w:b w:val="1"/>
          <w:bCs w:val="1"/>
          <w:color w:val="auto"/>
        </w:rPr>
      </w:pPr>
      <w:r>
        <w:rPr>
          <w:rFonts w:ascii="Arial" w:cs="Arial" w:eastAsia="Arial" w:hAnsi="Arial"/>
          <w:sz w:val="22"/>
          <w:szCs w:val="22"/>
          <w:b w:val="1"/>
          <w:bCs w:val="1"/>
          <w:color w:val="auto"/>
        </w:rPr>
        <w:t>STOCKHOLDERS' EQUITY</w:t>
      </w:r>
    </w:p>
    <w:p>
      <w:pPr>
        <w:spacing w:after="0" w:line="189" w:lineRule="exact"/>
        <w:rPr>
          <w:sz w:val="20"/>
          <w:szCs w:val="20"/>
          <w:color w:val="auto"/>
        </w:rPr>
      </w:pPr>
    </w:p>
    <w:p>
      <w:pPr>
        <w:ind w:right="620"/>
        <w:spacing w:after="0" w:line="248" w:lineRule="auto"/>
        <w:rPr>
          <w:sz w:val="20"/>
          <w:szCs w:val="20"/>
          <w:color w:val="auto"/>
        </w:rPr>
      </w:pPr>
      <w:r>
        <w:rPr>
          <w:rFonts w:ascii="Arial" w:cs="Arial" w:eastAsia="Arial" w:hAnsi="Arial"/>
          <w:sz w:val="18"/>
          <w:szCs w:val="18"/>
          <w:b w:val="1"/>
          <w:bCs w:val="1"/>
          <w:i w:val="1"/>
          <w:iCs w:val="1"/>
          <w:color w:val="auto"/>
        </w:rPr>
        <w:t xml:space="preserve">Common Shares Authorized. </w:t>
      </w:r>
      <w:r>
        <w:rPr>
          <w:rFonts w:ascii="Arial" w:cs="Arial" w:eastAsia="Arial" w:hAnsi="Arial"/>
          <w:sz w:val="18"/>
          <w:szCs w:val="18"/>
          <w:color w:val="auto"/>
        </w:rPr>
        <w:t>On March 12, 2013, following the approval by the company's shareholders at its 2013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the company amended its Restated Certificate of Incorporation by filing a Certificate of Amendment to Restated Certificate of Incorporation to increase the number of authorized shares from 100 million to 175 million.</w:t>
      </w:r>
    </w:p>
    <w:p>
      <w:pPr>
        <w:spacing w:after="0" w:line="182"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b w:val="1"/>
          <w:bCs w:val="1"/>
          <w:i w:val="1"/>
          <w:iCs w:val="1"/>
          <w:color w:val="auto"/>
        </w:rPr>
        <w:t xml:space="preserve">Stock Repurchase Program. </w:t>
      </w:r>
      <w:r>
        <w:rPr>
          <w:rFonts w:ascii="Arial" w:cs="Arial" w:eastAsia="Arial" w:hAnsi="Arial"/>
          <w:sz w:val="18"/>
          <w:szCs w:val="18"/>
          <w:color w:val="auto"/>
        </w:rPr>
        <w:t>On December 11, 2012, the company's Board of Directors authorized the repurchase of 5 million shares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in open-market or in privately negotiated transactions. This program has no expiration date but may be terminated by the Board at any time. During fiscal 2014, 2013, and 2012, the company paid $101,674, $98,842, and $92,719 to repurchase an aggregate of 1,622,569 shares, 2,131,615 shares, and 2,591,039 shares, respectively. As of October 31, 2014, 2,720,493 shares remained authorized for repurchase.</w:t>
      </w:r>
    </w:p>
    <w:p>
      <w:pPr>
        <w:spacing w:after="0" w:line="19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Treasury Shares. </w:t>
      </w:r>
      <w:r>
        <w:rPr>
          <w:rFonts w:ascii="Arial" w:cs="Arial" w:eastAsia="Arial" w:hAnsi="Arial"/>
          <w:sz w:val="18"/>
          <w:szCs w:val="18"/>
          <w:color w:val="auto"/>
        </w:rPr>
        <w:t>As of October 31, 2014, the company had 22,386,021 treasury shares at a cost of $1,163,706. As of October 31,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21,275,717 treasury shares at a cost of $1,081,086.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Components of accumulated other comprehensive loss ("AOCL"), net of tax, within the consolidated statements of stockholders' equity are as follows:</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6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3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Foreign currency translation adjustments</w:t>
            </w:r>
          </w:p>
        </w:tc>
        <w:tc>
          <w:tcPr>
            <w:tcW w:w="3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$ 12,536</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7,778</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$ 5,436</w:t>
            </w:r>
          </w:p>
        </w:tc>
        <w:tc>
          <w:tcPr>
            <w:tcW w:w="1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20"/>
                <w:szCs w:val="20"/>
                <w:color w:val="auto"/>
              </w:rPr>
            </w:pPr>
            <w:r>
              <w:rPr>
                <w:rFonts w:ascii="Arial" w:cs="Arial" w:eastAsia="Arial" w:hAnsi="Arial"/>
                <w:sz w:val="14"/>
                <w:szCs w:val="14"/>
                <w:b w:val="1"/>
                <w:bCs w:val="1"/>
                <w:color w:val="auto"/>
              </w:rPr>
              <w:t>Pension and postretirement benefits</w:t>
            </w:r>
          </w:p>
        </w:tc>
        <w:tc>
          <w:tcPr>
            <w:tcW w:w="3560" w:type="dxa"/>
            <w:vAlign w:val="bottom"/>
          </w:tcPr>
          <w:p>
            <w:pPr>
              <w:jc w:val="right"/>
              <w:ind w:right="28"/>
              <w:spacing w:after="0"/>
              <w:rPr>
                <w:sz w:val="20"/>
                <w:szCs w:val="20"/>
                <w:color w:val="auto"/>
              </w:rPr>
            </w:pPr>
            <w:r>
              <w:rPr>
                <w:rFonts w:ascii="Arial" w:cs="Arial" w:eastAsia="Arial" w:hAnsi="Arial"/>
                <w:sz w:val="14"/>
                <w:szCs w:val="14"/>
                <w:b w:val="1"/>
                <w:bCs w:val="1"/>
                <w:color w:val="auto"/>
              </w:rPr>
              <w:t>5,266</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3,683</w:t>
            </w:r>
          </w:p>
        </w:tc>
        <w:tc>
          <w:tcPr>
            <w:tcW w:w="540" w:type="dxa"/>
            <w:vAlign w:val="bottom"/>
          </w:tcPr>
          <w:p>
            <w:pPr>
              <w:jc w:val="right"/>
              <w:spacing w:after="0"/>
              <w:rPr>
                <w:sz w:val="20"/>
                <w:szCs w:val="20"/>
                <w:color w:val="auto"/>
              </w:rPr>
            </w:pPr>
            <w:r>
              <w:rPr>
                <w:rFonts w:ascii="Arial" w:cs="Arial" w:eastAsia="Arial" w:hAnsi="Arial"/>
                <w:sz w:val="14"/>
                <w:szCs w:val="14"/>
                <w:color w:val="auto"/>
              </w:rPr>
              <w:t>4,328</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Derivative instruments</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(2,097)</w:t>
            </w: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spacing w:after="0"/>
              <w:rPr>
                <w:sz w:val="14"/>
                <w:szCs w:val="14"/>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accumulated other comprehensive loss</w:t>
            </w:r>
          </w:p>
        </w:tc>
        <w:tc>
          <w:tcPr>
            <w:tcW w:w="35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$ 15,705</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97"/>
              </w:rPr>
              <w:t>12,570</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$ 9,974</w:t>
            </w:r>
          </w:p>
        </w:tc>
        <w:tc>
          <w:tcPr>
            <w:tcW w:w="180" w:type="dxa"/>
            <w:vAlign w:val="bottom"/>
          </w:tcPr>
          <w:p>
            <w:pPr>
              <w:spacing w:after="0"/>
              <w:rPr>
                <w:sz w:val="13"/>
                <w:szCs w:val="13"/>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components and activity of AOCL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9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Foreign</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Pension</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and Post-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Cash Flow</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retirement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Derivative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Benefits</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w w:val="98"/>
              </w:rPr>
              <w:t>Instruments</w:t>
            </w: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AOCL as of October 31, 2012</w:t>
            </w:r>
          </w:p>
        </w:tc>
        <w:tc>
          <w:tcPr>
            <w:tcW w:w="2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5,436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9,974</w:t>
            </w:r>
          </w:p>
        </w:tc>
      </w:tr>
      <w:tr>
        <w:trPr>
          <w:trHeight w:val="162"/>
        </w:trPr>
        <w:tc>
          <w:tcPr>
            <w:tcW w:w="5980" w:type="dxa"/>
            <w:vAlign w:val="bottom"/>
            <w:gridSpan w:val="2"/>
          </w:tcPr>
          <w:p>
            <w:pPr>
              <w:spacing w:after="0"/>
              <w:rPr>
                <w:sz w:val="20"/>
                <w:szCs w:val="20"/>
                <w:color w:val="auto"/>
              </w:rPr>
            </w:pPr>
            <w:r>
              <w:rPr>
                <w:rFonts w:ascii="Arial" w:cs="Arial" w:eastAsia="Arial" w:hAnsi="Arial"/>
                <w:sz w:val="14"/>
                <w:szCs w:val="14"/>
                <w:color w:val="auto"/>
              </w:rPr>
              <w:t>Other comprehensive loss before reclassifications</w:t>
            </w:r>
          </w:p>
        </w:tc>
        <w:tc>
          <w:tcPr>
            <w:tcW w:w="2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1,870</w:t>
            </w: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4,212</w:t>
            </w: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AOCL</w:t>
            </w:r>
          </w:p>
        </w:tc>
        <w:tc>
          <w:tcPr>
            <w:tcW w:w="2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(1,616)</w:t>
            </w: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5980" w:type="dxa"/>
            <w:vAlign w:val="bottom"/>
            <w:gridSpan w:val="2"/>
          </w:tcPr>
          <w:p>
            <w:pPr>
              <w:spacing w:after="0" w:line="155" w:lineRule="exact"/>
              <w:rPr>
                <w:sz w:val="20"/>
                <w:szCs w:val="20"/>
                <w:color w:val="auto"/>
              </w:rPr>
            </w:pPr>
            <w:r>
              <w:rPr>
                <w:rFonts w:ascii="Arial" w:cs="Arial" w:eastAsia="Arial" w:hAnsi="Arial"/>
                <w:sz w:val="14"/>
                <w:szCs w:val="14"/>
                <w:color w:val="auto"/>
              </w:rPr>
              <w:t>Net current period other comprehensive loss (income)</w:t>
            </w:r>
          </w:p>
        </w:tc>
        <w:tc>
          <w:tcPr>
            <w:tcW w:w="2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2,342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(645)$</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899</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2,596</w:t>
            </w: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AOCL as of October 31, 2013</w:t>
            </w:r>
          </w:p>
        </w:tc>
        <w:tc>
          <w:tcPr>
            <w:tcW w:w="2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7,778</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3,683</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w w:val="97"/>
              </w:rPr>
              <w:t>12,570</w:t>
            </w:r>
          </w:p>
        </w:tc>
      </w:tr>
      <w:tr>
        <w:trPr>
          <w:trHeight w:val="156"/>
        </w:trPr>
        <w:tc>
          <w:tcPr>
            <w:tcW w:w="20" w:type="dxa"/>
            <w:vAlign w:val="bottom"/>
          </w:tcPr>
          <w:p>
            <w:pPr>
              <w:spacing w:after="0"/>
              <w:rPr>
                <w:sz w:val="13"/>
                <w:szCs w:val="13"/>
                <w:color w:val="auto"/>
              </w:rPr>
            </w:pPr>
          </w:p>
        </w:tc>
        <w:tc>
          <w:tcPr>
            <w:tcW w:w="59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Other comprehensive loss before reclassifications</w:t>
            </w:r>
          </w:p>
        </w:tc>
        <w:tc>
          <w:tcPr>
            <w:tcW w:w="2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(1,644)$</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3,114</w:t>
            </w: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reclassified from AOCL</w:t>
            </w:r>
          </w:p>
        </w:tc>
        <w:tc>
          <w:tcPr>
            <w:tcW w:w="2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w:t>
            </w:r>
          </w:p>
        </w:tc>
      </w:tr>
      <w:tr>
        <w:trPr>
          <w:trHeight w:val="156"/>
        </w:trPr>
        <w:tc>
          <w:tcPr>
            <w:tcW w:w="20" w:type="dxa"/>
            <w:vAlign w:val="bottom"/>
          </w:tcPr>
          <w:p>
            <w:pPr>
              <w:spacing w:after="0"/>
              <w:rPr>
                <w:sz w:val="13"/>
                <w:szCs w:val="13"/>
                <w:color w:val="auto"/>
              </w:rPr>
            </w:pPr>
          </w:p>
        </w:tc>
        <w:tc>
          <w:tcPr>
            <w:tcW w:w="59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Net current period other comprehensive loss (income)</w:t>
            </w:r>
          </w:p>
        </w:tc>
        <w:tc>
          <w:tcPr>
            <w:tcW w:w="2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1,583</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(3,206)$</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3,135</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AOCL as of October 31, 2014</w:t>
            </w:r>
          </w:p>
        </w:tc>
        <w:tc>
          <w:tcPr>
            <w:tcW w:w="2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12,536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5,266</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(2,097)$</w:t>
            </w:r>
          </w:p>
        </w:tc>
        <w:tc>
          <w:tcPr>
            <w:tcW w:w="5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b w:val="1"/>
                <w:bCs w:val="1"/>
                <w:color w:val="auto"/>
                <w:w w:val="97"/>
              </w:rPr>
              <w:t>15,705</w:t>
            </w: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80" w:firstLine="137"/>
        <w:spacing w:after="0" w:line="239" w:lineRule="auto"/>
        <w:rPr>
          <w:sz w:val="20"/>
          <w:szCs w:val="20"/>
          <w:color w:val="auto"/>
        </w:rPr>
      </w:pPr>
      <w:r>
        <w:rPr>
          <w:rFonts w:ascii="Arial" w:cs="Arial" w:eastAsia="Arial" w:hAnsi="Arial"/>
          <w:sz w:val="18"/>
          <w:szCs w:val="18"/>
          <w:color w:val="auto"/>
        </w:rPr>
        <w:t>AOCL associated with pension and postretirement benefits are included in Note 11. Details of amounts reclassified from accumulated other comprehensive loss to the respective line items in net earnings for cash flow derivative instruments are included in Note 14.</w:t>
      </w:r>
    </w:p>
    <w:p>
      <w:pPr>
        <w:spacing w:after="0" w:line="221" w:lineRule="exact"/>
        <w:rPr>
          <w:sz w:val="20"/>
          <w:szCs w:val="20"/>
          <w:color w:val="auto"/>
        </w:rPr>
      </w:pPr>
    </w:p>
    <w:p>
      <w:pPr>
        <w:ind w:left="740" w:hanging="732"/>
        <w:spacing w:after="0"/>
        <w:tabs>
          <w:tab w:leader="none" w:pos="740" w:val="left"/>
        </w:tabs>
        <w:numPr>
          <w:ilvl w:val="0"/>
          <w:numId w:val="49"/>
        </w:numPr>
        <w:rPr>
          <w:rFonts w:ascii="Arial" w:cs="Arial" w:eastAsia="Arial" w:hAnsi="Arial"/>
          <w:sz w:val="43"/>
          <w:szCs w:val="43"/>
          <w:b w:val="1"/>
          <w:bCs w:val="1"/>
          <w:color w:val="auto"/>
        </w:rPr>
      </w:pPr>
      <w:r>
        <w:rPr>
          <w:rFonts w:ascii="Arial" w:cs="Arial" w:eastAsia="Arial" w:hAnsi="Arial"/>
          <w:sz w:val="22"/>
          <w:szCs w:val="22"/>
          <w:b w:val="1"/>
          <w:bCs w:val="1"/>
          <w:color w:val="auto"/>
        </w:rPr>
        <w:t>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67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Fiscal years ended October 31</w:t>
            </w:r>
          </w:p>
        </w:tc>
        <w:tc>
          <w:tcPr>
            <w:tcW w:w="2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4"/>
                <w:szCs w:val="14"/>
                <w:color w:val="auto"/>
              </w:rPr>
              <w:t>2013</w:t>
            </w: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2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35.0%</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w:t>
            </w:r>
          </w:p>
        </w:tc>
        <w:tc>
          <w:tcPr>
            <w:tcW w:w="52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Increase (reduction) in income taxes resulting from:</w:t>
            </w: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Domestic manufacturer's deduction</w:t>
            </w:r>
          </w:p>
        </w:tc>
        <w:tc>
          <w:tcPr>
            <w:tcW w:w="2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97"/>
              </w:rPr>
              <w:t>(1.9)</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State and local income taxes, net of federal income tax benefit</w:t>
            </w: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b w:val="1"/>
                <w:bCs w:val="1"/>
                <w:color w:val="auto"/>
              </w:rPr>
              <w:t>1.5</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Effect of foreign source income</w:t>
            </w:r>
          </w:p>
        </w:tc>
        <w:tc>
          <w:tcPr>
            <w:tcW w:w="2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97"/>
              </w:rPr>
              <w:t>(1.2)</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tcPr>
          <w:p>
            <w:pPr>
              <w:ind w:left="100"/>
              <w:spacing w:after="0"/>
              <w:rPr>
                <w:sz w:val="20"/>
                <w:szCs w:val="20"/>
                <w:color w:val="auto"/>
              </w:rPr>
            </w:pPr>
            <w:r>
              <w:rPr>
                <w:rFonts w:ascii="Arial" w:cs="Arial" w:eastAsia="Arial" w:hAnsi="Arial"/>
                <w:sz w:val="14"/>
                <w:szCs w:val="14"/>
                <w:b w:val="1"/>
                <w:bCs w:val="1"/>
                <w:color w:val="auto"/>
              </w:rPr>
              <w:t>Domestic research tax credit</w:t>
            </w: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(0.2)</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Other, net</w:t>
            </w:r>
          </w:p>
        </w:tc>
        <w:tc>
          <w:tcPr>
            <w:tcW w:w="2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97"/>
              </w:rPr>
              <w:t>(1.0)</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Consolidated effective tax rate</w:t>
            </w: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32.2%</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31.7%</w:t>
            </w:r>
          </w:p>
        </w:tc>
        <w:tc>
          <w:tcPr>
            <w:tcW w:w="52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25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58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276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2013</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65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2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65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Federal</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$ 75,815</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61,388</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$ 59,405</w:t>
            </w:r>
          </w:p>
        </w:tc>
        <w:tc>
          <w:tcPr>
            <w:tcW w:w="120" w:type="dxa"/>
            <w:vAlign w:val="bottom"/>
            <w:shd w:val="clear" w:color="auto" w:fill="CCEEFF"/>
          </w:tcPr>
          <w:p>
            <w:pPr>
              <w:spacing w:after="0"/>
              <w:rPr>
                <w:sz w:val="14"/>
                <w:szCs w:val="14"/>
                <w:color w:val="auto"/>
              </w:rPr>
            </w:pPr>
          </w:p>
        </w:tc>
        <w:tc>
          <w:tcPr>
            <w:tcW w:w="2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Pr>
          <w:p>
            <w:pPr>
              <w:ind w:left="60"/>
              <w:spacing w:after="0"/>
              <w:rPr>
                <w:sz w:val="20"/>
                <w:szCs w:val="20"/>
                <w:color w:val="auto"/>
              </w:rPr>
            </w:pPr>
            <w:r>
              <w:rPr>
                <w:rFonts w:ascii="Arial" w:cs="Arial" w:eastAsia="Arial" w:hAnsi="Arial"/>
                <w:sz w:val="14"/>
                <w:szCs w:val="14"/>
                <w:b w:val="1"/>
                <w:bCs w:val="1"/>
                <w:color w:val="auto"/>
              </w:rPr>
              <w:t>State</w:t>
            </w:r>
          </w:p>
        </w:tc>
        <w:tc>
          <w:tcPr>
            <w:tcW w:w="27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5,997</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5,108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6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Non-U.S</w:t>
            </w:r>
            <w:r>
              <w:rPr>
                <w:rFonts w:ascii="Arial" w:cs="Arial" w:eastAsia="Arial" w:hAnsi="Arial"/>
                <w:sz w:val="14"/>
                <w:szCs w:val="14"/>
                <w:color w:val="auto"/>
              </w:rPr>
              <w:t>.</w:t>
            </w:r>
          </w:p>
        </w:tc>
        <w:tc>
          <w:tcPr>
            <w:tcW w:w="27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3,672</w:t>
            </w: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120" w:type="dxa"/>
            <w:vAlign w:val="bottom"/>
            <w:shd w:val="clear" w:color="auto" w:fill="CCEEFF"/>
          </w:tcPr>
          <w:p>
            <w:pPr>
              <w:spacing w:after="0"/>
              <w:rPr>
                <w:sz w:val="14"/>
                <w:szCs w:val="14"/>
                <w:color w:val="auto"/>
              </w:rPr>
            </w:pPr>
          </w:p>
        </w:tc>
        <w:tc>
          <w:tcPr>
            <w:tcW w:w="2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6540" w:type="dxa"/>
            <w:vAlign w:val="bottom"/>
            <w:tcBorders>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b w:val="1"/>
                <w:bCs w:val="1"/>
                <w:color w:val="auto"/>
              </w:rPr>
              <w:t>Current provision</w:t>
            </w:r>
          </w:p>
        </w:tc>
        <w:tc>
          <w:tcPr>
            <w:tcW w:w="2760" w:type="dxa"/>
            <w:vAlign w:val="bottom"/>
            <w:tcBorders>
              <w:bottom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$ 85,484</w:t>
            </w:r>
          </w:p>
        </w:tc>
        <w:tc>
          <w:tcPr>
            <w:tcW w:w="140" w:type="dxa"/>
            <w:vAlign w:val="bottom"/>
            <w:tcBorders>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72,230</w:t>
            </w:r>
          </w:p>
        </w:tc>
        <w:tc>
          <w:tcPr>
            <w:tcW w:w="660" w:type="dxa"/>
            <w:vAlign w:val="bottom"/>
            <w:tcBorders>
              <w:bottom w:val="single" w:sz="8" w:color="auto"/>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$ 67,868</w:t>
            </w:r>
          </w:p>
        </w:tc>
        <w:tc>
          <w:tcPr>
            <w:tcW w:w="120" w:type="dxa"/>
            <w:vAlign w:val="bottom"/>
            <w:shd w:val="clear" w:color="auto" w:fill="CCEEFF"/>
          </w:tcPr>
          <w:p>
            <w:pPr>
              <w:spacing w:after="0"/>
              <w:rPr>
                <w:sz w:val="13"/>
                <w:szCs w:val="13"/>
                <w:color w:val="auto"/>
              </w:rPr>
            </w:pPr>
          </w:p>
        </w:tc>
        <w:tc>
          <w:tcPr>
            <w:tcW w:w="20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65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Federal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(3,047)</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(685)</w:t>
            </w:r>
          </w:p>
        </w:tc>
        <w:tc>
          <w:tcPr>
            <w:tcW w:w="2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Pr>
          <w:p>
            <w:pPr>
              <w:ind w:left="60"/>
              <w:spacing w:after="0"/>
              <w:rPr>
                <w:sz w:val="20"/>
                <w:szCs w:val="20"/>
                <w:color w:val="auto"/>
              </w:rPr>
            </w:pPr>
            <w:r>
              <w:rPr>
                <w:rFonts w:ascii="Arial" w:cs="Arial" w:eastAsia="Arial" w:hAnsi="Arial"/>
                <w:sz w:val="14"/>
                <w:szCs w:val="14"/>
                <w:b w:val="1"/>
                <w:bCs w:val="1"/>
                <w:color w:val="auto"/>
              </w:rPr>
              <w:t>State</w:t>
            </w: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(81)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65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Non-U.S</w:t>
            </w:r>
            <w:r>
              <w:rPr>
                <w:rFonts w:ascii="Arial" w:cs="Arial" w:eastAsia="Arial" w:hAnsi="Arial"/>
                <w:sz w:val="14"/>
                <w:szCs w:val="14"/>
                <w:color w:val="auto"/>
              </w:rPr>
              <w:t>.</w:t>
            </w:r>
          </w:p>
        </w:tc>
        <w:tc>
          <w:tcPr>
            <w:tcW w:w="2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(330)</w:t>
            </w:r>
          </w:p>
        </w:tc>
        <w:tc>
          <w:tcPr>
            <w:tcW w:w="2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Deferred benefit</w:t>
            </w:r>
          </w:p>
        </w:tc>
        <w:tc>
          <w:tcPr>
            <w:tcW w:w="2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(2,909)</w:t>
            </w:r>
          </w:p>
        </w:tc>
        <w:tc>
          <w:tcPr>
            <w:tcW w:w="1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(362)</w:t>
            </w:r>
          </w:p>
        </w:tc>
        <w:tc>
          <w:tcPr>
            <w:tcW w:w="78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(1,147)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65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provision for income taxes</w:t>
            </w:r>
          </w:p>
        </w:tc>
        <w:tc>
          <w:tcPr>
            <w:tcW w:w="2760" w:type="dxa"/>
            <w:vAlign w:val="bottom"/>
            <w:tcBorders>
              <w:top w:val="single" w:sz="8" w:color="auto"/>
              <w:bottom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$ 82,575</w:t>
            </w:r>
          </w:p>
        </w:tc>
        <w:tc>
          <w:tcPr>
            <w:tcW w:w="14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71,868</w:t>
            </w:r>
          </w:p>
        </w:tc>
        <w:tc>
          <w:tcPr>
            <w:tcW w:w="660" w:type="dxa"/>
            <w:vAlign w:val="bottom"/>
            <w:tcBorders>
              <w:top w:val="single" w:sz="8" w:color="auto"/>
              <w:bottom w:val="single" w:sz="8" w:color="auto"/>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$ 66,721</w:t>
            </w:r>
          </w:p>
        </w:tc>
        <w:tc>
          <w:tcPr>
            <w:tcW w:w="120" w:type="dxa"/>
            <w:vAlign w:val="bottom"/>
            <w:shd w:val="clear" w:color="auto" w:fill="CCEEFF"/>
          </w:tcPr>
          <w:p>
            <w:pPr>
              <w:spacing w:after="0"/>
              <w:rPr>
                <w:sz w:val="13"/>
                <w:szCs w:val="13"/>
                <w:color w:val="auto"/>
              </w:rPr>
            </w:pPr>
          </w:p>
        </w:tc>
        <w:tc>
          <w:tcPr>
            <w:tcW w:w="20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Earnings before income taxes were as follows:</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25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2013</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2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Pr>
          <w:p>
            <w:pPr>
              <w:ind w:left="100"/>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4"/>
                <w:szCs w:val="14"/>
                <w:color w:val="auto"/>
              </w:rPr>
              <w:t>.</w:t>
            </w:r>
          </w:p>
        </w:tc>
        <w:tc>
          <w:tcPr>
            <w:tcW w:w="2560" w:type="dxa"/>
            <w:vAlign w:val="bottom"/>
          </w:tcPr>
          <w:p>
            <w:pPr>
              <w:jc w:val="right"/>
              <w:ind w:right="8"/>
              <w:spacing w:after="0"/>
              <w:rPr>
                <w:sz w:val="20"/>
                <w:szCs w:val="20"/>
                <w:color w:val="auto"/>
              </w:rPr>
            </w:pPr>
            <w:r>
              <w:rPr>
                <w:rFonts w:ascii="Arial" w:cs="Arial" w:eastAsia="Arial" w:hAnsi="Arial"/>
                <w:sz w:val="14"/>
                <w:szCs w:val="14"/>
                <w:b w:val="1"/>
                <w:bCs w:val="1"/>
                <w:color w:val="auto"/>
              </w:rPr>
              <w:t>$239,501</w:t>
            </w:r>
          </w:p>
        </w:tc>
        <w:tc>
          <w:tcPr>
            <w:tcW w:w="840" w:type="dxa"/>
            <w:vAlign w:val="bottom"/>
            <w:gridSpan w:val="3"/>
          </w:tcPr>
          <w:p>
            <w:pPr>
              <w:jc w:val="right"/>
              <w:ind w:right="68"/>
              <w:spacing w:after="0"/>
              <w:rPr>
                <w:sz w:val="20"/>
                <w:szCs w:val="20"/>
                <w:color w:val="auto"/>
              </w:rPr>
            </w:pPr>
            <w:r>
              <w:rPr>
                <w:rFonts w:ascii="Arial" w:cs="Arial" w:eastAsia="Arial" w:hAnsi="Arial"/>
                <w:sz w:val="14"/>
                <w:szCs w:val="14"/>
                <w:color w:val="auto"/>
              </w:rPr>
              <w:t>$213,509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$189,206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r>
              <w:rPr>
                <w:rFonts w:ascii="Arial" w:cs="Arial" w:eastAsia="Arial" w:hAnsi="Arial"/>
                <w:sz w:val="14"/>
                <w:szCs w:val="14"/>
                <w:color w:val="auto"/>
              </w:rPr>
              <w:t>.</w:t>
            </w:r>
          </w:p>
        </w:tc>
        <w:tc>
          <w:tcPr>
            <w:tcW w:w="2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16,944</w:t>
            </w: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13,204</w:t>
            </w: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7,056</w:t>
            </w:r>
          </w:p>
        </w:tc>
        <w:tc>
          <w:tcPr>
            <w:tcW w:w="1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25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$256,445</w:t>
            </w:r>
          </w:p>
        </w:tc>
        <w:tc>
          <w:tcPr>
            <w:tcW w:w="840" w:type="dxa"/>
            <w:vAlign w:val="bottom"/>
            <w:tcBorders>
              <w:bottom w:val="single" w:sz="8" w:color="auto"/>
            </w:tcBorders>
            <w:gridSpan w:val="3"/>
          </w:tcPr>
          <w:p>
            <w:pPr>
              <w:jc w:val="right"/>
              <w:ind w:right="68"/>
              <w:spacing w:after="0" w:line="155" w:lineRule="exact"/>
              <w:rPr>
                <w:sz w:val="20"/>
                <w:szCs w:val="20"/>
                <w:color w:val="auto"/>
              </w:rPr>
            </w:pPr>
            <w:r>
              <w:rPr>
                <w:rFonts w:ascii="Arial" w:cs="Arial" w:eastAsia="Arial" w:hAnsi="Arial"/>
                <w:sz w:val="14"/>
                <w:szCs w:val="14"/>
                <w:color w:val="auto"/>
              </w:rPr>
              <w:t>$226,713</w:t>
            </w:r>
          </w:p>
        </w:tc>
        <w:tc>
          <w:tcPr>
            <w:tcW w:w="6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$196,262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40" w:firstLine="146"/>
        <w:spacing w:after="0" w:line="239" w:lineRule="auto"/>
        <w:rPr>
          <w:sz w:val="20"/>
          <w:szCs w:val="20"/>
          <w:color w:val="auto"/>
        </w:rPr>
      </w:pPr>
      <w:r>
        <w:rPr>
          <w:rFonts w:ascii="Arial" w:cs="Arial" w:eastAsia="Arial" w:hAnsi="Arial"/>
          <w:sz w:val="18"/>
          <w:szCs w:val="18"/>
          <w:color w:val="auto"/>
        </w:rPr>
        <w:t>During the fiscal years ended October 31, 2014, 2013, and 2012, respectively, $8,857, $6,134, and $9,017 was added to stockholders' equity reflecting the permanent book to tax difference in accounting for tax benefits related to employee stock-based award transactions.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6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37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37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Arial" w:cs="Arial" w:eastAsia="Arial" w:hAnsi="Arial"/>
                <w:sz w:val="14"/>
                <w:szCs w:val="14"/>
                <w:b w:val="1"/>
                <w:bCs w:val="1"/>
                <w:color w:val="auto"/>
              </w:rPr>
              <w:t>Allowance for doubtful accounts</w:t>
            </w:r>
          </w:p>
        </w:tc>
        <w:tc>
          <w:tcPr>
            <w:tcW w:w="3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858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1,635</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Inventory items</w:t>
            </w:r>
          </w:p>
        </w:tc>
        <w:tc>
          <w:tcPr>
            <w:tcW w:w="37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Arial" w:cs="Arial" w:eastAsia="Arial" w:hAnsi="Arial"/>
                <w:sz w:val="14"/>
                <w:szCs w:val="14"/>
                <w:b w:val="1"/>
                <w:bCs w:val="1"/>
                <w:color w:val="auto"/>
              </w:rPr>
              <w:t>Compensation and other accruals</w:t>
            </w:r>
          </w:p>
        </w:tc>
        <w:tc>
          <w:tcPr>
            <w:tcW w:w="37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40,932</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38,168</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Employee benefits</w:t>
            </w:r>
          </w:p>
        </w:tc>
        <w:tc>
          <w:tcPr>
            <w:tcW w:w="37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7"/>
              </w:rPr>
              <w:t>20,374</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18,315</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Arial" w:cs="Arial" w:eastAsia="Arial" w:hAnsi="Arial"/>
                <w:sz w:val="14"/>
                <w:szCs w:val="14"/>
                <w:b w:val="1"/>
                <w:bCs w:val="1"/>
                <w:color w:val="auto"/>
              </w:rPr>
              <w:t>Depreciation</w:t>
            </w:r>
          </w:p>
        </w:tc>
        <w:tc>
          <w:tcPr>
            <w:tcW w:w="378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3,093</w:t>
            </w:r>
          </w:p>
        </w:tc>
        <w:tc>
          <w:tcPr>
            <w:tcW w:w="1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(2,467)</w:t>
            </w:r>
          </w:p>
        </w:tc>
      </w:tr>
      <w:tr>
        <w:trPr>
          <w:trHeight w:val="162"/>
        </w:trPr>
        <w:tc>
          <w:tcPr>
            <w:tcW w:w="20" w:type="dxa"/>
            <w:vAlign w:val="bottom"/>
          </w:tcPr>
          <w:p>
            <w:pPr>
              <w:spacing w:after="0"/>
              <w:rPr>
                <w:sz w:val="14"/>
                <w:szCs w:val="14"/>
                <w:color w:val="auto"/>
              </w:rPr>
            </w:pPr>
          </w:p>
        </w:tc>
        <w:tc>
          <w:tcPr>
            <w:tcW w:w="6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Other</w:t>
            </w:r>
          </w:p>
        </w:tc>
        <w:tc>
          <w:tcPr>
            <w:tcW w:w="3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3,734</w:t>
            </w: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w:t>
            </w:r>
          </w:p>
        </w:tc>
        <w:tc>
          <w:tcPr>
            <w:tcW w:w="1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3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72,909</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65,170</w:t>
            </w:r>
          </w:p>
        </w:tc>
        <w:tc>
          <w:tcPr>
            <w:tcW w:w="18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Valuation allowance</w:t>
            </w:r>
          </w:p>
        </w:tc>
        <w:tc>
          <w:tcPr>
            <w:tcW w:w="3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(5,572)</w:t>
            </w:r>
          </w:p>
        </w:tc>
      </w:tr>
      <w:tr>
        <w:trPr>
          <w:trHeight w:val="156"/>
        </w:trPr>
        <w:tc>
          <w:tcPr>
            <w:tcW w:w="20" w:type="dxa"/>
            <w:vAlign w:val="bottom"/>
            <w:tcBorders>
              <w:bottom w:val="single" w:sz="8" w:color="auto"/>
            </w:tcBorders>
          </w:tcPr>
          <w:p>
            <w:pPr>
              <w:spacing w:after="0"/>
              <w:rPr>
                <w:sz w:val="13"/>
                <w:szCs w:val="13"/>
                <w:color w:val="auto"/>
              </w:rPr>
            </w:pPr>
          </w:p>
        </w:tc>
        <w:tc>
          <w:tcPr>
            <w:tcW w:w="60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Net deferred tax assets</w:t>
            </w:r>
          </w:p>
        </w:tc>
        <w:tc>
          <w:tcPr>
            <w:tcW w:w="3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68,897</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59,598</w:t>
            </w:r>
          </w:p>
        </w:tc>
        <w:tc>
          <w:tcPr>
            <w:tcW w:w="180" w:type="dxa"/>
            <w:vAlign w:val="bottom"/>
          </w:tcPr>
          <w:p>
            <w:pPr>
              <w:spacing w:after="0"/>
              <w:rPr>
                <w:sz w:val="13"/>
                <w:szCs w:val="13"/>
                <w:color w:val="auto"/>
              </w:rPr>
            </w:pPr>
          </w:p>
        </w:tc>
      </w:tr>
    </w:tbl>
    <w:p>
      <w:pPr>
        <w:spacing w:after="0" w:line="219" w:lineRule="exact"/>
        <w:rPr>
          <w:sz w:val="20"/>
          <w:szCs w:val="20"/>
          <w:color w:val="auto"/>
        </w:rPr>
      </w:pPr>
    </w:p>
    <w:p>
      <w:pPr>
        <w:ind w:right="740" w:firstLine="143"/>
        <w:spacing w:after="0" w:line="239" w:lineRule="auto"/>
        <w:rPr>
          <w:sz w:val="20"/>
          <w:szCs w:val="20"/>
          <w:color w:val="auto"/>
        </w:rPr>
      </w:pPr>
      <w:r>
        <w:rPr>
          <w:rFonts w:ascii="Arial" w:cs="Arial" w:eastAsia="Arial" w:hAnsi="Arial"/>
          <w:sz w:val="18"/>
          <w:szCs w:val="18"/>
          <w:color w:val="auto"/>
        </w:rPr>
        <w:t>The valuation allowance as of October 31, 2014 and 2013 principally applies to capital loss carryforwards and foreign net operating loss carryforwards that are expected to expire prior to utilization.</w:t>
      </w:r>
    </w:p>
    <w:p>
      <w:pPr>
        <w:spacing w:after="0" w:line="209" w:lineRule="exact"/>
        <w:rPr>
          <w:sz w:val="20"/>
          <w:szCs w:val="20"/>
          <w:color w:val="auto"/>
        </w:rPr>
      </w:pPr>
    </w:p>
    <w:p>
      <w:pPr>
        <w:ind w:firstLine="137"/>
        <w:spacing w:after="0" w:line="238" w:lineRule="auto"/>
        <w:rPr>
          <w:sz w:val="20"/>
          <w:szCs w:val="20"/>
          <w:color w:val="auto"/>
        </w:rPr>
      </w:pPr>
      <w:r>
        <w:rPr>
          <w:rFonts w:ascii="Arial" w:cs="Arial" w:eastAsia="Arial" w:hAnsi="Arial"/>
          <w:sz w:val="18"/>
          <w:szCs w:val="18"/>
          <w:color w:val="auto"/>
        </w:rPr>
        <w:t>As of October 31, 2014, the company had net operating loss carryforwards of approximately $23,786 in foreign jurisdictions. The carryforward periods on the company's foreign loss carryforwards are as follows: $10,740 that do not expire; none that expire in fiscal years 2015 thru 2018; and $13,046 that expire between fiscal years 2019 and 2022.</w:t>
      </w:r>
    </w:p>
    <w:p>
      <w:pPr>
        <w:spacing w:after="0" w:line="208" w:lineRule="exact"/>
        <w:rPr>
          <w:sz w:val="20"/>
          <w:szCs w:val="20"/>
          <w:color w:val="auto"/>
        </w:rPr>
      </w:pPr>
    </w:p>
    <w:p>
      <w:pPr>
        <w:ind w:right="160" w:firstLine="137"/>
        <w:spacing w:after="0" w:line="239" w:lineRule="auto"/>
        <w:rPr>
          <w:sz w:val="20"/>
          <w:szCs w:val="20"/>
          <w:color w:val="auto"/>
        </w:rPr>
      </w:pPr>
      <w:r>
        <w:rPr>
          <w:rFonts w:ascii="Arial" w:cs="Arial" w:eastAsia="Arial" w:hAnsi="Arial"/>
          <w:sz w:val="18"/>
          <w:szCs w:val="18"/>
          <w:color w:val="auto"/>
        </w:rPr>
        <w:t>As of October 31, 2014, the company had approximately $64,513 of accumulated undistributed earnings from subsidiaries outside the U.S. that are considered to be reinvested indefinitely. No deferred tax liability has been provided for such earnings.</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2013</w:t>
            </w:r>
          </w:p>
        </w:tc>
        <w:tc>
          <w:tcPr>
            <w:tcW w:w="3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$ 4,506</w:t>
            </w:r>
          </w:p>
        </w:tc>
        <w:tc>
          <w:tcPr>
            <w:tcW w:w="18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Decrease as a result of tax positions taken during a prior period</w:t>
            </w:r>
          </w:p>
        </w:tc>
        <w:tc>
          <w:tcPr>
            <w:tcW w:w="3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(164</w:t>
            </w: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Increase as a result of tax positions taken during the current period</w:t>
            </w:r>
          </w:p>
        </w:tc>
        <w:tc>
          <w:tcPr>
            <w:tcW w:w="3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Decrease relating to settlements with taxing authorities</w:t>
            </w:r>
          </w:p>
        </w:tc>
        <w:tc>
          <w:tcPr>
            <w:tcW w:w="3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(26</w:t>
            </w: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5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October 31, 2014</w:t>
            </w:r>
          </w:p>
        </w:tc>
        <w:tc>
          <w:tcPr>
            <w:tcW w:w="3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$ 5,042</w:t>
            </w:r>
          </w:p>
        </w:tc>
        <w:tc>
          <w:tcPr>
            <w:tcW w:w="18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Included in the balance of unrecognized tax benefits as of October 31, 2014 are potential benefits of $3,655 that, if recognized, would affect the effective tax rate from continuing operations.</w:t>
      </w:r>
    </w:p>
    <w:p>
      <w:pPr>
        <w:spacing w:after="0" w:line="209" w:lineRule="exact"/>
        <w:rPr>
          <w:sz w:val="20"/>
          <w:szCs w:val="20"/>
          <w:color w:val="auto"/>
        </w:rPr>
      </w:pPr>
    </w:p>
    <w:p>
      <w:pPr>
        <w:ind w:right="140" w:firstLine="143"/>
        <w:spacing w:after="0" w:line="237"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as a component of the provision for income taxes. In addition to the liability of $5,042 for unrecognized tax benefits as of October 31, 2014 was an amount of approximately $134 for accrued interest and penalties. To the extent interest and penalties are not assessed with respect to uncertain tax positions, the amounts accrued will be revised and reflected as an adjustment to the provision for income taxes.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anticipates that total unrecognized tax benefits will not change significantly within the next 12 months.</w:t>
      </w:r>
    </w:p>
    <w:p>
      <w:pPr>
        <w:spacing w:after="0" w:line="212" w:lineRule="exact"/>
        <w:rPr>
          <w:sz w:val="20"/>
          <w:szCs w:val="20"/>
          <w:color w:val="auto"/>
        </w:rPr>
      </w:pPr>
    </w:p>
    <w:p>
      <w:pPr>
        <w:ind w:right="200" w:firstLine="143"/>
        <w:spacing w:after="0" w:line="238" w:lineRule="auto"/>
        <w:rPr>
          <w:sz w:val="20"/>
          <w:szCs w:val="20"/>
          <w:color w:val="auto"/>
        </w:rPr>
      </w:pPr>
      <w:r>
        <w:rPr>
          <w:rFonts w:ascii="Arial" w:cs="Arial" w:eastAsia="Arial" w:hAnsi="Arial"/>
          <w:sz w:val="18"/>
          <w:szCs w:val="18"/>
          <w:color w:val="auto"/>
        </w:rPr>
        <w:t>The company is subject to U.S. federal income tax as well as income tax of numerous state and foreign jurisdictions. The company is generally no longer subject to U.S. federal tax examinations for taxable years before fiscal 2010 and with limited exceptions, state and foreign income tax examinations for fiscal years before 2009.</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10</w:t>
      </w:r>
      <w:r>
        <w:rPr>
          <w:sz w:val="20"/>
          <w:szCs w:val="20"/>
          <w:color w:val="auto"/>
        </w:rPr>
        <w:tab/>
      </w:r>
      <w:r>
        <w:rPr>
          <w:rFonts w:ascii="Arial" w:cs="Arial" w:eastAsia="Arial" w:hAnsi="Arial"/>
          <w:sz w:val="21"/>
          <w:szCs w:val="21"/>
          <w:b w:val="1"/>
          <w:bCs w:val="1"/>
          <w:color w:val="auto"/>
        </w:rPr>
        <w:t>STOCK-BASED COMPENSATION PLANS</w:t>
      </w:r>
    </w:p>
    <w:p>
      <w:pPr>
        <w:spacing w:after="0" w:line="278"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The company maintains The Toro Company 2010 Equity and Incentive Plan, as amended ("the plan"), for officers, other employees, and non-employee members of the company's Board of Directors. This plan allows the company to grant equity-based compensation awards, including stock options, restricted stock and restricted stock units, and performance share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6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 option awards</w:t>
            </w:r>
          </w:p>
        </w:tc>
        <w:tc>
          <w:tcPr>
            <w:tcW w:w="2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5,142</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4,710</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4,200</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Restricted stock and restricted stock units</w:t>
            </w:r>
          </w:p>
        </w:tc>
        <w:tc>
          <w:tcPr>
            <w:tcW w:w="224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1,653</w:t>
            </w:r>
          </w:p>
        </w:tc>
        <w:tc>
          <w:tcPr>
            <w:tcW w:w="1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1,694</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Performance share awards</w:t>
            </w:r>
          </w:p>
        </w:tc>
        <w:tc>
          <w:tcPr>
            <w:tcW w:w="2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4,496</w:t>
            </w: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3,833</w:t>
            </w: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6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compensation cost for stock-based awards</w:t>
            </w:r>
          </w:p>
        </w:tc>
        <w:tc>
          <w:tcPr>
            <w:tcW w:w="2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11,291</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10,237</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9,503</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Tax benefit realized for tax deductions from stock-based awards</w:t>
            </w:r>
          </w:p>
        </w:tc>
        <w:tc>
          <w:tcPr>
            <w:tcW w:w="2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12,988</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10,614</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13,266</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100" w:firstLine="143"/>
        <w:spacing w:after="0" w:line="238" w:lineRule="auto"/>
        <w:rPr>
          <w:sz w:val="20"/>
          <w:szCs w:val="20"/>
          <w:color w:val="auto"/>
        </w:rPr>
      </w:pPr>
      <w:r>
        <w:rPr>
          <w:rFonts w:ascii="Arial" w:cs="Arial" w:eastAsia="Arial" w:hAnsi="Arial"/>
          <w:sz w:val="18"/>
          <w:szCs w:val="18"/>
          <w:color w:val="auto"/>
        </w:rPr>
        <w:t>The number of unissued shares of common stock available for future equity-based grants under the company's equity-based compensation plan was 3,474,967 as of October 31, 2014. Shares of common stock issued upon exercise or settlement of stock options, restricted stock and restricted stock units, and performance shares are issued from treasury shares.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Under the plan, stock options are granted with an exercise price equal to the closing price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w:t>
      </w:r>
    </w:p>
    <w:p>
      <w:pPr>
        <w:sectPr>
          <w:pgSz w:w="11900" w:h="16838" w:orient="portrait"/>
          <w:cols w:equalWidth="0" w:num="1">
            <w:col w:w="11420"/>
          </w:cols>
          <w:pgMar w:left="240" w:top="143" w:right="239" w:bottom="645"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645"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presents stock option activity for fiscal 2014:</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75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Weighted-</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Weighted-</w:t>
            </w: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75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Average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75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Option</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Exercise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Intrinsic</w:t>
            </w:r>
          </w:p>
        </w:tc>
      </w:tr>
      <w:tr>
        <w:trPr>
          <w:trHeight w:val="157"/>
        </w:trPr>
        <w:tc>
          <w:tcPr>
            <w:tcW w:w="758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3"/>
                <w:szCs w:val="13"/>
                <w:color w:val="auto"/>
              </w:rPr>
            </w:pP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Price</w:t>
            </w:r>
          </w:p>
        </w:tc>
        <w:tc>
          <w:tcPr>
            <w:tcW w:w="920" w:type="dxa"/>
            <w:vAlign w:val="bottom"/>
          </w:tcPr>
          <w:p>
            <w:pPr>
              <w:jc w:val="right"/>
              <w:ind w:right="8"/>
              <w:spacing w:after="0" w:line="157" w:lineRule="exact"/>
              <w:rPr>
                <w:sz w:val="20"/>
                <w:szCs w:val="20"/>
                <w:color w:val="auto"/>
              </w:rPr>
            </w:pPr>
            <w:r>
              <w:rPr>
                <w:rFonts w:ascii="Arial" w:cs="Arial" w:eastAsia="Arial" w:hAnsi="Arial"/>
                <w:sz w:val="14"/>
                <w:szCs w:val="14"/>
                <w:color w:val="auto"/>
              </w:rPr>
              <w:t>Life(years)</w:t>
            </w:r>
          </w:p>
        </w:tc>
        <w:tc>
          <w:tcPr>
            <w:tcW w:w="180" w:type="dxa"/>
            <w:vAlign w:val="bottom"/>
          </w:tcPr>
          <w:p>
            <w:pPr>
              <w:spacing w:after="0"/>
              <w:rPr>
                <w:sz w:val="13"/>
                <w:szCs w:val="13"/>
                <w:color w:val="auto"/>
              </w:rPr>
            </w:pPr>
          </w:p>
        </w:tc>
        <w:tc>
          <w:tcPr>
            <w:tcW w:w="68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Value</w:t>
            </w:r>
          </w:p>
        </w:tc>
      </w:tr>
      <w:tr>
        <w:trPr>
          <w:trHeight w:val="156"/>
        </w:trPr>
        <w:tc>
          <w:tcPr>
            <w:tcW w:w="7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as of October 31, 2013</w:t>
            </w:r>
          </w:p>
        </w:tc>
        <w:tc>
          <w:tcPr>
            <w:tcW w:w="800" w:type="dxa"/>
            <w:vAlign w:val="bottom"/>
            <w:tcBorders>
              <w:top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3,069,778</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25.55</w:t>
            </w:r>
          </w:p>
        </w:tc>
        <w:tc>
          <w:tcPr>
            <w:tcW w:w="9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5.9</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102,493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758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288,832</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59.45</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7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(302,266)</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22.19</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7580" w:type="dxa"/>
            <w:vAlign w:val="bottom"/>
          </w:tcPr>
          <w:p>
            <w:pPr>
              <w:spacing w:after="0"/>
              <w:rPr>
                <w:sz w:val="20"/>
                <w:szCs w:val="20"/>
                <w:color w:val="auto"/>
              </w:rPr>
            </w:pPr>
            <w:r>
              <w:rPr>
                <w:rFonts w:ascii="Arial" w:cs="Arial" w:eastAsia="Arial" w:hAnsi="Arial"/>
                <w:sz w:val="14"/>
                <w:szCs w:val="14"/>
                <w:b w:val="1"/>
                <w:bCs w:val="1"/>
                <w:color w:val="auto"/>
              </w:rPr>
              <w:t>Cancelled</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(6,692)</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59.50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75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Outstanding as of October 31, 2014</w:t>
            </w:r>
          </w:p>
        </w:tc>
        <w:tc>
          <w:tcPr>
            <w:tcW w:w="8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b w:val="1"/>
                <w:bCs w:val="1"/>
                <w:color w:val="auto"/>
              </w:rPr>
              <w:t>3,049,652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29.04</w:t>
            </w:r>
          </w:p>
        </w:tc>
        <w:tc>
          <w:tcPr>
            <w:tcW w:w="9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99,713</w:t>
            </w:r>
          </w:p>
        </w:tc>
        <w:tc>
          <w:tcPr>
            <w:tcW w:w="140" w:type="dxa"/>
            <w:vAlign w:val="bottom"/>
            <w:shd w:val="clear" w:color="auto" w:fill="CCEEFF"/>
          </w:tcPr>
          <w:p>
            <w:pPr>
              <w:spacing w:after="0"/>
              <w:rPr>
                <w:sz w:val="13"/>
                <w:szCs w:val="13"/>
                <w:color w:val="auto"/>
              </w:rPr>
            </w:pPr>
          </w:p>
        </w:tc>
      </w:tr>
      <w:tr>
        <w:trPr>
          <w:trHeight w:val="156"/>
        </w:trPr>
        <w:tc>
          <w:tcPr>
            <w:tcW w:w="75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Exercisable as of October 31, 2014</w:t>
            </w:r>
          </w:p>
        </w:tc>
        <w:tc>
          <w:tcPr>
            <w:tcW w:w="80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2,338,853</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23.98</w:t>
            </w:r>
          </w:p>
        </w:tc>
        <w:tc>
          <w:tcPr>
            <w:tcW w:w="9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88,289</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bl>
    <w:p>
      <w:pPr>
        <w:spacing w:after="0" w:line="219"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2014, there was $1,855 of total unrecognized compensation expense related to unvested stock options. That cost is expected to be recognized over a weighted-average period of 1.9 years.</w:t>
      </w:r>
    </w:p>
    <w:p>
      <w:pPr>
        <w:spacing w:after="0" w:line="209" w:lineRule="exact"/>
        <w:rPr>
          <w:sz w:val="20"/>
          <w:szCs w:val="20"/>
          <w:color w:val="auto"/>
        </w:rPr>
      </w:pPr>
    </w:p>
    <w:p>
      <w:pPr>
        <w:ind w:right="220" w:firstLine="143"/>
        <w:spacing w:after="0" w:line="239" w:lineRule="auto"/>
        <w:rPr>
          <w:sz w:val="20"/>
          <w:szCs w:val="20"/>
          <w:color w:val="auto"/>
        </w:rPr>
      </w:pPr>
      <w:r>
        <w:rPr>
          <w:rFonts w:ascii="Arial" w:cs="Arial" w:eastAsia="Arial" w:hAnsi="Arial"/>
          <w:sz w:val="18"/>
          <w:szCs w:val="18"/>
          <w:color w:val="auto"/>
        </w:rPr>
        <w:t>The table below presents the total market value of stock options exercised and the total intrinsic value of options exercised during the following fiscal years: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value of stock options exercised</w:t>
            </w:r>
          </w:p>
        </w:tc>
        <w:tc>
          <w:tcPr>
            <w:tcW w:w="3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$ 19,017</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$ 23,160</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$ 35,901</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Intrinsic value of options exercised</w:t>
            </w:r>
          </w:p>
        </w:tc>
        <w:tc>
          <w:tcPr>
            <w:tcW w:w="3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12,311</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13,875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16,061</w:t>
            </w:r>
          </w:p>
        </w:tc>
        <w:tc>
          <w:tcPr>
            <w:tcW w:w="160" w:type="dxa"/>
            <w:vAlign w:val="bottom"/>
          </w:tcPr>
          <w:p>
            <w:pPr>
              <w:spacing w:after="0"/>
              <w:rPr>
                <w:sz w:val="14"/>
                <w:szCs w:val="14"/>
                <w:color w:val="auto"/>
              </w:rPr>
            </w:pPr>
          </w:p>
        </w:tc>
      </w:tr>
    </w:tbl>
    <w:p>
      <w:pPr>
        <w:spacing w:after="0" w:line="219" w:lineRule="exact"/>
        <w:rPr>
          <w:sz w:val="20"/>
          <w:szCs w:val="20"/>
          <w:color w:val="auto"/>
        </w:rPr>
      </w:pPr>
    </w:p>
    <w:p>
      <w:pPr>
        <w:ind w:right="40" w:firstLine="143"/>
        <w:spacing w:after="0" w:line="235" w:lineRule="auto"/>
        <w:rPr>
          <w:sz w:val="20"/>
          <w:szCs w:val="20"/>
          <w:color w:val="auto"/>
        </w:rPr>
      </w:pPr>
      <w:r>
        <w:rPr>
          <w:rFonts w:ascii="Arial" w:cs="Arial" w:eastAsia="Arial" w:hAnsi="Arial"/>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illustrates the valuation assumptions of stock-based compensation for the following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460" w:type="dxa"/>
            <w:vAlign w:val="bottom"/>
            <w:tcBorders>
              <w:top w:val="single" w:sz="8" w:color="auto"/>
            </w:tcBorders>
          </w:tcPr>
          <w:p>
            <w:pPr>
              <w:jc w:val="center"/>
              <w:ind w:left="2428"/>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rPr>
              <w:t>2013</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2012</w:t>
            </w:r>
          </w:p>
        </w:tc>
      </w:tr>
      <w:tr>
        <w:trPr>
          <w:trHeight w:val="156"/>
        </w:trPr>
        <w:tc>
          <w:tcPr>
            <w:tcW w:w="20" w:type="dxa"/>
            <w:vAlign w:val="bottom"/>
          </w:tcPr>
          <w:p>
            <w:pPr>
              <w:spacing w:after="0"/>
              <w:rPr>
                <w:sz w:val="13"/>
                <w:szCs w:val="13"/>
                <w:color w:val="auto"/>
              </w:rPr>
            </w:pPr>
          </w:p>
        </w:tc>
        <w:tc>
          <w:tcPr>
            <w:tcW w:w="56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Expected life of option in years</w:t>
            </w:r>
          </w:p>
        </w:tc>
        <w:tc>
          <w:tcPr>
            <w:tcW w:w="3460" w:type="dxa"/>
            <w:vAlign w:val="bottom"/>
            <w:tcBorders>
              <w:top w:val="single" w:sz="8" w:color="auto"/>
            </w:tcBorders>
            <w:shd w:val="clear" w:color="auto" w:fill="CCEEFF"/>
          </w:tcPr>
          <w:p>
            <w:pPr>
              <w:jc w:val="center"/>
              <w:ind w:left="2428"/>
              <w:spacing w:after="0" w:line="155" w:lineRule="exact"/>
              <w:rPr>
                <w:sz w:val="20"/>
                <w:szCs w:val="20"/>
                <w:color w:val="auto"/>
              </w:rPr>
            </w:pPr>
            <w:r>
              <w:rPr>
                <w:rFonts w:ascii="Arial" w:cs="Arial" w:eastAsia="Arial" w:hAnsi="Arial"/>
                <w:sz w:val="14"/>
                <w:szCs w:val="14"/>
                <w:b w:val="1"/>
                <w:bCs w:val="1"/>
                <w:color w:val="auto"/>
              </w:rPr>
              <w:t>6</w:t>
            </w:r>
          </w:p>
        </w:tc>
        <w:tc>
          <w:tcPr>
            <w:tcW w:w="1240" w:type="dxa"/>
            <w:vAlign w:val="bottom"/>
            <w:tcBorders>
              <w:top w:val="single" w:sz="8" w:color="auto"/>
            </w:tcBorders>
            <w:shd w:val="clear" w:color="auto" w:fill="CCEEFF"/>
          </w:tcPr>
          <w:p>
            <w:pPr>
              <w:jc w:val="center"/>
              <w:ind w:left="8"/>
              <w:spacing w:after="0" w:line="155" w:lineRule="exact"/>
              <w:rPr>
                <w:sz w:val="20"/>
                <w:szCs w:val="20"/>
                <w:color w:val="auto"/>
              </w:rPr>
            </w:pPr>
            <w:r>
              <w:rPr>
                <w:rFonts w:ascii="Arial" w:cs="Arial" w:eastAsia="Arial" w:hAnsi="Arial"/>
                <w:sz w:val="14"/>
                <w:szCs w:val="14"/>
                <w:color w:val="auto"/>
              </w:rPr>
              <w:t>6</w:t>
            </w:r>
          </w:p>
        </w:tc>
        <w:tc>
          <w:tcPr>
            <w:tcW w:w="10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46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rPr>
              <w:t>34.28% –</w:t>
            </w:r>
          </w:p>
        </w:tc>
        <w:tc>
          <w:tcPr>
            <w:tcW w:w="1240" w:type="dxa"/>
            <w:vAlign w:val="bottom"/>
          </w:tcPr>
          <w:p>
            <w:pPr>
              <w:jc w:val="center"/>
              <w:ind w:left="8"/>
              <w:spacing w:after="0" w:line="149" w:lineRule="exact"/>
              <w:rPr>
                <w:sz w:val="20"/>
                <w:szCs w:val="20"/>
                <w:color w:val="auto"/>
              </w:rPr>
            </w:pPr>
            <w:r>
              <w:rPr>
                <w:rFonts w:ascii="Arial" w:cs="Arial" w:eastAsia="Arial" w:hAnsi="Arial"/>
                <w:sz w:val="14"/>
                <w:szCs w:val="14"/>
                <w:color w:val="auto"/>
              </w:rPr>
              <w:t>35.18% –</w:t>
            </w:r>
          </w:p>
        </w:tc>
        <w:tc>
          <w:tcPr>
            <w:tcW w:w="1060" w:type="dxa"/>
            <w:vAlign w:val="bottom"/>
          </w:tcPr>
          <w:p>
            <w:pPr>
              <w:jc w:val="center"/>
              <w:ind w:left="8"/>
              <w:spacing w:after="0" w:line="149" w:lineRule="exact"/>
              <w:rPr>
                <w:sz w:val="20"/>
                <w:szCs w:val="20"/>
                <w:color w:val="auto"/>
              </w:rPr>
            </w:pPr>
            <w:r>
              <w:rPr>
                <w:rFonts w:ascii="Arial" w:cs="Arial" w:eastAsia="Arial" w:hAnsi="Arial"/>
                <w:sz w:val="14"/>
                <w:szCs w:val="14"/>
                <w:color w:val="auto"/>
              </w:rPr>
              <w:t>34.87% –</w:t>
            </w:r>
          </w:p>
        </w:tc>
      </w:tr>
      <w:tr>
        <w:trPr>
          <w:trHeight w:val="17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Expected volatility</w:t>
            </w:r>
          </w:p>
        </w:tc>
        <w:tc>
          <w:tcPr>
            <w:tcW w:w="3460" w:type="dxa"/>
            <w:vAlign w:val="bottom"/>
          </w:tcPr>
          <w:p>
            <w:pPr>
              <w:jc w:val="right"/>
              <w:ind w:right="148"/>
              <w:spacing w:after="0"/>
              <w:rPr>
                <w:sz w:val="20"/>
                <w:szCs w:val="20"/>
                <w:color w:val="auto"/>
              </w:rPr>
            </w:pPr>
            <w:r>
              <w:rPr>
                <w:rFonts w:ascii="Arial" w:cs="Arial" w:eastAsia="Arial" w:hAnsi="Arial"/>
                <w:sz w:val="14"/>
                <w:szCs w:val="14"/>
                <w:b w:val="1"/>
                <w:bCs w:val="1"/>
                <w:color w:val="auto"/>
              </w:rPr>
              <w:t>34.42%</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35.19%</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35.02%</w:t>
            </w: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volatility</w:t>
            </w:r>
          </w:p>
        </w:tc>
        <w:tc>
          <w:tcPr>
            <w:tcW w:w="3460" w:type="dxa"/>
            <w:vAlign w:val="bottom"/>
            <w:shd w:val="clear" w:color="auto" w:fill="CCEEFF"/>
          </w:tcPr>
          <w:p>
            <w:pPr>
              <w:jc w:val="center"/>
              <w:ind w:left="2428"/>
              <w:spacing w:after="0"/>
              <w:rPr>
                <w:sz w:val="20"/>
                <w:szCs w:val="20"/>
                <w:color w:val="auto"/>
              </w:rPr>
            </w:pPr>
            <w:r>
              <w:rPr>
                <w:rFonts w:ascii="Arial" w:cs="Arial" w:eastAsia="Arial" w:hAnsi="Arial"/>
                <w:sz w:val="14"/>
                <w:szCs w:val="14"/>
                <w:b w:val="1"/>
                <w:bCs w:val="1"/>
                <w:color w:val="auto"/>
              </w:rPr>
              <w:t>34.29%</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35.19%</w:t>
            </w:r>
          </w:p>
        </w:tc>
        <w:tc>
          <w:tcPr>
            <w:tcW w:w="10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35.01%</w:t>
            </w: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b w:val="1"/>
                <w:bCs w:val="1"/>
                <w:color w:val="auto"/>
              </w:rPr>
              <w:t>Risk-free interest rate</w:t>
            </w:r>
          </w:p>
        </w:tc>
        <w:tc>
          <w:tcPr>
            <w:tcW w:w="3460" w:type="dxa"/>
            <w:vAlign w:val="bottom"/>
          </w:tcPr>
          <w:p>
            <w:pPr>
              <w:jc w:val="center"/>
              <w:ind w:left="2428"/>
              <w:spacing w:after="0"/>
              <w:rPr>
                <w:sz w:val="20"/>
                <w:szCs w:val="20"/>
                <w:color w:val="auto"/>
              </w:rPr>
            </w:pPr>
            <w:r>
              <w:rPr>
                <w:rFonts w:ascii="Arial" w:cs="Arial" w:eastAsia="Arial" w:hAnsi="Arial"/>
                <w:sz w:val="14"/>
                <w:szCs w:val="14"/>
                <w:b w:val="1"/>
                <w:bCs w:val="1"/>
                <w:color w:val="auto"/>
              </w:rPr>
              <w:t>1.92%</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0.88%</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rPr>
              <w:t>1.20%</w:t>
            </w: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3460" w:type="dxa"/>
            <w:vAlign w:val="bottom"/>
            <w:shd w:val="clear" w:color="auto" w:fill="CCEEFF"/>
          </w:tcPr>
          <w:p>
            <w:pPr>
              <w:jc w:val="center"/>
              <w:ind w:left="2428"/>
              <w:spacing w:after="0" w:line="149" w:lineRule="exact"/>
              <w:rPr>
                <w:sz w:val="20"/>
                <w:szCs w:val="20"/>
                <w:color w:val="auto"/>
              </w:rPr>
            </w:pPr>
            <w:r>
              <w:rPr>
                <w:rFonts w:ascii="Arial" w:cs="Arial" w:eastAsia="Arial" w:hAnsi="Arial"/>
                <w:sz w:val="14"/>
                <w:szCs w:val="14"/>
                <w:b w:val="1"/>
                <w:bCs w:val="1"/>
                <w:color w:val="auto"/>
              </w:rPr>
              <w:t>1.25% –</w:t>
            </w:r>
          </w:p>
        </w:tc>
        <w:tc>
          <w:tcPr>
            <w:tcW w:w="1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Expected dividend yield</w:t>
            </w:r>
          </w:p>
        </w:tc>
        <w:tc>
          <w:tcPr>
            <w:tcW w:w="34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1.27%</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1.04% – 1.07%</w:t>
            </w:r>
          </w:p>
        </w:tc>
        <w:tc>
          <w:tcPr>
            <w:tcW w:w="10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1.31% – 1.40%</w:t>
            </w:r>
          </w:p>
        </w:tc>
      </w:tr>
      <w:tr>
        <w:trPr>
          <w:trHeight w:val="162"/>
        </w:trPr>
        <w:tc>
          <w:tcPr>
            <w:tcW w:w="20" w:type="dxa"/>
            <w:vAlign w:val="bottom"/>
          </w:tcPr>
          <w:p>
            <w:pPr>
              <w:spacing w:after="0"/>
              <w:rPr>
                <w:sz w:val="14"/>
                <w:szCs w:val="1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Weighted-average dividend yield</w:t>
            </w:r>
          </w:p>
        </w:tc>
        <w:tc>
          <w:tcPr>
            <w:tcW w:w="3460" w:type="dxa"/>
            <w:vAlign w:val="bottom"/>
            <w:tcBorders>
              <w:bottom w:val="single" w:sz="8" w:color="auto"/>
            </w:tcBorders>
          </w:tcPr>
          <w:p>
            <w:pPr>
              <w:jc w:val="center"/>
              <w:ind w:left="2428"/>
              <w:spacing w:after="0"/>
              <w:rPr>
                <w:sz w:val="20"/>
                <w:szCs w:val="20"/>
                <w:color w:val="auto"/>
              </w:rPr>
            </w:pPr>
            <w:r>
              <w:rPr>
                <w:rFonts w:ascii="Arial" w:cs="Arial" w:eastAsia="Arial" w:hAnsi="Arial"/>
                <w:sz w:val="14"/>
                <w:szCs w:val="14"/>
                <w:b w:val="1"/>
                <w:bCs w:val="1"/>
                <w:color w:val="auto"/>
              </w:rPr>
              <w:t>1.25%</w:t>
            </w:r>
          </w:p>
        </w:tc>
        <w:tc>
          <w:tcPr>
            <w:tcW w:w="12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1.07%</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1.32%</w:t>
            </w:r>
          </w:p>
        </w:tc>
      </w:tr>
      <w:tr>
        <w:trPr>
          <w:trHeight w:val="156"/>
        </w:trPr>
        <w:tc>
          <w:tcPr>
            <w:tcW w:w="20" w:type="dxa"/>
            <w:vAlign w:val="bottom"/>
          </w:tcPr>
          <w:p>
            <w:pPr>
              <w:spacing w:after="0"/>
              <w:rPr>
                <w:sz w:val="13"/>
                <w:szCs w:val="13"/>
                <w:color w:val="auto"/>
              </w:rPr>
            </w:pPr>
          </w:p>
        </w:tc>
        <w:tc>
          <w:tcPr>
            <w:tcW w:w="56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3460" w:type="dxa"/>
            <w:vAlign w:val="bottom"/>
            <w:tcBorders>
              <w:bottom w:val="single" w:sz="8" w:color="auto"/>
            </w:tcBorders>
            <w:shd w:val="clear" w:color="auto" w:fill="CCEEFF"/>
          </w:tcPr>
          <w:p>
            <w:pPr>
              <w:jc w:val="center"/>
              <w:ind w:left="2428"/>
              <w:spacing w:after="0" w:line="155" w:lineRule="exact"/>
              <w:rPr>
                <w:sz w:val="20"/>
                <w:szCs w:val="20"/>
                <w:color w:val="auto"/>
              </w:rPr>
            </w:pPr>
            <w:r>
              <w:rPr>
                <w:rFonts w:ascii="Arial" w:cs="Arial" w:eastAsia="Arial" w:hAnsi="Arial"/>
                <w:sz w:val="14"/>
                <w:szCs w:val="14"/>
                <w:b w:val="1"/>
                <w:bCs w:val="1"/>
                <w:color w:val="auto"/>
              </w:rPr>
              <w:t>$18.69</w:t>
            </w:r>
          </w:p>
        </w:tc>
        <w:tc>
          <w:tcPr>
            <w:tcW w:w="1240" w:type="dxa"/>
            <w:vAlign w:val="bottom"/>
            <w:tcBorders>
              <w:bottom w:val="single" w:sz="8" w:color="auto"/>
            </w:tcBorders>
            <w:shd w:val="clear" w:color="auto" w:fill="CCEEFF"/>
          </w:tcPr>
          <w:p>
            <w:pPr>
              <w:jc w:val="center"/>
              <w:ind w:left="8"/>
              <w:spacing w:after="0" w:line="155" w:lineRule="exact"/>
              <w:rPr>
                <w:sz w:val="20"/>
                <w:szCs w:val="20"/>
                <w:color w:val="auto"/>
              </w:rPr>
            </w:pPr>
            <w:r>
              <w:rPr>
                <w:rFonts w:ascii="Arial" w:cs="Arial" w:eastAsia="Arial" w:hAnsi="Arial"/>
                <w:sz w:val="14"/>
                <w:szCs w:val="14"/>
                <w:color w:val="auto"/>
              </w:rPr>
              <w:t>$13.03</w:t>
            </w:r>
          </w:p>
        </w:tc>
        <w:tc>
          <w:tcPr>
            <w:tcW w:w="106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$8.56</w:t>
            </w:r>
          </w:p>
        </w:tc>
      </w:tr>
    </w:tbl>
    <w:p>
      <w:pPr>
        <w:spacing w:after="0" w:line="1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Under the plan, restricted stock and restricted stock units are generally granted to certain non-officer employees. Occasionally, restricted stock or restricted stock unit awards may be granted, including to executive officers, in connection with hiring, mid-year promotions, leadership transition, or retention. Restricted stock and restricted stock units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units, is recognized for these awards over the vesting period.</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restricted stock and restricted stock units during the following fiscal years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380" w:type="dxa"/>
            <w:vAlign w:val="bottom"/>
          </w:tcPr>
          <w:p>
            <w:pPr>
              <w:spacing w:after="0"/>
              <w:rPr>
                <w:sz w:val="13"/>
                <w:szCs w:val="13"/>
                <w:color w:val="auto"/>
              </w:rPr>
            </w:pPr>
          </w:p>
        </w:tc>
        <w:tc>
          <w:tcPr>
            <w:tcW w:w="87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5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$ 63.05</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$ 46.10</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33.61</w:t>
            </w:r>
          </w:p>
        </w:tc>
        <w:tc>
          <w:tcPr>
            <w:tcW w:w="16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restricted stock and restricted stock units vested</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1,890</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1,207</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4"/>
        </w:trPr>
        <w:tc>
          <w:tcPr>
            <w:tcW w:w="9080" w:type="dxa"/>
            <w:vAlign w:val="bottom"/>
            <w:gridSpan w:val="2"/>
          </w:tcPr>
          <w:p>
            <w:pPr>
              <w:ind w:left="160"/>
              <w:spacing w:after="0"/>
              <w:rPr>
                <w:sz w:val="20"/>
                <w:szCs w:val="20"/>
                <w:color w:val="auto"/>
              </w:rPr>
            </w:pPr>
            <w:r>
              <w:rPr>
                <w:rFonts w:ascii="Arial" w:cs="Arial" w:eastAsia="Arial" w:hAnsi="Arial"/>
                <w:sz w:val="18"/>
                <w:szCs w:val="18"/>
                <w:color w:val="auto"/>
                <w:w w:val="98"/>
              </w:rPr>
              <w:t>The table below summarizes the activity during fiscal 2014 for unvested restricted stock and restricted stock units: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38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3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Weighted-</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Average</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Fair</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Restricted</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3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Stock and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Date</w:t>
            </w:r>
          </w:p>
        </w:tc>
      </w:tr>
      <w:tr>
        <w:trPr>
          <w:trHeight w:val="157"/>
        </w:trPr>
        <w:tc>
          <w:tcPr>
            <w:tcW w:w="380" w:type="dxa"/>
            <w:vAlign w:val="bottom"/>
            <w:tcBorders>
              <w:bottom w:val="single" w:sz="8" w:color="auto"/>
            </w:tcBorders>
          </w:tcPr>
          <w:p>
            <w:pPr>
              <w:spacing w:after="0"/>
              <w:rPr>
                <w:sz w:val="13"/>
                <w:szCs w:val="13"/>
                <w:color w:val="auto"/>
              </w:rPr>
            </w:pPr>
          </w:p>
        </w:tc>
        <w:tc>
          <w:tcPr>
            <w:tcW w:w="8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Units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of Grant</w:t>
            </w:r>
          </w:p>
        </w:tc>
        <w:tc>
          <w:tcPr>
            <w:tcW w:w="160" w:type="dxa"/>
            <w:vAlign w:val="bottom"/>
          </w:tcPr>
          <w:p>
            <w:pPr>
              <w:spacing w:after="0"/>
              <w:rPr>
                <w:sz w:val="13"/>
                <w:szCs w:val="13"/>
                <w:color w:val="auto"/>
              </w:rPr>
            </w:pPr>
          </w:p>
        </w:tc>
      </w:tr>
      <w:tr>
        <w:trPr>
          <w:trHeight w:val="156"/>
        </w:trPr>
        <w:tc>
          <w:tcPr>
            <w:tcW w:w="90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Unvested as of October 31, 2013</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109,288</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36.32</w:t>
            </w:r>
          </w:p>
        </w:tc>
      </w:tr>
      <w:tr>
        <w:trPr>
          <w:trHeight w:val="162"/>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Granted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29,975</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63.05</w:t>
            </w:r>
          </w:p>
        </w:tc>
      </w:tr>
      <w:tr>
        <w:trPr>
          <w:trHeight w:val="162"/>
        </w:trPr>
        <w:tc>
          <w:tcPr>
            <w:tcW w:w="9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(58,047)</w:t>
            </w:r>
          </w:p>
        </w:tc>
        <w:tc>
          <w:tcPr>
            <w:tcW w:w="20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32.43</w:t>
            </w:r>
          </w:p>
        </w:tc>
      </w:tr>
      <w:tr>
        <w:trPr>
          <w:trHeight w:val="162"/>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Forfeited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(2,687)</w:t>
            </w:r>
          </w:p>
        </w:tc>
        <w:tc>
          <w:tcPr>
            <w:tcW w:w="20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41.93</w:t>
            </w:r>
          </w:p>
        </w:tc>
      </w:tr>
      <w:tr>
        <w:trPr>
          <w:trHeight w:val="156"/>
        </w:trPr>
        <w:tc>
          <w:tcPr>
            <w:tcW w:w="908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2014</w:t>
            </w:r>
          </w:p>
        </w:tc>
        <w:tc>
          <w:tcPr>
            <w:tcW w:w="4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78,529</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49.22</w:t>
            </w:r>
          </w:p>
        </w:tc>
        <w:tc>
          <w:tcPr>
            <w:tcW w:w="1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0" w:gutter="0" w:footer="0" w:header="0"/>
        </w:sectPr>
      </w:pPr>
    </w:p>
    <w:p>
      <w:pPr>
        <w:spacing w:after="0" w:line="19" w:lineRule="exact"/>
        <w:rPr>
          <w:sz w:val="20"/>
          <w:szCs w:val="20"/>
          <w:color w:val="auto"/>
        </w:rPr>
      </w:pPr>
    </w:p>
    <w:p>
      <w:pPr>
        <w:ind w:left="5620" w:right="1380" w:hanging="5471"/>
        <w:spacing w:after="0" w:line="489" w:lineRule="auto"/>
        <w:rPr>
          <w:sz w:val="20"/>
          <w:szCs w:val="20"/>
          <w:color w:val="auto"/>
        </w:rPr>
      </w:pPr>
      <w:r>
        <w:rPr>
          <w:rFonts w:ascii="Arial" w:cs="Arial" w:eastAsia="Arial" w:hAnsi="Arial"/>
          <w:sz w:val="18"/>
          <w:szCs w:val="18"/>
          <w:color w:val="auto"/>
        </w:rPr>
        <w:t>As of October 31, 2014, there was $2,019 of total unrecognized compensation expense related to unvested restricted stock and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That cost is expected to be recognized over a weighted-average period of 2.2 years.</w:t>
      </w:r>
    </w:p>
    <w:p>
      <w:pPr>
        <w:spacing w:after="0" w:line="19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The company grants performance share awards to executive officers and other employees under which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performance share awards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8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2013</w:t>
            </w: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380" w:type="dxa"/>
            <w:vAlign w:val="bottom"/>
          </w:tcPr>
          <w:p>
            <w:pPr>
              <w:spacing w:after="0"/>
              <w:rPr>
                <w:sz w:val="13"/>
                <w:szCs w:val="13"/>
                <w:color w:val="auto"/>
              </w:rPr>
            </w:pPr>
          </w:p>
        </w:tc>
        <w:tc>
          <w:tcPr>
            <w:tcW w:w="81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1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$ 59.31</w:t>
            </w:r>
          </w:p>
        </w:tc>
        <w:tc>
          <w:tcPr>
            <w:tcW w:w="6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$ 42.06</w:t>
            </w:r>
          </w:p>
        </w:tc>
        <w:tc>
          <w:tcPr>
            <w:tcW w:w="5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$ 28.24</w:t>
            </w:r>
          </w:p>
        </w:tc>
        <w:tc>
          <w:tcPr>
            <w:tcW w:w="16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performance share awards vested</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7,926</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9,057</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4"/>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The table below summarizes the activity during fiscal 2014 for unvested performance share awards: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38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38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rPr>
              <w:t>Weighted-</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Average Fair</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3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Date</w:t>
            </w:r>
          </w:p>
        </w:tc>
      </w:tr>
      <w:tr>
        <w:trPr>
          <w:trHeight w:val="157"/>
        </w:trPr>
        <w:tc>
          <w:tcPr>
            <w:tcW w:w="38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Shares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of Grant</w:t>
            </w:r>
          </w:p>
        </w:tc>
        <w:tc>
          <w:tcPr>
            <w:tcW w:w="160" w:type="dxa"/>
            <w:vAlign w:val="bottom"/>
          </w:tcPr>
          <w:p>
            <w:pPr>
              <w:spacing w:after="0"/>
              <w:rPr>
                <w:sz w:val="13"/>
                <w:szCs w:val="13"/>
                <w:color w:val="auto"/>
              </w:rPr>
            </w:pPr>
          </w:p>
        </w:tc>
      </w:tr>
      <w:tr>
        <w:trPr>
          <w:trHeight w:val="156"/>
        </w:trPr>
        <w:tc>
          <w:tcPr>
            <w:tcW w:w="85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Unvested as of October 31, 2013</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520,800</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33.41</w:t>
            </w:r>
          </w:p>
        </w:tc>
      </w:tr>
      <w:tr>
        <w:trPr>
          <w:trHeight w:val="162"/>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Granted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121,600</w:t>
            </w: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60.19</w:t>
            </w:r>
          </w:p>
        </w:tc>
      </w:tr>
      <w:tr>
        <w:trPr>
          <w:trHeight w:val="162"/>
        </w:trPr>
        <w:tc>
          <w:tcPr>
            <w:tcW w:w="8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(133,640)</w:t>
            </w:r>
          </w:p>
        </w:tc>
        <w:tc>
          <w:tcPr>
            <w:tcW w:w="14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31.76</w:t>
            </w:r>
          </w:p>
        </w:tc>
      </w:tr>
      <w:tr>
        <w:trPr>
          <w:trHeight w:val="162"/>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Cancelled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(31,960)</w:t>
            </w:r>
          </w:p>
        </w:tc>
        <w:tc>
          <w:tcPr>
            <w:tcW w:w="1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31.76</w:t>
            </w:r>
          </w:p>
        </w:tc>
      </w:tr>
      <w:tr>
        <w:trPr>
          <w:trHeight w:val="156"/>
        </w:trPr>
        <w:tc>
          <w:tcPr>
            <w:tcW w:w="85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2014</w:t>
            </w:r>
          </w:p>
        </w:tc>
        <w:tc>
          <w:tcPr>
            <w:tcW w:w="7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476,800</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40.82</w:t>
            </w:r>
          </w:p>
        </w:tc>
        <w:tc>
          <w:tcPr>
            <w:tcW w:w="160" w:type="dxa"/>
            <w:vAlign w:val="bottom"/>
            <w:shd w:val="clear" w:color="auto" w:fill="CCEEFF"/>
          </w:tcPr>
          <w:p>
            <w:pPr>
              <w:spacing w:after="0"/>
              <w:rPr>
                <w:sz w:val="13"/>
                <w:szCs w:val="13"/>
                <w:color w:val="auto"/>
              </w:rPr>
            </w:pPr>
          </w:p>
        </w:tc>
      </w:tr>
    </w:tbl>
    <w:p>
      <w:pPr>
        <w:spacing w:after="0" w:line="219" w:lineRule="exact"/>
        <w:rPr>
          <w:sz w:val="20"/>
          <w:szCs w:val="20"/>
          <w:color w:val="auto"/>
        </w:rPr>
      </w:pPr>
    </w:p>
    <w:p>
      <w:pPr>
        <w:ind w:right="360" w:firstLine="137"/>
        <w:spacing w:after="0" w:line="239" w:lineRule="auto"/>
        <w:rPr>
          <w:sz w:val="20"/>
          <w:szCs w:val="20"/>
          <w:color w:val="auto"/>
        </w:rPr>
      </w:pPr>
      <w:r>
        <w:rPr>
          <w:rFonts w:ascii="Arial" w:cs="Arial" w:eastAsia="Arial" w:hAnsi="Arial"/>
          <w:sz w:val="18"/>
          <w:szCs w:val="18"/>
          <w:color w:val="auto"/>
        </w:rPr>
        <w:t>As of October 31, 2014, there was $4,293 of total unrecognized compensation expense related to unvested performance share awards. That cost is expected to be recognized over a weighted-average period of 1.7 years.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11</w:t>
      </w:r>
      <w:r>
        <w:rPr>
          <w:sz w:val="20"/>
          <w:szCs w:val="20"/>
          <w:color w:val="auto"/>
        </w:rPr>
        <w:tab/>
      </w:r>
      <w:r>
        <w:rPr>
          <w:rFonts w:ascii="Arial" w:cs="Arial" w:eastAsia="Arial" w:hAnsi="Arial"/>
          <w:sz w:val="21"/>
          <w:szCs w:val="21"/>
          <w:b w:val="1"/>
          <w:bCs w:val="1"/>
          <w:color w:val="auto"/>
        </w:rPr>
        <w:t>EMPLOYEE RETIREMENT PLANS</w:t>
      </w:r>
    </w:p>
    <w:p>
      <w:pPr>
        <w:spacing w:after="0" w:line="27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$15,550, $14,931, and $14,304 for the fiscal years ended October 31, 2014, 2013, and 2012, respectively.</w:t>
      </w:r>
    </w:p>
    <w:p>
      <w:pPr>
        <w:spacing w:after="0" w:line="163"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 the U.S. and the United Kingdom. The projected benefit obligation of these plans as of October 31, 2014 and 2013 was $45,420 and $42,034, respectively, and the net liability amount recognized in the consolidated balance sheets as of October 31, 2014 and 2013 was $3,432 and $3,982, respectively. The accumulated benefit obligation of these plans as of October 31, 2014 and 2013 was $42,431 and $39,967, respectively. The funded status of these plans as of October 31, 2014 and 2013 was $10,085 and $9,063, respectively. The fair value of the plan assets as of October 31, 2014 and 2013 was $35,335 and $32,971, respectively. The net expense recognized in the consolidated financial statements for these plans was $1,092, $1,149, and $703 for the fiscal years ended October 31, 2014, 2013, and 2012, respectively.</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54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 Benefit</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Postretirement</w:t>
            </w: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7"/>
        </w:trPr>
        <w:tc>
          <w:tcPr>
            <w:tcW w:w="556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290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Pension Plans</w:t>
            </w:r>
          </w:p>
        </w:tc>
        <w:tc>
          <w:tcPr>
            <w:tcW w:w="180" w:type="dxa"/>
            <w:vAlign w:val="bottom"/>
          </w:tcPr>
          <w:p>
            <w:pPr>
              <w:spacing w:after="0"/>
              <w:rPr>
                <w:sz w:val="13"/>
                <w:szCs w:val="13"/>
                <w:color w:val="auto"/>
              </w:rPr>
            </w:pP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Benefit Plan</w:t>
            </w:r>
          </w:p>
        </w:tc>
        <w:tc>
          <w:tcPr>
            <w:tcW w:w="68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55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2014</w:t>
            </w:r>
          </w:p>
        </w:tc>
        <w:tc>
          <w:tcPr>
            <w:tcW w:w="29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b w:val="1"/>
                <w:bCs w:val="1"/>
                <w:color w:val="auto"/>
              </w:rPr>
              <w:t>Net actuarial loss</w:t>
            </w: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4,521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513</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$ 5,034</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 (credit)</w:t>
            </w:r>
          </w:p>
        </w:tc>
        <w:tc>
          <w:tcPr>
            <w:tcW w:w="2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232</w:t>
            </w:r>
          </w:p>
        </w:tc>
        <w:tc>
          <w:tcPr>
            <w:tcW w:w="14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Accumulated other comprehensive loss</w:t>
            </w:r>
          </w:p>
        </w:tc>
        <w:tc>
          <w:tcPr>
            <w:tcW w:w="2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4,778</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488</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$ 5,266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2013</w:t>
            </w:r>
          </w:p>
        </w:tc>
        <w:tc>
          <w:tcPr>
            <w:tcW w:w="2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29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$ 3,526</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29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6"/>
        </w:trPr>
        <w:tc>
          <w:tcPr>
            <w:tcW w:w="55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Accumulated other comprehensive loss</w:t>
            </w:r>
          </w:p>
        </w:tc>
        <w:tc>
          <w:tcPr>
            <w:tcW w:w="2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3,204</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479</w:t>
            </w:r>
          </w:p>
        </w:tc>
        <w:tc>
          <w:tcPr>
            <w:tcW w:w="5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$ 3,683</w:t>
            </w:r>
          </w:p>
        </w:tc>
        <w:tc>
          <w:tcPr>
            <w:tcW w:w="140" w:type="dxa"/>
            <w:vAlign w:val="bottom"/>
          </w:tcPr>
          <w:p>
            <w:pPr>
              <w:spacing w:after="0"/>
              <w:rPr>
                <w:sz w:val="13"/>
                <w:szCs w:val="13"/>
                <w:color w:val="auto"/>
              </w:rPr>
            </w:pPr>
          </w:p>
        </w:tc>
      </w:tr>
    </w:tbl>
    <w:p>
      <w:pPr>
        <w:spacing w:after="0" w:line="219" w:lineRule="exact"/>
        <w:rPr>
          <w:sz w:val="20"/>
          <w:szCs w:val="20"/>
          <w:color w:val="auto"/>
        </w:rPr>
      </w:pPr>
    </w:p>
    <w:p>
      <w:pPr>
        <w:ind w:right="400" w:firstLine="143"/>
        <w:spacing w:after="0" w:line="239" w:lineRule="auto"/>
        <w:rPr>
          <w:sz w:val="20"/>
          <w:szCs w:val="20"/>
          <w:color w:val="auto"/>
        </w:rPr>
      </w:pPr>
      <w:r>
        <w:rPr>
          <w:rFonts w:ascii="Arial" w:cs="Arial" w:eastAsia="Arial" w:hAnsi="Arial"/>
          <w:sz w:val="18"/>
          <w:szCs w:val="18"/>
          <w:color w:val="auto"/>
        </w:rPr>
        <w:t>The following amounts are included in accumulated other comprehensive loss as of October 31, 2014 and are expected to be recognized as components of net periodic benefit cost during fiscal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Benefit</w:t>
            </w:r>
          </w:p>
        </w:tc>
        <w:tc>
          <w:tcPr>
            <w:tcW w:w="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Pension Plans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Benefit Plan</w:t>
            </w: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actuarial loss</w:t>
            </w:r>
          </w:p>
        </w:tc>
        <w:tc>
          <w:tcPr>
            <w:tcW w:w="3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570</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2</w:t>
            </w:r>
          </w:p>
        </w:tc>
        <w:tc>
          <w:tcPr>
            <w:tcW w:w="6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$ 572</w:t>
            </w:r>
          </w:p>
        </w:tc>
      </w:tr>
      <w:tr>
        <w:trPr>
          <w:trHeight w:val="162"/>
        </w:trPr>
        <w:tc>
          <w:tcPr>
            <w:tcW w:w="20" w:type="dxa"/>
            <w:vAlign w:val="bottom"/>
          </w:tcPr>
          <w:p>
            <w:pPr>
              <w:spacing w:after="0"/>
              <w:rPr>
                <w:sz w:val="14"/>
                <w:szCs w:val="1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prior service cost (credit)</w:t>
            </w:r>
          </w:p>
        </w:tc>
        <w:tc>
          <w:tcPr>
            <w:tcW w:w="3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33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621</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(39)</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$ 582</w:t>
            </w:r>
          </w:p>
        </w:tc>
        <w:tc>
          <w:tcPr>
            <w:tcW w:w="1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net periodic benefit cost and other comprehensive loss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Defined</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Benefit</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6760" w:type="dxa"/>
            <w:vAlign w:val="bottom"/>
            <w:gridSpan w:val="2"/>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1720" w:type="dxa"/>
            <w:vAlign w:val="bottom"/>
          </w:tcPr>
          <w:p>
            <w:pPr>
              <w:spacing w:after="0"/>
              <w:rPr>
                <w:sz w:val="13"/>
                <w:szCs w:val="13"/>
                <w:color w:val="auto"/>
              </w:rPr>
            </w:pPr>
          </w:p>
        </w:tc>
        <w:tc>
          <w:tcPr>
            <w:tcW w:w="10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3"/>
                <w:szCs w:val="13"/>
                <w:color w:val="auto"/>
              </w:rPr>
            </w:pP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Benefit Plan</w:t>
            </w:r>
          </w:p>
        </w:tc>
        <w:tc>
          <w:tcPr>
            <w:tcW w:w="140" w:type="dxa"/>
            <w:vAlign w:val="bottom"/>
          </w:tcPr>
          <w:p>
            <w:pPr>
              <w:spacing w:after="0"/>
              <w:rPr>
                <w:sz w:val="13"/>
                <w:szCs w:val="13"/>
                <w:color w:val="auto"/>
              </w:rPr>
            </w:pPr>
          </w:p>
        </w:tc>
        <w:tc>
          <w:tcPr>
            <w:tcW w:w="58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2014</w:t>
            </w:r>
          </w:p>
        </w:tc>
        <w:tc>
          <w:tcPr>
            <w:tcW w:w="17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Arial" w:cs="Arial" w:eastAsia="Arial" w:hAnsi="Arial"/>
                <w:sz w:val="14"/>
                <w:szCs w:val="14"/>
                <w:b w:val="1"/>
                <w:bCs w:val="1"/>
                <w:color w:val="auto"/>
              </w:rPr>
              <w:t>Net actuarial gain</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w:t>
            </w: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unrecognized prior service (credit) cost</w:t>
            </w:r>
          </w:p>
        </w:tc>
        <w:tc>
          <w:tcPr>
            <w:tcW w:w="1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74</w:t>
            </w: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 of unrecognized actuarial loss (gain)</w:t>
            </w:r>
          </w:p>
        </w:tc>
        <w:tc>
          <w:tcPr>
            <w:tcW w:w="1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1,519</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7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recognized in other comprehensive loss</w:t>
            </w:r>
          </w:p>
        </w:tc>
        <w:tc>
          <w:tcPr>
            <w:tcW w:w="1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1,575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8</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1,583</w:t>
            </w:r>
          </w:p>
        </w:tc>
        <w:tc>
          <w:tcPr>
            <w:tcW w:w="14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recognized in net periodic benefit cost and other comprehensive loss</w:t>
            </w:r>
          </w:p>
        </w:tc>
        <w:tc>
          <w:tcPr>
            <w:tcW w:w="1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2,110</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565</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2,675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2013</w:t>
            </w:r>
          </w:p>
        </w:tc>
        <w:tc>
          <w:tcPr>
            <w:tcW w:w="1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6760" w:type="dxa"/>
            <w:vAlign w:val="bottom"/>
            <w:gridSpan w:val="2"/>
          </w:tcPr>
          <w:p>
            <w:pPr>
              <w:spacing w:after="0"/>
              <w:rPr>
                <w:sz w:val="20"/>
                <w:szCs w:val="20"/>
                <w:color w:val="auto"/>
              </w:rPr>
            </w:pPr>
            <w:r>
              <w:rPr>
                <w:rFonts w:ascii="Arial" w:cs="Arial" w:eastAsia="Arial" w:hAnsi="Arial"/>
                <w:sz w:val="14"/>
                <w:szCs w:val="14"/>
                <w:color w:val="auto"/>
              </w:rPr>
              <w:t>Net actuarial gain</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(1,170)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(1,453)</w:t>
            </w: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unrecognized prior service (credit) cost</w:t>
            </w:r>
          </w:p>
        </w:tc>
        <w:tc>
          <w:tcPr>
            <w:tcW w:w="1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4"/>
                <w:szCs w:val="14"/>
                <w:color w:val="auto"/>
              </w:rPr>
            </w:pPr>
          </w:p>
        </w:tc>
      </w:tr>
      <w:tr>
        <w:trPr>
          <w:trHeight w:val="162"/>
        </w:trPr>
        <w:tc>
          <w:tcPr>
            <w:tcW w:w="6760" w:type="dxa"/>
            <w:vAlign w:val="bottom"/>
            <w:gridSpan w:val="2"/>
          </w:tcPr>
          <w:p>
            <w:pPr>
              <w:spacing w:after="0"/>
              <w:rPr>
                <w:sz w:val="20"/>
                <w:szCs w:val="20"/>
                <w:color w:val="auto"/>
              </w:rPr>
            </w:pPr>
            <w:r>
              <w:rPr>
                <w:rFonts w:ascii="Arial" w:cs="Arial" w:eastAsia="Arial" w:hAnsi="Arial"/>
                <w:sz w:val="14"/>
                <w:szCs w:val="14"/>
                <w:color w:val="auto"/>
              </w:rPr>
              <w:t>Amortization of unrecognized actuarial loss (gain)</w:t>
            </w:r>
          </w:p>
        </w:tc>
        <w:tc>
          <w:tcPr>
            <w:tcW w:w="17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736</w:t>
            </w:r>
          </w:p>
        </w:tc>
        <w:tc>
          <w:tcPr>
            <w:tcW w:w="1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recognized in other comprehensive loss (income)</w:t>
            </w:r>
          </w:p>
        </w:tc>
        <w:tc>
          <w:tcPr>
            <w:tcW w:w="1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(645)</w:t>
            </w: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67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recognized in net periodic benefit cost and other comprehensive loss</w:t>
            </w:r>
          </w:p>
        </w:tc>
        <w:tc>
          <w:tcPr>
            <w:tcW w:w="1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117</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387</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504</w:t>
            </w:r>
          </w:p>
        </w:tc>
        <w:tc>
          <w:tcPr>
            <w:tcW w:w="140" w:type="dxa"/>
            <w:vAlign w:val="bottom"/>
          </w:tcPr>
          <w:p>
            <w:pPr>
              <w:spacing w:after="0"/>
              <w:rPr>
                <w:sz w:val="13"/>
                <w:szCs w:val="13"/>
                <w:color w:val="auto"/>
              </w:rPr>
            </w:pPr>
          </w:p>
        </w:tc>
      </w:tr>
    </w:tbl>
    <w:p>
      <w:pPr>
        <w:spacing w:after="0" w:line="219" w:lineRule="exact"/>
        <w:rPr>
          <w:sz w:val="20"/>
          <w:szCs w:val="20"/>
          <w:color w:val="auto"/>
        </w:rPr>
      </w:pPr>
    </w:p>
    <w:p>
      <w:pPr>
        <w:ind w:right="440" w:firstLine="143"/>
        <w:spacing w:after="0" w:line="239"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12</w:t>
      </w:r>
      <w:r>
        <w:rPr>
          <w:sz w:val="20"/>
          <w:szCs w:val="20"/>
          <w:color w:val="auto"/>
        </w:rPr>
        <w:tab/>
      </w:r>
      <w:r>
        <w:rPr>
          <w:rFonts w:ascii="Arial" w:cs="Arial" w:eastAsia="Arial" w:hAnsi="Arial"/>
          <w:sz w:val="19"/>
          <w:szCs w:val="19"/>
          <w:b w:val="1"/>
          <w:bCs w:val="1"/>
          <w:color w:val="auto"/>
        </w:rPr>
        <w:t>SEGMENT DATA</w:t>
      </w:r>
    </w:p>
    <w:p>
      <w:pPr>
        <w:spacing w:after="0" w:line="27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company's businesses are organized, managed, and internally grouped into segments based on differences in products and services. Segment selection was based on the manner in which management organizes segments for making operating and investment decisions and assessing performance. The company has identified eight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and elimination of intersegment revenues and expenses and is shown as "Other" due to the insignificance of the segment.</w:t>
      </w:r>
    </w:p>
    <w:p>
      <w:pPr>
        <w:spacing w:after="0" w:line="208" w:lineRule="exact"/>
        <w:rPr>
          <w:sz w:val="20"/>
          <w:szCs w:val="20"/>
          <w:color w:val="auto"/>
        </w:rPr>
      </w:pPr>
    </w:p>
    <w:p>
      <w:pPr>
        <w:ind w:right="20" w:firstLine="143"/>
        <w:spacing w:after="0" w:line="235" w:lineRule="auto"/>
        <w:rPr>
          <w:sz w:val="20"/>
          <w:szCs w:val="20"/>
          <w:color w:val="auto"/>
        </w:rPr>
      </w:pPr>
      <w:r>
        <w:rPr>
          <w:rFonts w:ascii="Arial" w:cs="Arial" w:eastAsia="Arial" w:hAnsi="Arial"/>
          <w:sz w:val="18"/>
          <w:szCs w:val="18"/>
          <w:color w:val="auto"/>
        </w:rPr>
        <w:t>The Professional business segment consists of turf and landscape equipment and irrigation products. Beginning in fiscal 2015, the Professional business segment will also include professional snow and ice removal equipment as a result of the acquisition of the BOSS business, as discussed in Note 2. Turf and landscape equipment products include sports fields and grounds maintenance equipment, golf course mowing and maintenance equipment, landscape contractor mowing equipment, landscape creation and renovation equipment, rental and specialty construction equipment, and other maintenance equipment. Irrigation and lighting products consist of sprinkler heads, electric and hydraulic valves, controllers, computer irrigation central control systems, and micro-irrigation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residential and commercial landscapes, and removing snow, as well as directly to government customers, rental companies, and large retailers.</w:t>
      </w:r>
    </w:p>
    <w:p>
      <w:pPr>
        <w:spacing w:after="0" w:line="215" w:lineRule="exact"/>
        <w:rPr>
          <w:sz w:val="20"/>
          <w:szCs w:val="20"/>
          <w:color w:val="auto"/>
        </w:rPr>
      </w:pPr>
    </w:p>
    <w:p>
      <w:pPr>
        <w:ind w:right="340" w:firstLine="143"/>
        <w:spacing w:after="0" w:line="237" w:lineRule="auto"/>
        <w:rPr>
          <w:sz w:val="20"/>
          <w:szCs w:val="20"/>
          <w:color w:val="auto"/>
        </w:rPr>
      </w:pPr>
      <w:r>
        <w:rPr>
          <w:rFonts w:ascii="Arial" w:cs="Arial" w:eastAsia="Arial" w:hAnsi="Arial"/>
          <w:sz w:val="18"/>
          <w:szCs w:val="18"/>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209" w:lineRule="exact"/>
        <w:rPr>
          <w:sz w:val="20"/>
          <w:szCs w:val="20"/>
          <w:color w:val="auto"/>
        </w:rPr>
      </w:pPr>
    </w:p>
    <w:p>
      <w:pPr>
        <w:ind w:right="60" w:firstLine="143"/>
        <w:spacing w:after="0" w:line="281"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w:t>
      </w:r>
    </w:p>
    <w:p>
      <w:pPr>
        <w:spacing w:after="0" w:line="178" w:lineRule="exact"/>
        <w:rPr>
          <w:sz w:val="20"/>
          <w:szCs w:val="20"/>
          <w:color w:val="auto"/>
        </w:rPr>
      </w:pPr>
    </w:p>
    <w:p>
      <w:pPr>
        <w:ind w:right="260" w:firstLine="143"/>
        <w:spacing w:after="0" w:line="23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domestic wholly owned distribution companies,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69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Fiscal years ended October 31</w:t>
            </w:r>
          </w:p>
        </w:tc>
        <w:tc>
          <w:tcPr>
            <w:tcW w:w="6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Professional</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8"/>
              </w:rPr>
              <w:t>Residential</w:t>
            </w: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Other</w:t>
            </w: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Borders>
              <w:top w:val="single" w:sz="8" w:color="auto"/>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40" w:type="dxa"/>
            <w:vAlign w:val="bottom"/>
            <w:tcBorders>
              <w:top w:val="single" w:sz="8" w:color="auto"/>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tcPr>
          <w:p>
            <w:pPr>
              <w:spacing w:after="0"/>
              <w:rPr>
                <w:sz w:val="20"/>
                <w:szCs w:val="20"/>
                <w:color w:val="auto"/>
              </w:rPr>
            </w:pPr>
            <w:r>
              <w:rPr>
                <w:rFonts w:ascii="Arial" w:cs="Arial" w:eastAsia="Arial" w:hAnsi="Arial"/>
                <w:sz w:val="14"/>
                <w:szCs w:val="14"/>
                <w:b w:val="1"/>
                <w:bCs w:val="1"/>
                <w:color w:val="auto"/>
              </w:rPr>
              <w:t>Net sales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1,477,578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672,443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22,670</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$2,172,691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41,376</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424</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(41,800)</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276,305</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76,916</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(96,776)</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256,445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573,086</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172,984</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446,345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1,192,415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tcPr>
          <w:p>
            <w:pPr>
              <w:spacing w:after="0"/>
              <w:rPr>
                <w:sz w:val="20"/>
                <w:szCs w:val="20"/>
                <w:color w:val="auto"/>
              </w:rPr>
            </w:pPr>
            <w:r>
              <w:rPr>
                <w:rFonts w:ascii="Arial" w:cs="Arial" w:eastAsia="Arial" w:hAnsi="Arial"/>
                <w:sz w:val="14"/>
                <w:szCs w:val="14"/>
                <w:b w:val="1"/>
                <w:bCs w:val="1"/>
                <w:color w:val="auto"/>
              </w:rPr>
              <w:t>Capital expenditures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25,226</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12,417</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33,495</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71,138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6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34,228</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8,883</w:t>
            </w: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10,027</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53,138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80" w:type="dxa"/>
            <w:vAlign w:val="bottom"/>
            <w:gridSpan w:val="5"/>
          </w:tcPr>
          <w:p>
            <w:pPr>
              <w:spacing w:after="0" w:line="155" w:lineRule="exact"/>
              <w:rPr>
                <w:sz w:val="20"/>
                <w:szCs w:val="20"/>
                <w:color w:val="auto"/>
              </w:rPr>
            </w:pPr>
            <w:r>
              <w:rPr>
                <w:rFonts w:ascii="Arial" w:cs="Arial" w:eastAsia="Arial" w:hAnsi="Arial"/>
                <w:sz w:val="14"/>
                <w:szCs w:val="14"/>
                <w:color w:val="auto"/>
              </w:rPr>
              <w:t>2013</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Net sales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1,425,259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594,411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21,761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$2,041,431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Intersegment gross sales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40,416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402</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(40,818)</w:t>
            </w:r>
          </w:p>
        </w:tc>
        <w:tc>
          <w:tcPr>
            <w:tcW w:w="62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254,424</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62,033</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(89,744)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226,713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Total assets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528,926</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167,918</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8"/>
              </w:rPr>
              <w:t>305,904</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1,002,748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32,362</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7,838</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9,227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49,427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34,706</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10,321</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9,107</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54,134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Borders>
              <w:top w:val="single" w:sz="8" w:color="auto"/>
            </w:tcBorders>
            <w:gridSpan w:val="4"/>
            <w:shd w:val="clear" w:color="auto" w:fill="CCEEFF"/>
          </w:tcPr>
          <w:p>
            <w:pPr>
              <w:spacing w:after="0" w:line="155" w:lineRule="exact"/>
              <w:rPr>
                <w:sz w:val="20"/>
                <w:szCs w:val="20"/>
                <w:color w:val="auto"/>
              </w:rPr>
            </w:pPr>
            <w:r>
              <w:rPr>
                <w:rFonts w:ascii="Arial" w:cs="Arial" w:eastAsia="Arial" w:hAnsi="Arial"/>
                <w:sz w:val="14"/>
                <w:szCs w:val="14"/>
                <w:color w:val="auto"/>
              </w:rPr>
              <w:t>2012</w:t>
            </w:r>
          </w:p>
        </w:tc>
        <w:tc>
          <w:tcPr>
            <w:tcW w:w="6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40" w:type="dxa"/>
            <w:vAlign w:val="bottom"/>
            <w:tcBorders>
              <w:top w:val="single" w:sz="8" w:color="auto"/>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Net sales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1,329,504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607,435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21,751</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$1,958,690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Intersegment gross sales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37,324</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(37,350)</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Earnings (loss) before income taxes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232,104</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57,889</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(93,731)</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196,262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527,159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169,899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8"/>
              </w:rPr>
              <w:t>238,141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935,199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5"/>
          </w:tcPr>
          <w:p>
            <w:pPr>
              <w:spacing w:after="0"/>
              <w:rPr>
                <w:sz w:val="20"/>
                <w:szCs w:val="20"/>
                <w:color w:val="auto"/>
              </w:rPr>
            </w:pPr>
            <w:r>
              <w:rPr>
                <w:rFonts w:ascii="Arial" w:cs="Arial" w:eastAsia="Arial" w:hAnsi="Arial"/>
                <w:sz w:val="14"/>
                <w:szCs w:val="14"/>
                <w:color w:val="auto"/>
              </w:rPr>
              <w:t>Capital expenditures</w:t>
            </w: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29,313</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4,164</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9,765</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43,242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6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34,876</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10,919</w:t>
            </w: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7,839</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53,634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640" w:type="dxa"/>
            <w:vAlign w:val="bottom"/>
            <w:gridSpan w:val="5"/>
          </w:tcPr>
          <w:p>
            <w:pPr>
              <w:ind w:left="40"/>
              <w:spacing w:after="0"/>
              <w:rPr>
                <w:sz w:val="20"/>
                <w:szCs w:val="20"/>
                <w:color w:val="auto"/>
              </w:rPr>
            </w:pPr>
            <w:r>
              <w:rPr>
                <w:rFonts w:ascii="Arial" w:cs="Arial" w:eastAsia="Arial" w:hAnsi="Arial"/>
                <w:sz w:val="18"/>
                <w:szCs w:val="18"/>
                <w:color w:val="auto"/>
                <w:w w:val="97"/>
              </w:rPr>
              <w:t>The following table presents the details of the Other segment operating loss before income taxes: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tcBorders>
              <w:bottom w:val="single" w:sz="8" w:color="auto"/>
            </w:tcBorders>
            <w:gridSpan w:val="2"/>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7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$(88,539)</w:t>
            </w:r>
          </w:p>
        </w:tc>
        <w:tc>
          <w:tcPr>
            <w:tcW w:w="800" w:type="dxa"/>
            <w:vAlign w:val="bottom"/>
            <w:gridSpan w:val="3"/>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$(85,359)</w:t>
            </w:r>
          </w:p>
        </w:tc>
        <w:tc>
          <w:tcPr>
            <w:tcW w:w="78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$(81,376)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(15,426)</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5"/>
              </w:rPr>
              <w:t>(16,210)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(16,906)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6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7,189</w:t>
            </w:r>
          </w:p>
        </w:tc>
        <w:tc>
          <w:tcPr>
            <w:tcW w:w="2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4,551</w:t>
            </w:r>
          </w:p>
        </w:tc>
        <w:tc>
          <w:tcPr>
            <w:tcW w:w="16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$(96,776)</w:t>
            </w:r>
          </w:p>
        </w:tc>
        <w:tc>
          <w:tcPr>
            <w:tcW w:w="800" w:type="dxa"/>
            <w:vAlign w:val="bottom"/>
            <w:gridSpan w:val="3"/>
          </w:tcPr>
          <w:p>
            <w:pPr>
              <w:jc w:val="right"/>
              <w:ind w:right="8"/>
              <w:spacing w:after="0" w:line="155" w:lineRule="exact"/>
              <w:rPr>
                <w:sz w:val="20"/>
                <w:szCs w:val="20"/>
                <w:color w:val="auto"/>
              </w:rPr>
            </w:pPr>
            <w:r>
              <w:rPr>
                <w:rFonts w:ascii="Arial" w:cs="Arial" w:eastAsia="Arial" w:hAnsi="Arial"/>
                <w:sz w:val="14"/>
                <w:szCs w:val="14"/>
                <w:color w:val="auto"/>
              </w:rPr>
              <w:t>$(89,744)</w:t>
            </w:r>
          </w:p>
        </w:tc>
        <w:tc>
          <w:tcPr>
            <w:tcW w:w="78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$(93,731)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6960" w:type="dxa"/>
            <w:vAlign w:val="bottom"/>
            <w:gridSpan w:val="4"/>
          </w:tcPr>
          <w:p>
            <w:pPr>
              <w:ind w:left="40"/>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20" w:type="dxa"/>
            <w:vAlign w:val="bottom"/>
            <w:tcBorders>
              <w:bottom w:val="single" w:sz="8" w:color="auto"/>
            </w:tcBorders>
            <w:gridSpan w:val="3"/>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20" w:type="dxa"/>
            <w:vAlign w:val="bottom"/>
            <w:gridSpan w:val="3"/>
          </w:tcPr>
          <w:p>
            <w:pPr>
              <w:spacing w:after="0" w:line="155" w:lineRule="exact"/>
              <w:rPr>
                <w:sz w:val="20"/>
                <w:szCs w:val="20"/>
                <w:color w:val="auto"/>
              </w:rPr>
            </w:pPr>
            <w:r>
              <w:rPr>
                <w:rFonts w:ascii="Arial" w:cs="Arial" w:eastAsia="Arial" w:hAnsi="Arial"/>
                <w:sz w:val="14"/>
                <w:szCs w:val="14"/>
                <w:color w:val="auto"/>
              </w:rPr>
              <w:t>Fiscal years ended October 31</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78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2012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Equipment</w:t>
            </w:r>
          </w:p>
        </w:tc>
        <w:tc>
          <w:tcPr>
            <w:tcW w:w="6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$1,765,845</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$1,649,489</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$1,586,864</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Irrigation and lighting</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406,846</w:t>
            </w:r>
          </w:p>
        </w:tc>
        <w:tc>
          <w:tcPr>
            <w:tcW w:w="32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391,942</w:t>
            </w:r>
          </w:p>
        </w:tc>
        <w:tc>
          <w:tcPr>
            <w:tcW w:w="10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371,826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$2,172,691</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$2,041,431</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$1,958,690</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firstLine="146"/>
        <w:spacing w:after="0" w:line="239" w:lineRule="auto"/>
        <w:rPr>
          <w:sz w:val="20"/>
          <w:szCs w:val="20"/>
          <w:color w:val="auto"/>
        </w:rPr>
      </w:pPr>
      <w:r>
        <w:rPr>
          <w:rFonts w:ascii="Arial" w:cs="Arial" w:eastAsia="Arial" w:hAnsi="Arial"/>
          <w:sz w:val="18"/>
          <w:szCs w:val="18"/>
          <w:color w:val="auto"/>
        </w:rPr>
        <w:t>Sales to one customer in the Residential segment accounted for 11 percent, 10 percent, and 11 percent of total consolidated gross sales in fiscal 2014,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50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7"/>
        </w:trPr>
        <w:tc>
          <w:tcPr>
            <w:tcW w:w="7280" w:type="dxa"/>
            <w:vAlign w:val="bottom"/>
            <w:gridSpan w:val="3"/>
          </w:tcPr>
          <w:p>
            <w:pPr>
              <w:spacing w:after="0" w:line="157" w:lineRule="exact"/>
              <w:rPr>
                <w:sz w:val="20"/>
                <w:szCs w:val="20"/>
                <w:color w:val="auto"/>
              </w:rPr>
            </w:pPr>
            <w:r>
              <w:rPr>
                <w:rFonts w:ascii="Arial" w:cs="Arial" w:eastAsia="Arial" w:hAnsi="Arial"/>
                <w:sz w:val="14"/>
                <w:szCs w:val="14"/>
                <w:color w:val="auto"/>
              </w:rPr>
              <w:t>Fiscal years ended October 31</w:t>
            </w:r>
          </w:p>
        </w:tc>
        <w:tc>
          <w:tcPr>
            <w:tcW w:w="2240" w:type="dxa"/>
            <w:vAlign w:val="bottom"/>
          </w:tcPr>
          <w:p>
            <w:pPr>
              <w:jc w:val="right"/>
              <w:ind w:right="8"/>
              <w:spacing w:after="0" w:line="157" w:lineRule="exact"/>
              <w:rPr>
                <w:sz w:val="20"/>
                <w:szCs w:val="20"/>
                <w:color w:val="auto"/>
              </w:rPr>
            </w:pPr>
            <w:r>
              <w:rPr>
                <w:rFonts w:ascii="Arial" w:cs="Arial" w:eastAsia="Arial" w:hAnsi="Arial"/>
                <w:sz w:val="14"/>
                <w:szCs w:val="14"/>
                <w:color w:val="auto"/>
              </w:rPr>
              <w:t>States</w:t>
            </w:r>
          </w:p>
        </w:tc>
        <w:tc>
          <w:tcPr>
            <w:tcW w:w="200" w:type="dxa"/>
            <w:vAlign w:val="bottom"/>
          </w:tcPr>
          <w:p>
            <w:pPr>
              <w:spacing w:after="0"/>
              <w:rPr>
                <w:sz w:val="13"/>
                <w:szCs w:val="13"/>
                <w:color w:val="auto"/>
              </w:rPr>
            </w:pP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auto"/>
              </w:rPr>
              <w:t>Countries</w:t>
            </w:r>
          </w:p>
        </w:tc>
        <w:tc>
          <w:tcPr>
            <w:tcW w:w="9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2014</w:t>
            </w:r>
          </w:p>
        </w:tc>
        <w:tc>
          <w:tcPr>
            <w:tcW w:w="6500" w:type="dxa"/>
            <w:vAlign w:val="bottom"/>
            <w:tcBorders>
              <w:top w:val="single" w:sz="8" w:color="auto"/>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6500" w:type="dxa"/>
            <w:vAlign w:val="bottom"/>
          </w:tcPr>
          <w:p>
            <w:pPr>
              <w:spacing w:after="0"/>
              <w:rPr>
                <w:sz w:val="14"/>
                <w:szCs w:val="14"/>
                <w:color w:val="auto"/>
              </w:rPr>
            </w:pPr>
          </w:p>
        </w:tc>
        <w:tc>
          <w:tcPr>
            <w:tcW w:w="2240" w:type="dxa"/>
            <w:vAlign w:val="bottom"/>
          </w:tcPr>
          <w:p>
            <w:pPr>
              <w:jc w:val="right"/>
              <w:ind w:right="8"/>
              <w:spacing w:after="0"/>
              <w:rPr>
                <w:sz w:val="20"/>
                <w:szCs w:val="20"/>
                <w:color w:val="auto"/>
              </w:rPr>
            </w:pPr>
            <w:r>
              <w:rPr>
                <w:rFonts w:ascii="Arial" w:cs="Arial" w:eastAsia="Arial" w:hAnsi="Arial"/>
                <w:sz w:val="14"/>
                <w:szCs w:val="14"/>
                <w:b w:val="1"/>
                <w:bCs w:val="1"/>
                <w:color w:val="auto"/>
              </w:rPr>
              <w:t>$1,550,077</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622,614</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$2,172,691</w:t>
            </w:r>
          </w:p>
        </w:tc>
      </w:tr>
      <w:tr>
        <w:trPr>
          <w:trHeight w:val="162"/>
        </w:trPr>
        <w:tc>
          <w:tcPr>
            <w:tcW w:w="20" w:type="dxa"/>
            <w:vAlign w:val="bottom"/>
          </w:tcPr>
          <w:p>
            <w:pPr>
              <w:spacing w:after="0"/>
              <w:rPr>
                <w:sz w:val="14"/>
                <w:szCs w:val="14"/>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169,797</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35,398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205,195</w:t>
            </w:r>
          </w:p>
        </w:tc>
        <w:tc>
          <w:tcPr>
            <w:tcW w:w="160" w:type="dxa"/>
            <w:vAlign w:val="bottom"/>
            <w:shd w:val="clear" w:color="auto" w:fill="CCEEFF"/>
          </w:tcPr>
          <w:p>
            <w:pPr>
              <w:spacing w:after="0"/>
              <w:rPr>
                <w:sz w:val="14"/>
                <w:szCs w:val="14"/>
                <w:color w:val="auto"/>
              </w:rPr>
            </w:pPr>
          </w:p>
        </w:tc>
      </w:tr>
      <w:tr>
        <w:trPr>
          <w:trHeight w:val="156"/>
        </w:trPr>
        <w:tc>
          <w:tcPr>
            <w:tcW w:w="780" w:type="dxa"/>
            <w:vAlign w:val="bottom"/>
            <w:gridSpan w:val="2"/>
          </w:tcPr>
          <w:p>
            <w:pPr>
              <w:spacing w:after="0" w:line="155" w:lineRule="exact"/>
              <w:rPr>
                <w:sz w:val="20"/>
                <w:szCs w:val="20"/>
                <w:color w:val="auto"/>
              </w:rPr>
            </w:pPr>
            <w:r>
              <w:rPr>
                <w:rFonts w:ascii="Arial" w:cs="Arial" w:eastAsia="Arial" w:hAnsi="Arial"/>
                <w:sz w:val="14"/>
                <w:szCs w:val="14"/>
                <w:color w:val="auto"/>
              </w:rPr>
              <w:t>2013</w:t>
            </w:r>
          </w:p>
        </w:tc>
        <w:tc>
          <w:tcPr>
            <w:tcW w:w="6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500" w:type="dxa"/>
            <w:vAlign w:val="bottom"/>
            <w:shd w:val="clear" w:color="auto" w:fill="CCEEFF"/>
          </w:tcPr>
          <w:p>
            <w:pPr>
              <w:spacing w:after="0"/>
              <w:rPr>
                <w:sz w:val="14"/>
                <w:szCs w:val="14"/>
                <w:color w:val="auto"/>
              </w:rPr>
            </w:pPr>
          </w:p>
        </w:tc>
        <w:tc>
          <w:tcPr>
            <w:tcW w:w="2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$1,426,060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615,371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$2,041,431</w:t>
            </w:r>
          </w:p>
        </w:tc>
      </w:tr>
      <w:tr>
        <w:trPr>
          <w:trHeight w:val="162"/>
        </w:trPr>
        <w:tc>
          <w:tcPr>
            <w:tcW w:w="7280" w:type="dxa"/>
            <w:vAlign w:val="bottom"/>
            <w:gridSpan w:val="3"/>
          </w:tcPr>
          <w:p>
            <w:pPr>
              <w:spacing w:after="0"/>
              <w:rPr>
                <w:sz w:val="20"/>
                <w:szCs w:val="20"/>
                <w:color w:val="auto"/>
              </w:rPr>
            </w:pPr>
            <w:r>
              <w:rPr>
                <w:rFonts w:ascii="Arial" w:cs="Arial" w:eastAsia="Arial" w:hAnsi="Arial"/>
                <w:sz w:val="14"/>
                <w:szCs w:val="14"/>
                <w:color w:val="auto"/>
              </w:rPr>
              <w:t>Long-lived assets</w:t>
            </w:r>
          </w:p>
        </w:tc>
        <w:tc>
          <w:tcPr>
            <w:tcW w:w="2240" w:type="dxa"/>
            <w:vAlign w:val="bottom"/>
          </w:tcPr>
          <w:p>
            <w:pPr>
              <w:jc w:val="right"/>
              <w:ind w:right="8"/>
              <w:spacing w:after="0"/>
              <w:rPr>
                <w:sz w:val="20"/>
                <w:szCs w:val="20"/>
                <w:color w:val="auto"/>
              </w:rPr>
            </w:pPr>
            <w:r>
              <w:rPr>
                <w:rFonts w:ascii="Arial" w:cs="Arial" w:eastAsia="Arial" w:hAnsi="Arial"/>
                <w:sz w:val="14"/>
                <w:szCs w:val="14"/>
                <w:color w:val="auto"/>
              </w:rPr>
              <w:t>143,547</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41,549</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185,096</w:t>
            </w:r>
          </w:p>
        </w:tc>
      </w:tr>
      <w:tr>
        <w:trPr>
          <w:trHeight w:val="156"/>
        </w:trPr>
        <w:tc>
          <w:tcPr>
            <w:tcW w:w="20" w:type="dxa"/>
            <w:vAlign w:val="bottom"/>
          </w:tcPr>
          <w:p>
            <w:pPr>
              <w:spacing w:after="0"/>
              <w:rPr>
                <w:sz w:val="13"/>
                <w:szCs w:val="13"/>
                <w:color w:val="auto"/>
              </w:rPr>
            </w:pPr>
          </w:p>
        </w:tc>
        <w:tc>
          <w:tcPr>
            <w:tcW w:w="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2012</w:t>
            </w:r>
          </w:p>
        </w:tc>
        <w:tc>
          <w:tcPr>
            <w:tcW w:w="6500" w:type="dxa"/>
            <w:vAlign w:val="bottom"/>
            <w:tcBorders>
              <w:top w:val="single" w:sz="8" w:color="auto"/>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7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500" w:type="dxa"/>
            <w:vAlign w:val="bottom"/>
          </w:tcPr>
          <w:p>
            <w:pPr>
              <w:spacing w:after="0"/>
              <w:rPr>
                <w:sz w:val="14"/>
                <w:szCs w:val="14"/>
                <w:color w:val="auto"/>
              </w:rPr>
            </w:pPr>
          </w:p>
        </w:tc>
        <w:tc>
          <w:tcPr>
            <w:tcW w:w="2240" w:type="dxa"/>
            <w:vAlign w:val="bottom"/>
          </w:tcPr>
          <w:p>
            <w:pPr>
              <w:jc w:val="right"/>
              <w:ind w:right="8"/>
              <w:spacing w:after="0"/>
              <w:rPr>
                <w:sz w:val="20"/>
                <w:szCs w:val="20"/>
                <w:color w:val="auto"/>
              </w:rPr>
            </w:pPr>
            <w:r>
              <w:rPr>
                <w:rFonts w:ascii="Arial" w:cs="Arial" w:eastAsia="Arial" w:hAnsi="Arial"/>
                <w:sz w:val="14"/>
                <w:szCs w:val="14"/>
                <w:color w:val="auto"/>
              </w:rPr>
              <w:t>$1,364,377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594,313</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$1,958,690</w:t>
            </w:r>
          </w:p>
        </w:tc>
      </w:tr>
      <w:tr>
        <w:trPr>
          <w:trHeight w:val="162"/>
        </w:trPr>
        <w:tc>
          <w:tcPr>
            <w:tcW w:w="20" w:type="dxa"/>
            <w:vAlign w:val="bottom"/>
          </w:tcPr>
          <w:p>
            <w:pPr>
              <w:spacing w:after="0"/>
              <w:rPr>
                <w:sz w:val="14"/>
                <w:szCs w:val="14"/>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137,708</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42,815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180,523</w:t>
            </w:r>
          </w:p>
        </w:tc>
        <w:tc>
          <w:tcPr>
            <w:tcW w:w="160" w:type="dxa"/>
            <w:vAlign w:val="bottom"/>
            <w:shd w:val="clear" w:color="auto" w:fill="CCEEFF"/>
          </w:tcPr>
          <w:p>
            <w:pPr>
              <w:spacing w:after="0"/>
              <w:rPr>
                <w:sz w:val="14"/>
                <w:szCs w:val="14"/>
                <w:color w:val="auto"/>
              </w:rPr>
            </w:pPr>
          </w:p>
        </w:tc>
      </w:tr>
      <w:tr>
        <w:trPr>
          <w:trHeight w:val="731"/>
        </w:trPr>
        <w:tc>
          <w:tcPr>
            <w:tcW w:w="780" w:type="dxa"/>
            <w:vAlign w:val="bottom"/>
            <w:gridSpan w:val="2"/>
          </w:tcPr>
          <w:p>
            <w:pPr>
              <w:spacing w:after="0"/>
              <w:rPr>
                <w:sz w:val="20"/>
                <w:szCs w:val="20"/>
                <w:color w:val="auto"/>
              </w:rPr>
            </w:pPr>
            <w:r>
              <w:rPr>
                <w:rFonts w:ascii="Arial" w:cs="Arial" w:eastAsia="Arial" w:hAnsi="Arial"/>
                <w:sz w:val="43"/>
                <w:szCs w:val="43"/>
                <w:b w:val="1"/>
                <w:bCs w:val="1"/>
                <w:color w:val="auto"/>
              </w:rPr>
              <w:t>13</w:t>
            </w:r>
          </w:p>
        </w:tc>
        <w:tc>
          <w:tcPr>
            <w:tcW w:w="6500" w:type="dxa"/>
            <w:vAlign w:val="bottom"/>
          </w:tcPr>
          <w:p>
            <w:pPr>
              <w:ind w:left="140"/>
              <w:spacing w:after="0"/>
              <w:rPr>
                <w:sz w:val="20"/>
                <w:szCs w:val="20"/>
                <w:color w:val="auto"/>
              </w:rPr>
            </w:pPr>
            <w:r>
              <w:rPr>
                <w:rFonts w:ascii="Arial" w:cs="Arial" w:eastAsia="Arial" w:hAnsi="Arial"/>
                <w:sz w:val="22"/>
                <w:szCs w:val="22"/>
                <w:b w:val="1"/>
                <w:bCs w:val="1"/>
                <w:color w:val="auto"/>
              </w:rPr>
              <w:t>COMMITMENTS AND CONTINGENT LIABILITIES</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Total rental expense for operating leases was $24,329, $24,399, and $22,166 for the fiscal years ended October 31, 2014, 2013, and 2012, respectively. As of October 31, 2014, future minimum lease payments under noncancelable operating leases amounted to $67,522 as follows: 2015, $15,308; 2016, $11,427; 2017, $7,353; 2018, $5,344; 2019, $4,204 and after 2019, $23,886.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Toro Credit Company sold its receivable portfolio to Red Iron, the company's joint venture with TCFIF.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3 for additional information related to Red Iron. Some products sold to independent dealers in Australia are financed by a third party finance company. This third party financing company purchased $18,693 of receivables from the company during fiscal 2014. As of October 31, 2014, $10,945 of receivables financed by the third party financing company, excluding Red Iron, was outstanding.</w:t>
      </w:r>
    </w:p>
    <w:p>
      <w:pPr>
        <w:spacing w:after="0" w:line="205" w:lineRule="exact"/>
        <w:rPr>
          <w:sz w:val="20"/>
          <w:szCs w:val="20"/>
          <w:color w:val="auto"/>
        </w:rPr>
      </w:pPr>
    </w:p>
    <w:p>
      <w:pPr>
        <w:ind w:right="460" w:firstLine="143"/>
        <w:spacing w:after="0" w:line="238"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financed by third party financing companies and Red Iron. As of October 31, 2014, the company was contingently liable to repurchase up to a maximum amount of $9,369 of inventory related to receivables under these financing arrangements. The</w:t>
      </w:r>
    </w:p>
    <w:p>
      <w:pPr>
        <w:sectPr>
          <w:pgSz w:w="11900" w:h="16838" w:orient="portrait"/>
          <w:cols w:equalWidth="0" w:num="1">
            <w:col w:w="11420"/>
          </w:cols>
          <w:pgMar w:left="240" w:top="143" w:right="239" w:bottom="389"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389"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company has repurchased only immaterial amounts of inventory under these repurchase agreements since inception.</w:t>
      </w:r>
    </w:p>
    <w:p>
      <w:pPr>
        <w:spacing w:after="0" w:line="192"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The company has agreements with third party financing companies to provide lease-financing options to golf course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fields and grounds equipment customers in the U.S. and select countries in Europe. The company has no contingent liabilities for residual value or credit collection risk under these agreements with third party financing companies.</w:t>
      </w:r>
    </w:p>
    <w:p>
      <w:pPr>
        <w:spacing w:after="0" w:line="202"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From time to time, the company enters into agreements where it provides recourse to third party finance companies in the event of default by the customer for lease payments to the third party finance company. The company's maximum exposure for credit collection as of October 31, 2014 was $1,893.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October 31, 2014, the company had $18,921 of noncancelable purchase commitments with some suppliers for materials and supplies as part of the normal course of business. The company also entered into a construction agreement for the renovation of its original corporate facility located at Bloomington, Minnesota, to accommodate needs for expansion of product development and test capacities, for a maximum obligation, subject to certain exceptions, of $15,291.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2014 and 2013, the company had $16,220 and $12,681, respectively, in outstanding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14</w:t>
      </w:r>
      <w:r>
        <w:rPr>
          <w:sz w:val="20"/>
          <w:szCs w:val="20"/>
          <w:color w:val="auto"/>
        </w:rPr>
        <w:tab/>
      </w:r>
      <w:r>
        <w:rPr>
          <w:rFonts w:ascii="Arial" w:cs="Arial" w:eastAsia="Arial" w:hAnsi="Arial"/>
          <w:sz w:val="21"/>
          <w:szCs w:val="21"/>
          <w:b w:val="1"/>
          <w:bCs w:val="1"/>
          <w:color w:val="auto"/>
        </w:rPr>
        <w:t>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w:t>
      </w:r>
    </w:p>
    <w:p>
      <w:pPr>
        <w:sectPr>
          <w:pgSz w:w="11900" w:h="16838" w:orient="portrait"/>
          <w:cols w:equalWidth="0" w:num="1">
            <w:col w:w="11400"/>
          </w:cols>
          <w:pgMar w:left="240" w:top="143" w:right="25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Cash Flow Hedges. </w:t>
      </w:r>
      <w:r>
        <w:rPr>
          <w:rFonts w:ascii="Arial" w:cs="Arial" w:eastAsia="Arial" w:hAnsi="Arial"/>
          <w:sz w:val="18"/>
          <w:szCs w:val="18"/>
          <w:color w:val="auto"/>
        </w:rPr>
        <w:t>The company recognizes all derivative instruments as either assets or liabilities at fair value on the consolidated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sheet and 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216" w:lineRule="exact"/>
        <w:rPr>
          <w:sz w:val="20"/>
          <w:szCs w:val="20"/>
          <w:color w:val="auto"/>
        </w:rPr>
      </w:pPr>
    </w:p>
    <w:p>
      <w:pPr>
        <w:ind w:firstLine="143"/>
        <w:spacing w:after="0" w:line="235" w:lineRule="auto"/>
        <w:rPr>
          <w:sz w:val="20"/>
          <w:szCs w:val="20"/>
          <w:color w:val="auto"/>
        </w:rPr>
      </w:pPr>
      <w:r>
        <w:rPr>
          <w:rFonts w:ascii="Arial" w:cs="Arial" w:eastAsia="Arial" w:hAnsi="Arial"/>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fiscal years ended October 31, 2014 and 2013, there were immaterial losses on contracts reclassified into earnings as a result of the discontinuance of cash flow hedges. As of October 31, 2014, the notional amount of outstanding forward contracts designated as cash flow hedges was $106,906. Additionally, the company has one cross currency interest rate swap instrument outstanding as of October 31, 2014 for a fixed pay notional of 36,593 Romanian New Leu and receive floating notional of 8,500 Euro.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Derivatives Not Designated as Hedging Instruments. </w:t>
      </w:r>
      <w:r>
        <w:rPr>
          <w:rFonts w:ascii="Arial" w:cs="Arial" w:eastAsia="Arial" w:hAnsi="Arial"/>
          <w:sz w:val="18"/>
          <w:szCs w:val="18"/>
          <w:color w:val="auto"/>
        </w:rPr>
        <w:t>The company also enters into foreign currency contracts that include forward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3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Asset Derivatives</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Liability Derivatives</w:t>
            </w: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 2014</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October 31, 2013</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October 31, 2014</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October 31, 2013</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Balance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Balance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Balance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Balance</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Sheet</w:t>
            </w:r>
          </w:p>
        </w:tc>
        <w:tc>
          <w:tcPr>
            <w:tcW w:w="5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Fair</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Sheet</w:t>
            </w:r>
          </w:p>
        </w:tc>
        <w:tc>
          <w:tcPr>
            <w:tcW w:w="5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c>
          <w:tcPr>
            <w:tcW w:w="980" w:type="dxa"/>
            <w:vAlign w:val="bottom"/>
          </w:tcPr>
          <w:p>
            <w:pPr>
              <w:ind w:left="20"/>
              <w:spacing w:after="0"/>
              <w:rPr>
                <w:sz w:val="20"/>
                <w:szCs w:val="20"/>
                <w:color w:val="auto"/>
              </w:rPr>
            </w:pPr>
            <w:r>
              <w:rPr>
                <w:rFonts w:ascii="Arial" w:cs="Arial" w:eastAsia="Arial" w:hAnsi="Arial"/>
                <w:sz w:val="14"/>
                <w:szCs w:val="14"/>
                <w:color w:val="auto"/>
              </w:rPr>
              <w:t>Sheet</w:t>
            </w:r>
          </w:p>
        </w:tc>
        <w:tc>
          <w:tcPr>
            <w:tcW w:w="4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Fair</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Sheet</w:t>
            </w:r>
          </w:p>
        </w:tc>
        <w:tc>
          <w:tcPr>
            <w:tcW w:w="4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Location</w:t>
            </w:r>
          </w:p>
        </w:tc>
        <w:tc>
          <w:tcPr>
            <w:tcW w:w="560" w:type="dxa"/>
            <w:vAlign w:val="bottom"/>
          </w:tcPr>
          <w:p>
            <w:pPr>
              <w:spacing w:after="0"/>
              <w:rPr>
                <w:sz w:val="13"/>
                <w:szCs w:val="13"/>
                <w:color w:val="auto"/>
              </w:rPr>
            </w:pPr>
          </w:p>
        </w:tc>
        <w:tc>
          <w:tcPr>
            <w:tcW w:w="4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Value</w:t>
            </w:r>
          </w:p>
        </w:tc>
        <w:tc>
          <w:tcPr>
            <w:tcW w:w="10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Location</w:t>
            </w:r>
          </w:p>
        </w:tc>
        <w:tc>
          <w:tcPr>
            <w:tcW w:w="54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Location</w:t>
            </w:r>
          </w:p>
        </w:tc>
        <w:tc>
          <w:tcPr>
            <w:tcW w:w="480" w:type="dxa"/>
            <w:vAlign w:val="bottom"/>
          </w:tcPr>
          <w:p>
            <w:pPr>
              <w:spacing w:after="0"/>
              <w:rPr>
                <w:sz w:val="13"/>
                <w:szCs w:val="13"/>
                <w:color w:val="auto"/>
              </w:rPr>
            </w:pPr>
          </w:p>
        </w:tc>
        <w:tc>
          <w:tcPr>
            <w:tcW w:w="4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w w:val="94"/>
              </w:rPr>
              <w:t>Value</w:t>
            </w:r>
          </w:p>
        </w:tc>
        <w:tc>
          <w:tcPr>
            <w:tcW w:w="10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Location</w:t>
            </w:r>
          </w:p>
        </w:tc>
        <w:tc>
          <w:tcPr>
            <w:tcW w:w="46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Prepaid</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4,626</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Prepaid</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Accrued</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4"/>
                <w:szCs w:val="14"/>
                <w:color w:val="auto"/>
              </w:rPr>
              <w:t>Accrued</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380" w:type="dxa"/>
            <w:vAlign w:val="bottom"/>
            <w:gridSpan w:val="2"/>
          </w:tcPr>
          <w:p>
            <w:pPr>
              <w:spacing w:after="0" w:line="157" w:lineRule="exact"/>
              <w:rPr>
                <w:sz w:val="20"/>
                <w:szCs w:val="20"/>
                <w:color w:val="auto"/>
              </w:rPr>
            </w:pPr>
            <w:r>
              <w:rPr>
                <w:rFonts w:ascii="Arial" w:cs="Arial" w:eastAsia="Arial" w:hAnsi="Arial"/>
                <w:sz w:val="14"/>
                <w:szCs w:val="14"/>
                <w:color w:val="auto"/>
              </w:rPr>
              <w:t>Forward currency contracts</w:t>
            </w: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expenses</w:t>
            </w:r>
          </w:p>
        </w:tc>
        <w:tc>
          <w:tcPr>
            <w:tcW w:w="56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0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expenses</w:t>
            </w:r>
          </w:p>
        </w:tc>
        <w:tc>
          <w:tcPr>
            <w:tcW w:w="54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558</w:t>
            </w:r>
          </w:p>
        </w:tc>
        <w:tc>
          <w:tcPr>
            <w:tcW w:w="980" w:type="dxa"/>
            <w:vAlign w:val="bottom"/>
          </w:tcPr>
          <w:p>
            <w:pPr>
              <w:ind w:left="240"/>
              <w:spacing w:after="0" w:line="157" w:lineRule="exact"/>
              <w:rPr>
                <w:sz w:val="20"/>
                <w:szCs w:val="20"/>
                <w:color w:val="auto"/>
              </w:rPr>
            </w:pPr>
            <w:r>
              <w:rPr>
                <w:rFonts w:ascii="Arial" w:cs="Arial" w:eastAsia="Arial" w:hAnsi="Arial"/>
                <w:sz w:val="14"/>
                <w:szCs w:val="14"/>
                <w:color w:val="auto"/>
              </w:rPr>
              <w:t>liabilities</w:t>
            </w:r>
          </w:p>
        </w:tc>
        <w:tc>
          <w:tcPr>
            <w:tcW w:w="48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20"/>
              <w:spacing w:after="0" w:line="157" w:lineRule="exact"/>
              <w:rPr>
                <w:sz w:val="20"/>
                <w:szCs w:val="20"/>
                <w:color w:val="auto"/>
              </w:rPr>
            </w:pPr>
            <w:r>
              <w:rPr>
                <w:rFonts w:ascii="Arial" w:cs="Arial" w:eastAsia="Arial" w:hAnsi="Arial"/>
                <w:sz w:val="14"/>
                <w:szCs w:val="14"/>
                <w:color w:val="auto"/>
              </w:rPr>
              <w:t>liabilities</w:t>
            </w:r>
          </w:p>
        </w:tc>
        <w:tc>
          <w:tcPr>
            <w:tcW w:w="4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Prepaid</w:t>
            </w:r>
          </w:p>
        </w:tc>
        <w:tc>
          <w:tcPr>
            <w:tcW w:w="560" w:type="dxa"/>
            <w:vAlign w:val="bottom"/>
            <w:shd w:val="clear" w:color="auto" w:fill="CCEEFF"/>
          </w:tcPr>
          <w:p>
            <w:pPr>
              <w:spacing w:after="0"/>
              <w:rPr>
                <w:sz w:val="24"/>
                <w:szCs w:val="24"/>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831</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Prepaid</w:t>
            </w: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w:t>
            </w:r>
          </w:p>
        </w:tc>
        <w:tc>
          <w:tcPr>
            <w:tcW w:w="480" w:type="dxa"/>
            <w:vAlign w:val="bottom"/>
            <w:shd w:val="clear" w:color="auto" w:fill="CCEEFF"/>
          </w:tcPr>
          <w:p>
            <w:pPr>
              <w:spacing w:after="0"/>
              <w:rPr>
                <w:sz w:val="24"/>
                <w:szCs w:val="24"/>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w:t>
            </w: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Cross currency contract</w:t>
            </w:r>
          </w:p>
        </w:tc>
        <w:tc>
          <w:tcPr>
            <w:tcW w:w="10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expenses</w:t>
            </w:r>
          </w:p>
        </w:tc>
        <w:tc>
          <w:tcPr>
            <w:tcW w:w="56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liabilities</w:t>
            </w:r>
          </w:p>
        </w:tc>
        <w:tc>
          <w:tcPr>
            <w:tcW w:w="4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liabilities</w:t>
            </w:r>
          </w:p>
        </w:tc>
        <w:tc>
          <w:tcPr>
            <w:tcW w:w="4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35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100"/>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Prepaid</w:t>
            </w:r>
          </w:p>
        </w:tc>
        <w:tc>
          <w:tcPr>
            <w:tcW w:w="5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1,404</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Prepaid</w:t>
            </w: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w:t>
            </w:r>
          </w:p>
        </w:tc>
        <w:tc>
          <w:tcPr>
            <w:tcW w:w="480" w:type="dxa"/>
            <w:vAlign w:val="bottom"/>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w:t>
            </w: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Forward currency contracts</w:t>
            </w:r>
          </w:p>
        </w:tc>
        <w:tc>
          <w:tcPr>
            <w:tcW w:w="100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expenses</w:t>
            </w:r>
          </w:p>
        </w:tc>
        <w:tc>
          <w:tcPr>
            <w:tcW w:w="56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708</w:t>
            </w:r>
          </w:p>
        </w:tc>
        <w:tc>
          <w:tcPr>
            <w:tcW w:w="98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liabilities</w:t>
            </w:r>
          </w:p>
        </w:tc>
        <w:tc>
          <w:tcPr>
            <w:tcW w:w="48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liabilities</w:t>
            </w:r>
          </w:p>
        </w:tc>
        <w:tc>
          <w:tcPr>
            <w:tcW w:w="4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Prepaid</w:t>
            </w:r>
          </w:p>
        </w:tc>
        <w:tc>
          <w:tcPr>
            <w:tcW w:w="560" w:type="dxa"/>
            <w:vAlign w:val="bottom"/>
          </w:tcPr>
          <w:p>
            <w:pPr>
              <w:spacing w:after="0"/>
              <w:rPr>
                <w:sz w:val="24"/>
                <w:szCs w:val="24"/>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Prepaid</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Accrued</w:t>
            </w:r>
          </w:p>
        </w:tc>
        <w:tc>
          <w:tcPr>
            <w:tcW w:w="480" w:type="dxa"/>
            <w:vAlign w:val="bottom"/>
          </w:tcPr>
          <w:p>
            <w:pPr>
              <w:spacing w:after="0"/>
              <w:rPr>
                <w:sz w:val="24"/>
                <w:szCs w:val="24"/>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536</w:t>
            </w:r>
          </w:p>
        </w:tc>
        <w:tc>
          <w:tcPr>
            <w:tcW w:w="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4"/>
                <w:szCs w:val="14"/>
                <w:color w:val="auto"/>
              </w:rPr>
              <w:t>Accrued</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380" w:type="dxa"/>
            <w:vAlign w:val="bottom"/>
            <w:gridSpan w:val="2"/>
          </w:tcPr>
          <w:p>
            <w:pPr>
              <w:spacing w:after="0" w:line="157" w:lineRule="exact"/>
              <w:rPr>
                <w:sz w:val="20"/>
                <w:szCs w:val="20"/>
                <w:color w:val="auto"/>
              </w:rPr>
            </w:pPr>
            <w:r>
              <w:rPr>
                <w:rFonts w:ascii="Arial" w:cs="Arial" w:eastAsia="Arial" w:hAnsi="Arial"/>
                <w:sz w:val="14"/>
                <w:szCs w:val="14"/>
                <w:color w:val="auto"/>
              </w:rPr>
              <w:t>Cross currency contract</w:t>
            </w: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expenses</w:t>
            </w:r>
          </w:p>
        </w:tc>
        <w:tc>
          <w:tcPr>
            <w:tcW w:w="5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0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expenses</w:t>
            </w:r>
          </w:p>
        </w:tc>
        <w:tc>
          <w:tcPr>
            <w:tcW w:w="54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ind w:left="240"/>
              <w:spacing w:after="0" w:line="157" w:lineRule="exact"/>
              <w:rPr>
                <w:sz w:val="20"/>
                <w:szCs w:val="20"/>
                <w:color w:val="auto"/>
              </w:rPr>
            </w:pPr>
            <w:r>
              <w:rPr>
                <w:rFonts w:ascii="Arial" w:cs="Arial" w:eastAsia="Arial" w:hAnsi="Arial"/>
                <w:sz w:val="14"/>
                <w:szCs w:val="14"/>
                <w:color w:val="auto"/>
              </w:rPr>
              <w:t>liabilities</w:t>
            </w:r>
          </w:p>
        </w:tc>
        <w:tc>
          <w:tcPr>
            <w:tcW w:w="4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20"/>
              <w:spacing w:after="0" w:line="157" w:lineRule="exact"/>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3"/>
                <w:szCs w:val="13"/>
                <w:color w:val="auto"/>
              </w:rPr>
            </w:pPr>
          </w:p>
        </w:tc>
        <w:tc>
          <w:tcPr>
            <w:tcW w:w="5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6,861</w:t>
            </w: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1,266</w:t>
            </w:r>
          </w:p>
        </w:tc>
        <w:tc>
          <w:tcPr>
            <w:tcW w:w="980" w:type="dxa"/>
            <w:vAlign w:val="bottom"/>
            <w:tcBorders>
              <w:top w:val="single" w:sz="8" w:color="auto"/>
              <w:bottom w:val="single" w:sz="8" w:color="auto"/>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545</w:t>
            </w: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firstLine="143"/>
        <w:spacing w:after="0" w:line="238"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and the consolidated statements of comprehensive income for the company's derivatives designated as cash flow hedging instruments for the fiscal years ended October 31, 2014 and 2013,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Location of Gain (Loss)</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Recognized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Gain (Loss) Recognized</w:t>
            </w: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left="188"/>
              <w:spacing w:after="0"/>
              <w:rPr>
                <w:sz w:val="20"/>
                <w:szCs w:val="20"/>
                <w:color w:val="auto"/>
              </w:rPr>
            </w:pPr>
            <w:r>
              <w:rPr>
                <w:rFonts w:ascii="Arial" w:cs="Arial" w:eastAsia="Arial" w:hAnsi="Arial"/>
                <w:sz w:val="14"/>
                <w:szCs w:val="14"/>
                <w:color w:val="auto"/>
              </w:rPr>
              <w:t>Gain (Loss)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Location of Gain (Loss)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 on Derivatives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in Income on Derivatives</w:t>
            </w: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color w:val="auto"/>
              </w:rPr>
              <w:t>Recognized in OCI on</w:t>
            </w:r>
          </w:p>
        </w:tc>
        <w:tc>
          <w:tcPr>
            <w:tcW w:w="1940" w:type="dxa"/>
            <w:vAlign w:val="bottom"/>
          </w:tcPr>
          <w:p>
            <w:pPr>
              <w:jc w:val="center"/>
              <w:spacing w:after="0"/>
              <w:rPr>
                <w:sz w:val="20"/>
                <w:szCs w:val="20"/>
                <w:color w:val="auto"/>
              </w:rPr>
            </w:pPr>
            <w:r>
              <w:rPr>
                <w:rFonts w:ascii="Arial" w:cs="Arial" w:eastAsia="Arial" w:hAnsi="Arial"/>
                <w:sz w:val="14"/>
                <w:szCs w:val="14"/>
                <w:color w:val="auto"/>
              </w:rPr>
              <w:t>Reclassified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Gain (Loss) Reclassified</w:t>
            </w:r>
          </w:p>
        </w:tc>
        <w:tc>
          <w:tcPr>
            <w:tcW w:w="1960" w:type="dxa"/>
            <w:vAlign w:val="bottom"/>
          </w:tcPr>
          <w:p>
            <w:pPr>
              <w:jc w:val="center"/>
              <w:spacing w:after="0"/>
              <w:rPr>
                <w:sz w:val="20"/>
                <w:szCs w:val="20"/>
                <w:color w:val="auto"/>
              </w:rPr>
            </w:pPr>
            <w:r>
              <w:rPr>
                <w:rFonts w:ascii="Arial" w:cs="Arial" w:eastAsia="Arial" w:hAnsi="Arial"/>
                <w:sz w:val="14"/>
                <w:szCs w:val="14"/>
                <w:color w:val="auto"/>
              </w:rPr>
              <w:t>(Ineffective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(Ineffective Portion and</w:t>
            </w: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color w:val="auto"/>
              </w:rPr>
              <w:t>Derivatives, net of tax</w:t>
            </w:r>
          </w:p>
        </w:tc>
        <w:tc>
          <w:tcPr>
            <w:tcW w:w="1940" w:type="dxa"/>
            <w:vAlign w:val="bottom"/>
          </w:tcPr>
          <w:p>
            <w:pPr>
              <w:jc w:val="center"/>
              <w:spacing w:after="0"/>
              <w:rPr>
                <w:sz w:val="20"/>
                <w:szCs w:val="20"/>
                <w:color w:val="auto"/>
              </w:rPr>
            </w:pPr>
            <w:r>
              <w:rPr>
                <w:rFonts w:ascii="Arial" w:cs="Arial" w:eastAsia="Arial" w:hAnsi="Arial"/>
                <w:sz w:val="14"/>
                <w:szCs w:val="14"/>
                <w:color w:val="auto"/>
              </w:rPr>
              <w:t>from AOCL into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4"/>
                <w:szCs w:val="14"/>
                <w:color w:val="auto"/>
              </w:rPr>
              <w:t>from AOCL into Income</w:t>
            </w:r>
          </w:p>
        </w:tc>
        <w:tc>
          <w:tcPr>
            <w:tcW w:w="1960" w:type="dxa"/>
            <w:vAlign w:val="bottom"/>
          </w:tcPr>
          <w:p>
            <w:pPr>
              <w:jc w:val="center"/>
              <w:spacing w:after="0"/>
              <w:rPr>
                <w:sz w:val="20"/>
                <w:szCs w:val="20"/>
                <w:color w:val="auto"/>
              </w:rPr>
            </w:pPr>
            <w:r>
              <w:rPr>
                <w:rFonts w:ascii="Arial" w:cs="Arial" w:eastAsia="Arial" w:hAnsi="Arial"/>
                <w:sz w:val="14"/>
                <w:szCs w:val="14"/>
                <w:color w:val="auto"/>
              </w:rPr>
              <w:t>Portion and excluded from</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Excluded from</w:t>
            </w: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(Effective Portion)</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(Effective Portion)</w:t>
            </w: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Effectiveness Testing)</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Effectiveness Testing)</w:t>
            </w:r>
          </w:p>
        </w:tc>
        <w:tc>
          <w:tcPr>
            <w:tcW w:w="4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October 31,</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October 31,</w:t>
            </w: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xml:space="preserve">October 31,  </w:t>
            </w:r>
            <w:r>
              <w:rPr>
                <w:rFonts w:ascii="Arial" w:cs="Arial" w:eastAsia="Arial" w:hAnsi="Arial"/>
                <w:sz w:val="14"/>
                <w:szCs w:val="14"/>
                <w:color w:val="auto"/>
              </w:rPr>
              <w:t>October 31,</w:t>
            </w: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October 31,</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October 31,</w:t>
            </w:r>
          </w:p>
        </w:tc>
      </w:tr>
      <w:tr>
        <w:trPr>
          <w:trHeight w:val="175"/>
        </w:trPr>
        <w:tc>
          <w:tcPr>
            <w:tcW w:w="2000" w:type="dxa"/>
            <w:vAlign w:val="bottom"/>
            <w:gridSpan w:val="2"/>
          </w:tcPr>
          <w:p>
            <w:pPr>
              <w:spacing w:after="0"/>
              <w:rPr>
                <w:sz w:val="20"/>
                <w:szCs w:val="20"/>
                <w:color w:val="auto"/>
              </w:rPr>
            </w:pPr>
            <w:r>
              <w:rPr>
                <w:rFonts w:ascii="Arial" w:cs="Arial" w:eastAsia="Arial" w:hAnsi="Arial"/>
                <w:sz w:val="14"/>
                <w:szCs w:val="14"/>
                <w:color w:val="auto"/>
              </w:rPr>
              <w:t>Fiscal years ended</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2013</w:t>
            </w: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2013</w:t>
            </w: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jc w:val="right"/>
              <w:spacing w:after="0"/>
              <w:rPr>
                <w:sz w:val="20"/>
                <w:szCs w:val="20"/>
                <w:color w:val="auto"/>
              </w:rPr>
            </w:pPr>
            <w:r>
              <w:rPr>
                <w:rFonts w:ascii="Arial" w:cs="Arial" w:eastAsia="Arial" w:hAnsi="Arial"/>
                <w:sz w:val="14"/>
                <w:szCs w:val="14"/>
                <w:color w:val="auto"/>
              </w:rPr>
              <w:t>2013</w:t>
            </w: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0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 $</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4,150</w:t>
            </w:r>
          </w:p>
        </w:tc>
        <w:tc>
          <w:tcPr>
            <w:tcW w:w="500" w:type="dxa"/>
            <w:vAlign w:val="bottom"/>
            <w:tcBorders>
              <w:top w:val="single" w:sz="8" w:color="auto"/>
            </w:tcBorders>
            <w:shd w:val="clear" w:color="auto" w:fill="CCEE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7</w:t>
            </w:r>
          </w:p>
        </w:tc>
        <w:tc>
          <w:tcPr>
            <w:tcW w:w="1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ind w:right="328"/>
              <w:spacing w:after="0" w:line="155" w:lineRule="exact"/>
              <w:rPr>
                <w:sz w:val="20"/>
                <w:szCs w:val="20"/>
                <w:color w:val="auto"/>
              </w:rPr>
            </w:pPr>
            <w:r>
              <w:rPr>
                <w:rFonts w:ascii="Arial" w:cs="Arial" w:eastAsia="Arial" w:hAnsi="Arial"/>
                <w:sz w:val="14"/>
                <w:szCs w:val="14"/>
                <w:b w:val="1"/>
                <w:bCs w:val="1"/>
                <w:color w:val="auto"/>
              </w:rPr>
              <w:t>(1,128)</w:t>
            </w:r>
            <w:r>
              <w:rPr>
                <w:rFonts w:ascii="Arial" w:cs="Arial" w:eastAsia="Arial" w:hAnsi="Arial"/>
                <w:sz w:val="14"/>
                <w:szCs w:val="14"/>
                <w:color w:val="auto"/>
              </w:rPr>
              <w:t>$</w:t>
            </w:r>
          </w:p>
        </w:tc>
        <w:tc>
          <w:tcPr>
            <w:tcW w:w="2360" w:type="dxa"/>
            <w:vAlign w:val="bottom"/>
            <w:tcBorders>
              <w:top w:val="single" w:sz="8" w:color="auto"/>
            </w:tcBorders>
            <w:gridSpan w:val="3"/>
            <w:shd w:val="clear" w:color="auto" w:fill="CCEEFF"/>
          </w:tcPr>
          <w:p>
            <w:pPr>
              <w:ind w:left="60"/>
              <w:spacing w:after="0" w:line="155" w:lineRule="exact"/>
              <w:rPr>
                <w:sz w:val="20"/>
                <w:szCs w:val="20"/>
                <w:color w:val="auto"/>
              </w:rPr>
            </w:pPr>
            <w:r>
              <w:rPr>
                <w:rFonts w:ascii="Arial" w:cs="Arial" w:eastAsia="Arial" w:hAnsi="Arial"/>
                <w:sz w:val="14"/>
                <w:szCs w:val="14"/>
                <w:color w:val="auto"/>
              </w:rPr>
              <w:t>(805)</w:t>
            </w:r>
            <w:r>
              <w:rPr>
                <w:rFonts w:ascii="Arial" w:cs="Arial" w:eastAsia="Arial" w:hAnsi="Arial"/>
                <w:sz w:val="14"/>
                <w:szCs w:val="14"/>
                <w:b w:val="1"/>
                <w:bCs w:val="1"/>
                <w:color w:val="auto"/>
              </w:rPr>
              <w:t>Other income, net</w:t>
            </w: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xml:space="preserve">120 </w:t>
            </w: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648</w:t>
            </w:r>
          </w:p>
        </w:tc>
        <w:tc>
          <w:tcPr>
            <w:tcW w:w="40" w:type="dxa"/>
            <w:vAlign w:val="bottom"/>
            <w:shd w:val="clear" w:color="auto" w:fill="CCEEFF"/>
          </w:tcPr>
          <w:p>
            <w:pPr>
              <w:spacing w:after="0"/>
              <w:rPr>
                <w:sz w:val="13"/>
                <w:szCs w:val="13"/>
                <w:color w:val="auto"/>
              </w:rPr>
            </w:pPr>
          </w:p>
        </w:tc>
      </w:tr>
      <w:tr>
        <w:trPr>
          <w:trHeight w:val="156"/>
        </w:trPr>
        <w:tc>
          <w:tcPr>
            <w:tcW w:w="2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(712)</w:t>
            </w:r>
          </w:p>
        </w:tc>
        <w:tc>
          <w:tcPr>
            <w:tcW w:w="500" w:type="dxa"/>
            <w:vAlign w:val="bottom"/>
          </w:tcPr>
          <w:p>
            <w:pPr>
              <w:spacing w:after="0"/>
              <w:rPr>
                <w:sz w:val="13"/>
                <w:szCs w:val="13"/>
                <w:color w:val="auto"/>
              </w:rPr>
            </w:pPr>
          </w:p>
        </w:tc>
        <w:tc>
          <w:tcPr>
            <w:tcW w:w="234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(231)</w:t>
            </w:r>
            <w:r>
              <w:rPr>
                <w:rFonts w:ascii="Arial" w:cs="Arial" w:eastAsia="Arial" w:hAnsi="Arial"/>
                <w:sz w:val="14"/>
                <w:szCs w:val="14"/>
                <w:b w:val="1"/>
                <w:bCs w:val="1"/>
                <w:color w:val="auto"/>
              </w:rPr>
              <w:t>Cost of sales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103</w:t>
            </w:r>
          </w:p>
        </w:tc>
        <w:tc>
          <w:tcPr>
            <w:tcW w:w="4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473</w:t>
            </w:r>
          </w:p>
        </w:tc>
        <w:tc>
          <w:tcPr>
            <w:tcW w:w="1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Cross currency contracts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50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(680)</w:t>
            </w:r>
            <w:r>
              <w:rPr>
                <w:rFonts w:ascii="Arial" w:cs="Arial" w:eastAsia="Arial" w:hAnsi="Arial"/>
                <w:sz w:val="14"/>
                <w:szCs w:val="14"/>
                <w:b w:val="1"/>
                <w:bCs w:val="1"/>
                <w:color w:val="auto"/>
              </w:rPr>
              <w:t>Other income,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(537)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3,200</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2340" w:type="dxa"/>
            <w:vAlign w:val="bottom"/>
            <w:gridSpan w:val="3"/>
          </w:tcPr>
          <w:p>
            <w:pPr>
              <w:ind w:left="60"/>
              <w:spacing w:after="0"/>
              <w:rPr>
                <w:sz w:val="20"/>
                <w:szCs w:val="20"/>
                <w:color w:val="auto"/>
              </w:rPr>
            </w:pPr>
            <w:r>
              <w:rPr>
                <w:rFonts w:ascii="Arial" w:cs="Arial" w:eastAsia="Arial" w:hAnsi="Arial"/>
                <w:sz w:val="14"/>
                <w:szCs w:val="14"/>
                <w:color w:val="auto"/>
              </w:rPr>
              <w:t>(904)</w:t>
            </w: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(1,562)</w:t>
            </w: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(971)</w:t>
            </w: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20" w:firstLine="137"/>
        <w:spacing w:after="0" w:line="239" w:lineRule="auto"/>
        <w:rPr>
          <w:sz w:val="20"/>
          <w:szCs w:val="20"/>
          <w:color w:val="auto"/>
        </w:rPr>
      </w:pPr>
      <w:r>
        <w:rPr>
          <w:rFonts w:ascii="Arial" w:cs="Arial" w:eastAsia="Arial" w:hAnsi="Arial"/>
          <w:sz w:val="18"/>
          <w:szCs w:val="18"/>
          <w:color w:val="auto"/>
        </w:rPr>
        <w:t>As of October 31, 2014, the company anticipates to reclassify approximately $3,736 of gains from AOCL to earnings during the next twelve months.</w:t>
      </w:r>
    </w:p>
    <w:p>
      <w:pPr>
        <w:spacing w:after="0" w:line="209" w:lineRule="exact"/>
        <w:rPr>
          <w:sz w:val="20"/>
          <w:szCs w:val="20"/>
          <w:color w:val="auto"/>
        </w:rPr>
      </w:pPr>
    </w:p>
    <w:p>
      <w:pPr>
        <w:ind w:right="2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8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Gain (Loss) Recognized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color w:val="auto"/>
              </w:rPr>
              <w:t>in Net Earnings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ind w:left="2960"/>
              <w:spacing w:after="0"/>
              <w:rPr>
                <w:sz w:val="20"/>
                <w:szCs w:val="20"/>
                <w:color w:val="auto"/>
              </w:rPr>
            </w:pPr>
            <w:r>
              <w:rPr>
                <w:rFonts w:ascii="Arial" w:cs="Arial" w:eastAsia="Arial" w:hAnsi="Arial"/>
                <w:sz w:val="14"/>
                <w:szCs w:val="14"/>
                <w:color w:val="auto"/>
              </w:rPr>
              <w:t>Location of Gain</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340" w:type="dxa"/>
            <w:vAlign w:val="bottom"/>
          </w:tcPr>
          <w:p>
            <w:pPr>
              <w:ind w:left="29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340" w:type="dxa"/>
            <w:vAlign w:val="bottom"/>
          </w:tcPr>
          <w:p>
            <w:pPr>
              <w:ind w:left="2960"/>
              <w:spacing w:after="0" w:line="144" w:lineRule="exact"/>
              <w:rPr>
                <w:sz w:val="20"/>
                <w:szCs w:val="20"/>
                <w:color w:val="auto"/>
              </w:rPr>
            </w:pPr>
            <w:r>
              <w:rPr>
                <w:rFonts w:ascii="Arial" w:cs="Arial" w:eastAsia="Arial" w:hAnsi="Arial"/>
                <w:sz w:val="14"/>
                <w:szCs w:val="14"/>
                <w:color w:val="auto"/>
              </w:rPr>
              <w:t>Recognized in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4340" w:type="dxa"/>
            <w:vAlign w:val="bottom"/>
            <w:shd w:val="clear" w:color="auto" w:fill="CCEEFF"/>
          </w:tcPr>
          <w:p>
            <w:pPr>
              <w:ind w:left="2960"/>
              <w:spacing w:after="0" w:line="155" w:lineRule="exact"/>
              <w:rPr>
                <w:sz w:val="20"/>
                <w:szCs w:val="20"/>
                <w:color w:val="auto"/>
              </w:rPr>
            </w:pPr>
            <w:r>
              <w:rPr>
                <w:rFonts w:ascii="Arial" w:cs="Arial" w:eastAsia="Arial" w:hAnsi="Arial"/>
                <w:sz w:val="14"/>
                <w:szCs w:val="14"/>
                <w:b w:val="1"/>
                <w:bCs w:val="1"/>
                <w:color w:val="auto"/>
              </w:rPr>
              <w:t>Other income, net</w:t>
            </w: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3,555</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Cross currency contracts</w:t>
            </w:r>
          </w:p>
        </w:tc>
        <w:tc>
          <w:tcPr>
            <w:tcW w:w="4340" w:type="dxa"/>
            <w:vAlign w:val="bottom"/>
          </w:tcPr>
          <w:p>
            <w:pPr>
              <w:ind w:left="2960"/>
              <w:spacing w:after="0"/>
              <w:rPr>
                <w:sz w:val="20"/>
                <w:szCs w:val="20"/>
                <w:color w:val="auto"/>
              </w:rPr>
            </w:pPr>
            <w:r>
              <w:rPr>
                <w:rFonts w:ascii="Arial" w:cs="Arial" w:eastAsia="Arial" w:hAnsi="Arial"/>
                <w:sz w:val="14"/>
                <w:szCs w:val="14"/>
                <w:b w:val="1"/>
                <w:bCs w:val="1"/>
                <w:color w:val="auto"/>
              </w:rPr>
              <w:t>Other income,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951</w:t>
            </w: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43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4,506</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firstLine="143"/>
        <w:spacing w:after="0" w:line="236" w:lineRule="auto"/>
        <w:rPr>
          <w:sz w:val="20"/>
          <w:szCs w:val="20"/>
          <w:color w:val="auto"/>
        </w:rPr>
      </w:pPr>
      <w:r>
        <w:rPr>
          <w:rFonts w:ascii="Arial" w:cs="Arial" w:eastAsia="Arial" w:hAnsi="Arial"/>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143"/>
        <w:spacing w:after="0" w:line="239"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3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1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Gross Assets</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Amounts</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Assets Presented</w:t>
            </w:r>
          </w:p>
        </w:tc>
        <w:tc>
          <w:tcPr>
            <w:tcW w:w="1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Amounts</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offset in the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Liabilities Presented</w:t>
            </w: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of Recognized</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Offset in the</w:t>
            </w:r>
          </w:p>
        </w:tc>
        <w:tc>
          <w:tcPr>
            <w:tcW w:w="2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1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of Recognized</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Balance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0" w:type="dxa"/>
            <w:vAlign w:val="bottom"/>
          </w:tcPr>
          <w:p>
            <w:pPr>
              <w:spacing w:after="0"/>
              <w:rPr>
                <w:sz w:val="1"/>
                <w:szCs w:val="1"/>
                <w:color w:val="auto"/>
              </w:rPr>
            </w:pPr>
          </w:p>
        </w:tc>
      </w:tr>
      <w:tr>
        <w:trPr>
          <w:trHeight w:val="157"/>
        </w:trPr>
        <w:tc>
          <w:tcPr>
            <w:tcW w:w="27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Balance Sheet</w:t>
            </w:r>
          </w:p>
        </w:tc>
        <w:tc>
          <w:tcPr>
            <w:tcW w:w="240" w:type="dxa"/>
            <w:vAlign w:val="bottom"/>
          </w:tcPr>
          <w:p>
            <w:pPr>
              <w:spacing w:after="0"/>
              <w:rPr>
                <w:sz w:val="13"/>
                <w:szCs w:val="13"/>
                <w:color w:val="auto"/>
              </w:rPr>
            </w:pPr>
          </w:p>
        </w:tc>
        <w:tc>
          <w:tcPr>
            <w:tcW w:w="1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100" w:type="dxa"/>
            <w:vAlign w:val="bottom"/>
          </w:tcPr>
          <w:p>
            <w:pPr>
              <w:spacing w:after="0"/>
              <w:rPr>
                <w:sz w:val="13"/>
                <w:szCs w:val="13"/>
                <w:color w:val="auto"/>
              </w:rPr>
            </w:pPr>
          </w:p>
        </w:tc>
        <w:tc>
          <w:tcPr>
            <w:tcW w:w="10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13"/>
                <w:szCs w:val="13"/>
                <w:color w:val="auto"/>
              </w:rPr>
            </w:pPr>
          </w:p>
        </w:tc>
        <w:tc>
          <w:tcPr>
            <w:tcW w:w="980" w:type="dxa"/>
            <w:vAlign w:val="bottom"/>
          </w:tcPr>
          <w:p>
            <w:pPr>
              <w:jc w:val="right"/>
              <w:ind w:right="8"/>
              <w:spacing w:after="0" w:line="157" w:lineRule="exact"/>
              <w:rPr>
                <w:sz w:val="20"/>
                <w:szCs w:val="20"/>
                <w:color w:val="auto"/>
              </w:rPr>
            </w:pPr>
            <w:r>
              <w:rPr>
                <w:rFonts w:ascii="Arial" w:cs="Arial" w:eastAsia="Arial" w:hAnsi="Arial"/>
                <w:sz w:val="14"/>
                <w:szCs w:val="14"/>
                <w:color w:val="auto"/>
              </w:rPr>
              <w:t>Sheet</w:t>
            </w:r>
          </w:p>
        </w:tc>
        <w:tc>
          <w:tcPr>
            <w:tcW w:w="180" w:type="dxa"/>
            <w:vAlign w:val="bottom"/>
          </w:tcPr>
          <w:p>
            <w:pPr>
              <w:spacing w:after="0"/>
              <w:rPr>
                <w:sz w:val="13"/>
                <w:szCs w:val="13"/>
                <w:color w:val="auto"/>
              </w:rPr>
            </w:pPr>
          </w:p>
        </w:tc>
        <w:tc>
          <w:tcPr>
            <w:tcW w:w="14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Forward currency contracts</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6,265</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(235)</w:t>
            </w:r>
          </w:p>
        </w:tc>
        <w:tc>
          <w:tcPr>
            <w:tcW w:w="2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80" w:type="dxa"/>
            <w:vAlign w:val="bottom"/>
            <w:tcBorders>
              <w:right w:val="single" w:sz="8" w:color="CCEEFF"/>
            </w:tcBorders>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6,030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rPr>
              <w:t>Cross currency contracts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831</w:t>
            </w:r>
          </w:p>
        </w:tc>
        <w:tc>
          <w:tcPr>
            <w:tcW w:w="1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831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(536)</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7,096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(235)</w:t>
            </w:r>
          </w:p>
        </w:tc>
        <w:tc>
          <w:tcPr>
            <w:tcW w:w="2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80" w:type="dxa"/>
            <w:vAlign w:val="bottom"/>
            <w:tcBorders>
              <w:right w:val="single" w:sz="8" w:color="CCEEFF"/>
            </w:tcBorders>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6,861</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(545)</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(545)</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Net Amount of</w:t>
            </w:r>
          </w:p>
        </w:tc>
        <w:tc>
          <w:tcPr>
            <w:tcW w:w="10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Gross Assets</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Net 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Amounts</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Assets Presented</w:t>
            </w:r>
          </w:p>
        </w:tc>
        <w:tc>
          <w:tcPr>
            <w:tcW w:w="10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Amounts</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offset in the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Liabilities Presented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of Recognized</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Offset in the</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in the Balance</w:t>
            </w:r>
          </w:p>
        </w:tc>
        <w:tc>
          <w:tcPr>
            <w:tcW w:w="10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of Recognized</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Balance</w:t>
            </w:r>
          </w:p>
        </w:tc>
        <w:tc>
          <w:tcPr>
            <w:tcW w:w="1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in the Balance</w:t>
            </w:r>
          </w:p>
        </w:tc>
        <w:tc>
          <w:tcPr>
            <w:tcW w:w="0" w:type="dxa"/>
            <w:vAlign w:val="bottom"/>
          </w:tcPr>
          <w:p>
            <w:pPr>
              <w:spacing w:after="0"/>
              <w:rPr>
                <w:sz w:val="1"/>
                <w:szCs w:val="1"/>
                <w:color w:val="auto"/>
              </w:rPr>
            </w:pPr>
          </w:p>
        </w:tc>
      </w:tr>
      <w:tr>
        <w:trPr>
          <w:trHeight w:val="157"/>
        </w:trPr>
        <w:tc>
          <w:tcPr>
            <w:tcW w:w="2700" w:type="dxa"/>
            <w:vAlign w:val="bottom"/>
            <w:gridSpan w:val="2"/>
          </w:tcPr>
          <w:p>
            <w:pPr>
              <w:spacing w:after="0" w:line="157" w:lineRule="exact"/>
              <w:rPr>
                <w:sz w:val="20"/>
                <w:szCs w:val="20"/>
                <w:color w:val="auto"/>
              </w:rPr>
            </w:pPr>
            <w:r>
              <w:rPr>
                <w:rFonts w:ascii="Arial" w:cs="Arial" w:eastAsia="Arial" w:hAnsi="Arial"/>
                <w:sz w:val="14"/>
                <w:szCs w:val="14"/>
                <w:color w:val="auto"/>
              </w:rPr>
              <w:t>October 31, 2013</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3"/>
                <w:szCs w:val="13"/>
                <w:color w:val="auto"/>
              </w:rPr>
            </w:pPr>
          </w:p>
        </w:tc>
        <w:tc>
          <w:tcPr>
            <w:tcW w:w="10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Balance Sheet</w:t>
            </w:r>
          </w:p>
        </w:tc>
        <w:tc>
          <w:tcPr>
            <w:tcW w:w="240" w:type="dxa"/>
            <w:vAlign w:val="bottom"/>
          </w:tcPr>
          <w:p>
            <w:pPr>
              <w:spacing w:after="0"/>
              <w:rPr>
                <w:sz w:val="13"/>
                <w:szCs w:val="13"/>
                <w:color w:val="auto"/>
              </w:rPr>
            </w:pPr>
          </w:p>
        </w:tc>
        <w:tc>
          <w:tcPr>
            <w:tcW w:w="13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Sheet</w:t>
            </w:r>
          </w:p>
        </w:tc>
        <w:tc>
          <w:tcPr>
            <w:tcW w:w="100" w:type="dxa"/>
            <w:vAlign w:val="bottom"/>
          </w:tcPr>
          <w:p>
            <w:pPr>
              <w:spacing w:after="0"/>
              <w:rPr>
                <w:sz w:val="13"/>
                <w:szCs w:val="13"/>
                <w:color w:val="auto"/>
              </w:rPr>
            </w:pPr>
          </w:p>
        </w:tc>
        <w:tc>
          <w:tcPr>
            <w:tcW w:w="10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13"/>
                <w:szCs w:val="13"/>
                <w:color w:val="auto"/>
              </w:rPr>
            </w:pPr>
          </w:p>
        </w:tc>
        <w:tc>
          <w:tcPr>
            <w:tcW w:w="980" w:type="dxa"/>
            <w:vAlign w:val="bottom"/>
          </w:tcPr>
          <w:p>
            <w:pPr>
              <w:jc w:val="right"/>
              <w:ind w:right="8"/>
              <w:spacing w:after="0" w:line="157" w:lineRule="exact"/>
              <w:rPr>
                <w:sz w:val="20"/>
                <w:szCs w:val="20"/>
                <w:color w:val="auto"/>
              </w:rPr>
            </w:pPr>
            <w:r>
              <w:rPr>
                <w:rFonts w:ascii="Arial" w:cs="Arial" w:eastAsia="Arial" w:hAnsi="Arial"/>
                <w:sz w:val="14"/>
                <w:szCs w:val="14"/>
                <w:color w:val="auto"/>
              </w:rPr>
              <w:t>Sheet</w:t>
            </w:r>
          </w:p>
        </w:tc>
        <w:tc>
          <w:tcPr>
            <w:tcW w:w="180" w:type="dxa"/>
            <w:vAlign w:val="bottom"/>
          </w:tcPr>
          <w:p>
            <w:pPr>
              <w:spacing w:after="0"/>
              <w:rPr>
                <w:sz w:val="13"/>
                <w:szCs w:val="13"/>
                <w:color w:val="auto"/>
              </w:rPr>
            </w:pPr>
          </w:p>
        </w:tc>
        <w:tc>
          <w:tcPr>
            <w:tcW w:w="14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Sheet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Forward currency contracts</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1,266</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1,266</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Cross currency contracts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1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1,266</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1,266</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(2,411)</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$30,000 each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AOCL, and will be amortized to interest expense over the 30-year term of the senior notes. The unrecognized loss portion of the fair value of these agreements in AOCL as of October 31, 2014 and 2013 was $137 and $143,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12"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12" w:lineRule="exact"/>
        <w:rPr>
          <w:sz w:val="20"/>
          <w:szCs w:val="20"/>
          <w:color w:val="auto"/>
        </w:rPr>
      </w:pPr>
    </w:p>
    <w:p>
      <w:pPr>
        <w:ind w:right="60" w:firstLine="146"/>
        <w:spacing w:after="0" w:line="235" w:lineRule="auto"/>
        <w:rPr>
          <w:sz w:val="20"/>
          <w:szCs w:val="20"/>
          <w:color w:val="auto"/>
        </w:rPr>
      </w:pPr>
      <w:r>
        <w:rPr>
          <w:rFonts w:ascii="Arial" w:cs="Arial" w:eastAsia="Arial" w:hAnsi="Arial"/>
          <w:sz w:val="18"/>
          <w:szCs w:val="18"/>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Assets and liabilities measured at fair value on a recurring basis, as of October 31, 2014 and 2013, respectively, are summarized below:</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52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29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Fair</w:t>
            </w: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24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Value</w:t>
            </w: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3"/>
                <w:szCs w:val="13"/>
                <w:color w:val="auto"/>
              </w:rPr>
            </w:pPr>
          </w:p>
        </w:tc>
        <w:tc>
          <w:tcPr>
            <w:tcW w:w="580" w:type="dxa"/>
            <w:vAlign w:val="bottom"/>
          </w:tcPr>
          <w:p>
            <w:pPr>
              <w:jc w:val="right"/>
              <w:ind w:right="48"/>
              <w:spacing w:after="0" w:line="157" w:lineRule="exact"/>
              <w:rPr>
                <w:sz w:val="20"/>
                <w:szCs w:val="20"/>
                <w:color w:val="auto"/>
              </w:rPr>
            </w:pPr>
            <w:r>
              <w:rPr>
                <w:rFonts w:ascii="Arial" w:cs="Arial" w:eastAsia="Arial" w:hAnsi="Arial"/>
                <w:sz w:val="14"/>
                <w:szCs w:val="14"/>
                <w:color w:val="auto"/>
                <w:w w:val="97"/>
              </w:rPr>
              <w:t>Level 2</w:t>
            </w: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Cash and cash equivalents</w:t>
            </w: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314,873</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$314,873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Forward currency contracts</w:t>
            </w:r>
          </w:p>
        </w:tc>
        <w:tc>
          <w:tcPr>
            <w:tcW w:w="2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6,030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6,030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Cross currency contracts</w:t>
            </w:r>
          </w:p>
        </w:tc>
        <w:tc>
          <w:tcPr>
            <w:tcW w:w="2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831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Total assets</w:t>
            </w:r>
          </w:p>
        </w:tc>
        <w:tc>
          <w:tcPr>
            <w:tcW w:w="2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321,734</w:t>
            </w:r>
          </w:p>
        </w:tc>
        <w:tc>
          <w:tcPr>
            <w:tcW w:w="7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$314,873</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6,861</w:t>
            </w: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5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9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Forward currency contracts</w:t>
            </w:r>
          </w:p>
        </w:tc>
        <w:tc>
          <w:tcPr>
            <w:tcW w:w="2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Cross currency contracts</w:t>
            </w:r>
          </w:p>
        </w:tc>
        <w:tc>
          <w:tcPr>
            <w:tcW w:w="29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536</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536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Deferred compensation liabilities</w:t>
            </w:r>
          </w:p>
        </w:tc>
        <w:tc>
          <w:tcPr>
            <w:tcW w:w="2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2,141</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52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Total liabilities</w:t>
            </w:r>
          </w:p>
        </w:tc>
        <w:tc>
          <w:tcPr>
            <w:tcW w:w="2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2,686</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2,686</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5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Fair</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40" w:type="dxa"/>
            <w:vAlign w:val="bottom"/>
          </w:tcPr>
          <w:p>
            <w:pPr>
              <w:spacing w:after="0" w:line="157" w:lineRule="exact"/>
              <w:rPr>
                <w:sz w:val="20"/>
                <w:szCs w:val="20"/>
                <w:color w:val="auto"/>
              </w:rPr>
            </w:pPr>
            <w:r>
              <w:rPr>
                <w:rFonts w:ascii="Arial" w:cs="Arial" w:eastAsia="Arial" w:hAnsi="Arial"/>
                <w:sz w:val="14"/>
                <w:szCs w:val="14"/>
                <w:color w:val="auto"/>
              </w:rPr>
              <w:t>October 31, 2013</w:t>
            </w:r>
          </w:p>
        </w:tc>
        <w:tc>
          <w:tcPr>
            <w:tcW w:w="298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Value</w:t>
            </w: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3"/>
                <w:szCs w:val="13"/>
                <w:color w:val="auto"/>
              </w:rPr>
            </w:pPr>
          </w:p>
        </w:tc>
        <w:tc>
          <w:tcPr>
            <w:tcW w:w="580" w:type="dxa"/>
            <w:vAlign w:val="bottom"/>
          </w:tcPr>
          <w:p>
            <w:pPr>
              <w:jc w:val="right"/>
              <w:ind w:right="48"/>
              <w:spacing w:after="0" w:line="157" w:lineRule="exact"/>
              <w:rPr>
                <w:sz w:val="20"/>
                <w:szCs w:val="20"/>
                <w:color w:val="auto"/>
              </w:rPr>
            </w:pPr>
            <w:r>
              <w:rPr>
                <w:rFonts w:ascii="Arial" w:cs="Arial" w:eastAsia="Arial" w:hAnsi="Arial"/>
                <w:sz w:val="14"/>
                <w:szCs w:val="14"/>
                <w:color w:val="auto"/>
                <w:w w:val="97"/>
              </w:rPr>
              <w:t>Level 2</w:t>
            </w: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Assets:</w:t>
            </w:r>
          </w:p>
        </w:tc>
        <w:tc>
          <w:tcPr>
            <w:tcW w:w="2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9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182,993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$182,993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Forward currency contracts</w:t>
            </w:r>
          </w:p>
        </w:tc>
        <w:tc>
          <w:tcPr>
            <w:tcW w:w="2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1,266</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ind w:left="140"/>
              <w:spacing w:after="0" w:line="155" w:lineRule="exact"/>
              <w:rPr>
                <w:sz w:val="20"/>
                <w:szCs w:val="20"/>
                <w:color w:val="auto"/>
              </w:rPr>
            </w:pPr>
            <w:r>
              <w:rPr>
                <w:rFonts w:ascii="Arial" w:cs="Arial" w:eastAsia="Arial" w:hAnsi="Arial"/>
                <w:sz w:val="14"/>
                <w:szCs w:val="14"/>
                <w:color w:val="auto"/>
              </w:rPr>
              <w:t>Total assets</w:t>
            </w:r>
          </w:p>
        </w:tc>
        <w:tc>
          <w:tcPr>
            <w:tcW w:w="2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55" w:lineRule="exact"/>
              <w:rPr>
                <w:sz w:val="20"/>
                <w:szCs w:val="20"/>
                <w:color w:val="auto"/>
              </w:rPr>
            </w:pPr>
            <w:r>
              <w:rPr>
                <w:rFonts w:ascii="Arial" w:cs="Arial" w:eastAsia="Arial" w:hAnsi="Arial"/>
                <w:sz w:val="14"/>
                <w:szCs w:val="14"/>
                <w:color w:val="auto"/>
                <w:w w:val="98"/>
              </w:rPr>
              <w:t>184,259</w:t>
            </w:r>
          </w:p>
        </w:tc>
        <w:tc>
          <w:tcPr>
            <w:tcW w:w="780" w:type="dxa"/>
            <w:vAlign w:val="bottom"/>
          </w:tcPr>
          <w:p>
            <w:pPr>
              <w:jc w:val="right"/>
              <w:ind w:right="8"/>
              <w:spacing w:after="0" w:line="155" w:lineRule="exact"/>
              <w:rPr>
                <w:sz w:val="20"/>
                <w:szCs w:val="20"/>
                <w:color w:val="auto"/>
              </w:rPr>
            </w:pPr>
            <w:r>
              <w:rPr>
                <w:rFonts w:ascii="Arial" w:cs="Arial" w:eastAsia="Arial" w:hAnsi="Arial"/>
                <w:sz w:val="14"/>
                <w:szCs w:val="14"/>
                <w:color w:val="auto"/>
              </w:rPr>
              <w:t>$182,993</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1,266</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Liabilities:</w:t>
            </w:r>
          </w:p>
        </w:tc>
        <w:tc>
          <w:tcPr>
            <w:tcW w:w="2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140"/>
              <w:spacing w:after="0"/>
              <w:rPr>
                <w:sz w:val="20"/>
                <w:szCs w:val="20"/>
                <w:color w:val="auto"/>
              </w:rPr>
            </w:pPr>
            <w:r>
              <w:rPr>
                <w:rFonts w:ascii="Arial" w:cs="Arial" w:eastAsia="Arial" w:hAnsi="Arial"/>
                <w:sz w:val="14"/>
                <w:szCs w:val="14"/>
                <w:color w:val="auto"/>
              </w:rPr>
              <w:t>Forward currency contracts</w:t>
            </w:r>
          </w:p>
        </w:tc>
        <w:tc>
          <w:tcPr>
            <w:tcW w:w="29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1,931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1,931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Cross currency contracts</w:t>
            </w:r>
          </w:p>
        </w:tc>
        <w:tc>
          <w:tcPr>
            <w:tcW w:w="2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Deferred compensation liabilities</w:t>
            </w:r>
          </w:p>
        </w:tc>
        <w:tc>
          <w:tcPr>
            <w:tcW w:w="2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2,777</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Total liabilities</w:t>
            </w:r>
          </w:p>
        </w:tc>
        <w:tc>
          <w:tcPr>
            <w:tcW w:w="2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5,151</w:t>
            </w:r>
          </w:p>
        </w:tc>
        <w:tc>
          <w:tcPr>
            <w:tcW w:w="7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5,151</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transfers between Level 1 and Level 2 during the fiscal years ended October 31, 2014 and 2013.</w:t>
      </w:r>
    </w:p>
    <w:p>
      <w:pPr>
        <w:spacing w:after="0" w:line="212" w:lineRule="exact"/>
        <w:rPr>
          <w:sz w:val="20"/>
          <w:szCs w:val="20"/>
          <w:color w:val="auto"/>
        </w:rPr>
      </w:pPr>
    </w:p>
    <w:p>
      <w:pPr>
        <w:ind w:right="440" w:firstLine="137"/>
        <w:spacing w:after="0" w:line="237" w:lineRule="auto"/>
        <w:rPr>
          <w:sz w:val="20"/>
          <w:szCs w:val="20"/>
          <w:color w:val="auto"/>
        </w:rPr>
      </w:pPr>
      <w:r>
        <w:rPr>
          <w:rFonts w:ascii="Arial" w:cs="Arial" w:eastAsia="Arial" w:hAnsi="Arial"/>
          <w:sz w:val="18"/>
          <w:szCs w:val="18"/>
          <w:color w:val="auto"/>
        </w:rPr>
        <w:t>As of October 31, 2014, the estimated fair value of long-term debt with fixed interest rates was $260,970 compared to its carrying amount of $223,956. As of October 31, 2013, the estimated fair value of long-term debt with fixed interest rates was $243,074 compared to its carrying amount of $223,544. The fair value is estimated by discounting the projected cash flows using the rate at which similar amounts of debt could currently be borrowed. Long-term debt is a Level 2 liability in the fair value hierarchy.</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15</w:t>
      </w:r>
      <w:r>
        <w:rPr>
          <w:sz w:val="20"/>
          <w:szCs w:val="20"/>
          <w:color w:val="auto"/>
        </w:rPr>
        <w:tab/>
      </w:r>
      <w:r>
        <w:rPr>
          <w:rFonts w:ascii="Arial" w:cs="Arial" w:eastAsia="Arial" w:hAnsi="Arial"/>
          <w:sz w:val="21"/>
          <w:szCs w:val="21"/>
          <w:b w:val="1"/>
          <w:bCs w:val="1"/>
          <w:color w:val="auto"/>
        </w:rPr>
        <w:t>SUBSEQUENT EVENTS</w:t>
      </w:r>
    </w:p>
    <w:p>
      <w:pPr>
        <w:spacing w:after="0" w:line="27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November 14, 2014, subsequent to fiscal 2014 year end and during the first quarter of fiscal 2015, the company acquired the BOSS professional snow and ice management business from privately held Northern Star Industries, Inc. Further information regarding this acquisition is presented in Note 2. The company evaluated all other subsequent events and concluded that no other subsequent events have occurred that would require recognition in the financial statements or disclosure in the notes to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900" w:type="dxa"/>
            <w:vAlign w:val="bottom"/>
            <w:gridSpan w:val="2"/>
          </w:tcPr>
          <w:p>
            <w:pPr>
              <w:spacing w:after="0"/>
              <w:rPr>
                <w:sz w:val="20"/>
                <w:szCs w:val="20"/>
                <w:color w:val="auto"/>
              </w:rPr>
            </w:pPr>
            <w:r>
              <w:rPr>
                <w:rFonts w:ascii="Arial" w:cs="Arial" w:eastAsia="Arial" w:hAnsi="Arial"/>
                <w:sz w:val="43"/>
                <w:szCs w:val="43"/>
                <w:b w:val="1"/>
                <w:bCs w:val="1"/>
                <w:color w:val="auto"/>
              </w:rPr>
              <w:t>16</w:t>
            </w:r>
          </w:p>
        </w:tc>
        <w:tc>
          <w:tcPr>
            <w:tcW w:w="6280" w:type="dxa"/>
            <w:vAlign w:val="bottom"/>
          </w:tcPr>
          <w:p>
            <w:pPr>
              <w:ind w:left="20"/>
              <w:spacing w:after="0"/>
              <w:rPr>
                <w:sz w:val="20"/>
                <w:szCs w:val="20"/>
                <w:color w:val="auto"/>
              </w:rPr>
            </w:pPr>
            <w:r>
              <w:rPr>
                <w:rFonts w:ascii="Arial" w:cs="Arial" w:eastAsia="Arial" w:hAnsi="Arial"/>
                <w:sz w:val="22"/>
                <w:szCs w:val="22"/>
                <w:b w:val="1"/>
                <w:bCs w:val="1"/>
                <w:color w:val="auto"/>
              </w:rPr>
              <w:t xml:space="preserve">QUARTERLY FINANCIAL DATA </w:t>
            </w:r>
            <w:r>
              <w:rPr>
                <w:rFonts w:ascii="Arial" w:cs="Arial" w:eastAsia="Arial" w:hAnsi="Arial"/>
                <w:sz w:val="22"/>
                <w:szCs w:val="22"/>
                <w:color w:val="auto"/>
              </w:rPr>
              <w:t>(unaudited)</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180" w:type="dxa"/>
            <w:vAlign w:val="bottom"/>
            <w:gridSpan w:val="3"/>
          </w:tcPr>
          <w:p>
            <w:pPr>
              <w:spacing w:after="0"/>
              <w:rPr>
                <w:sz w:val="20"/>
                <w:szCs w:val="20"/>
                <w:color w:val="auto"/>
              </w:rPr>
            </w:pPr>
            <w:r>
              <w:rPr>
                <w:rFonts w:ascii="Arial" w:cs="Arial" w:eastAsia="Arial" w:hAnsi="Arial"/>
                <w:sz w:val="18"/>
                <w:szCs w:val="18"/>
                <w:color w:val="auto"/>
              </w:rPr>
              <w:t>Summarized quarterly financial data for fiscal 2014 and 2013 are as follows:</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180" w:type="dxa"/>
            <w:vAlign w:val="bottom"/>
            <w:tcBorders>
              <w:bottom w:val="single" w:sz="8" w:color="auto"/>
            </w:tcBorders>
            <w:gridSpan w:val="3"/>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1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Fiscal year ended</w:t>
            </w: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October 31, 2014</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62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spacing w:after="0"/>
              <w:rPr>
                <w:sz w:val="20"/>
                <w:szCs w:val="20"/>
                <w:color w:val="auto"/>
              </w:rPr>
            </w:pPr>
            <w:r>
              <w:rPr>
                <w:rFonts w:ascii="Arial" w:cs="Arial" w:eastAsia="Arial" w:hAnsi="Arial"/>
                <w:sz w:val="14"/>
                <w:szCs w:val="14"/>
                <w:color w:val="auto"/>
              </w:rPr>
              <w:t>Second</w:t>
            </w:r>
          </w:p>
        </w:tc>
        <w:tc>
          <w:tcPr>
            <w:tcW w:w="740" w:type="dxa"/>
            <w:vAlign w:val="bottom"/>
          </w:tcPr>
          <w:p>
            <w:pPr>
              <w:jc w:val="right"/>
              <w:spacing w:after="0"/>
              <w:rPr>
                <w:sz w:val="20"/>
                <w:szCs w:val="20"/>
                <w:color w:val="auto"/>
              </w:rPr>
            </w:pPr>
            <w:r>
              <w:rPr>
                <w:rFonts w:ascii="Arial" w:cs="Arial" w:eastAsia="Arial" w:hAnsi="Arial"/>
                <w:sz w:val="14"/>
                <w:szCs w:val="14"/>
                <w:color w:val="auto"/>
              </w:rPr>
              <w:t>Third</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628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$445,981</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$745,030</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$567,540</w:t>
            </w:r>
          </w:p>
        </w:tc>
        <w:tc>
          <w:tcPr>
            <w:tcW w:w="8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b w:val="1"/>
                <w:bCs w:val="1"/>
                <w:color w:val="auto"/>
              </w:rPr>
              <w:t>$414,140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62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163,514</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264,540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202,080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143,137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62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87,086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50,013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10,902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color w:val="auto"/>
                <w:vertAlign w:val="superscript"/>
              </w:rPr>
              <w:t>1</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0.45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0.89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color w:val="auto"/>
                <w:vertAlign w:val="superscript"/>
              </w:rPr>
              <w:t>1</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7160" w:type="dxa"/>
            <w:vAlign w:val="bottom"/>
            <w:tcBorders>
              <w:top w:val="single" w:sz="8" w:color="auto"/>
              <w:bottom w:val="single" w:sz="8" w:color="auto"/>
            </w:tcBorders>
            <w:gridSpan w:val="2"/>
          </w:tcPr>
          <w:p>
            <w:pPr>
              <w:spacing w:after="0"/>
              <w:rPr>
                <w:sz w:val="24"/>
                <w:szCs w:val="24"/>
                <w:color w:val="auto"/>
              </w:rPr>
            </w:pPr>
          </w:p>
        </w:tc>
        <w:tc>
          <w:tcPr>
            <w:tcW w:w="19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180" w:type="dxa"/>
            <w:vAlign w:val="bottom"/>
            <w:gridSpan w:val="3"/>
          </w:tcPr>
          <w:p>
            <w:pPr>
              <w:spacing w:after="0"/>
              <w:rPr>
                <w:sz w:val="20"/>
                <w:szCs w:val="20"/>
                <w:color w:val="auto"/>
              </w:rPr>
            </w:pPr>
            <w:r>
              <w:rPr>
                <w:rFonts w:ascii="Arial" w:cs="Arial" w:eastAsia="Arial" w:hAnsi="Arial"/>
                <w:sz w:val="14"/>
                <w:szCs w:val="14"/>
                <w:color w:val="auto"/>
              </w:rPr>
              <w:t>Fiscal year ended</w:t>
            </w:r>
          </w:p>
        </w:tc>
        <w:tc>
          <w:tcPr>
            <w:tcW w:w="1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gridSpan w:val="3"/>
          </w:tcPr>
          <w:p>
            <w:pPr>
              <w:spacing w:after="0"/>
              <w:rPr>
                <w:sz w:val="20"/>
                <w:szCs w:val="20"/>
                <w:color w:val="auto"/>
              </w:rPr>
            </w:pPr>
            <w:r>
              <w:rPr>
                <w:rFonts w:ascii="Arial" w:cs="Arial" w:eastAsia="Arial" w:hAnsi="Arial"/>
                <w:sz w:val="14"/>
                <w:szCs w:val="14"/>
                <w:color w:val="auto"/>
              </w:rPr>
              <w:t>October 31, 2013</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00" w:type="dxa"/>
            <w:vAlign w:val="bottom"/>
            <w:gridSpan w:val="2"/>
          </w:tcPr>
          <w:p>
            <w:pPr>
              <w:spacing w:after="0" w:line="157" w:lineRule="exact"/>
              <w:rPr>
                <w:sz w:val="20"/>
                <w:szCs w:val="20"/>
                <w:color w:val="auto"/>
              </w:rPr>
            </w:pPr>
            <w:r>
              <w:rPr>
                <w:rFonts w:ascii="Arial" w:cs="Arial" w:eastAsia="Arial" w:hAnsi="Arial"/>
                <w:sz w:val="14"/>
                <w:szCs w:val="14"/>
                <w:color w:val="auto"/>
              </w:rPr>
              <w:t>Quarter</w:t>
            </w:r>
          </w:p>
        </w:tc>
        <w:tc>
          <w:tcPr>
            <w:tcW w:w="6280" w:type="dxa"/>
            <w:vAlign w:val="bottom"/>
          </w:tcPr>
          <w:p>
            <w:pPr>
              <w:spacing w:after="0"/>
              <w:rPr>
                <w:sz w:val="13"/>
                <w:szCs w:val="13"/>
                <w:color w:val="auto"/>
              </w:rPr>
            </w:pPr>
          </w:p>
        </w:tc>
        <w:tc>
          <w:tcPr>
            <w:tcW w:w="1940" w:type="dxa"/>
            <w:vAlign w:val="bottom"/>
          </w:tcPr>
          <w:p>
            <w:pPr>
              <w:jc w:val="right"/>
              <w:spacing w:after="0" w:line="157" w:lineRule="exact"/>
              <w:rPr>
                <w:sz w:val="20"/>
                <w:szCs w:val="20"/>
                <w:color w:val="auto"/>
              </w:rPr>
            </w:pPr>
            <w:r>
              <w:rPr>
                <w:rFonts w:ascii="Arial" w:cs="Arial" w:eastAsia="Arial" w:hAnsi="Arial"/>
                <w:sz w:val="14"/>
                <w:szCs w:val="14"/>
                <w:color w:val="auto"/>
              </w:rPr>
              <w:t>First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Second</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Third</w:t>
            </w: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628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$444,661</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$704,486</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$509,918</w:t>
            </w:r>
          </w:p>
        </w:tc>
        <w:tc>
          <w:tcPr>
            <w:tcW w:w="8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$382,366</w:t>
            </w:r>
          </w:p>
        </w:tc>
        <w:tc>
          <w:tcPr>
            <w:tcW w:w="0" w:type="dxa"/>
            <w:vAlign w:val="bottom"/>
          </w:tcPr>
          <w:p>
            <w:pPr>
              <w:spacing w:after="0"/>
              <w:rPr>
                <w:sz w:val="1"/>
                <w:szCs w:val="1"/>
                <w:color w:val="auto"/>
              </w:rPr>
            </w:pPr>
          </w:p>
        </w:tc>
      </w:tr>
      <w:tr>
        <w:trPr>
          <w:trHeight w:val="162"/>
        </w:trPr>
        <w:tc>
          <w:tcPr>
            <w:tcW w:w="90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62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165,817</w:t>
            </w:r>
          </w:p>
        </w:tc>
        <w:tc>
          <w:tcPr>
            <w:tcW w:w="740" w:type="dxa"/>
            <w:vAlign w:val="bottom"/>
          </w:tcPr>
          <w:p>
            <w:pPr>
              <w:jc w:val="right"/>
              <w:spacing w:after="0"/>
              <w:rPr>
                <w:sz w:val="20"/>
                <w:szCs w:val="20"/>
                <w:color w:val="auto"/>
              </w:rPr>
            </w:pPr>
            <w:r>
              <w:rPr>
                <w:rFonts w:ascii="Arial" w:cs="Arial" w:eastAsia="Arial" w:hAnsi="Arial"/>
                <w:sz w:val="14"/>
                <w:szCs w:val="14"/>
                <w:color w:val="auto"/>
              </w:rPr>
              <w:t>252,301</w:t>
            </w:r>
          </w:p>
        </w:tc>
        <w:tc>
          <w:tcPr>
            <w:tcW w:w="740" w:type="dxa"/>
            <w:vAlign w:val="bottom"/>
          </w:tcPr>
          <w:p>
            <w:pPr>
              <w:jc w:val="right"/>
              <w:spacing w:after="0"/>
              <w:rPr>
                <w:sz w:val="20"/>
                <w:szCs w:val="20"/>
                <w:color w:val="auto"/>
              </w:rPr>
            </w:pPr>
            <w:r>
              <w:rPr>
                <w:rFonts w:ascii="Arial" w:cs="Arial" w:eastAsia="Arial" w:hAnsi="Arial"/>
                <w:sz w:val="14"/>
                <w:szCs w:val="14"/>
                <w:color w:val="auto"/>
              </w:rPr>
              <w:t>178,031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128,648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62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78,402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1940" w:type="dxa"/>
            <w:vAlign w:val="bottom"/>
          </w:tcPr>
          <w:p>
            <w:pPr>
              <w:jc w:val="right"/>
              <w:spacing w:after="0"/>
              <w:rPr>
                <w:sz w:val="20"/>
                <w:szCs w:val="20"/>
                <w:color w:val="auto"/>
              </w:rPr>
            </w:pPr>
            <w:r>
              <w:rPr>
                <w:rFonts w:ascii="Arial" w:cs="Arial" w:eastAsia="Arial" w:hAnsi="Arial"/>
                <w:sz w:val="14"/>
                <w:szCs w:val="14"/>
                <w:color w:val="auto"/>
              </w:rPr>
              <w:t>0.54</w:t>
            </w:r>
          </w:p>
        </w:tc>
        <w:tc>
          <w:tcPr>
            <w:tcW w:w="740" w:type="dxa"/>
            <w:vAlign w:val="bottom"/>
          </w:tcPr>
          <w:p>
            <w:pPr>
              <w:jc w:val="right"/>
              <w:spacing w:after="0"/>
              <w:rPr>
                <w:sz w:val="20"/>
                <w:szCs w:val="20"/>
                <w:color w:val="auto"/>
              </w:rPr>
            </w:pPr>
            <w:r>
              <w:rPr>
                <w:rFonts w:ascii="Arial" w:cs="Arial" w:eastAsia="Arial" w:hAnsi="Arial"/>
                <w:sz w:val="14"/>
                <w:szCs w:val="14"/>
                <w:color w:val="auto"/>
              </w:rPr>
              <w:t>1.35</w:t>
            </w:r>
          </w:p>
        </w:tc>
        <w:tc>
          <w:tcPr>
            <w:tcW w:w="740" w:type="dxa"/>
            <w:vAlign w:val="bottom"/>
          </w:tcPr>
          <w:p>
            <w:pPr>
              <w:jc w:val="right"/>
              <w:spacing w:after="0"/>
              <w:rPr>
                <w:sz w:val="20"/>
                <w:szCs w:val="20"/>
                <w:color w:val="auto"/>
              </w:rPr>
            </w:pPr>
            <w:r>
              <w:rPr>
                <w:rFonts w:ascii="Arial" w:cs="Arial" w:eastAsia="Arial" w:hAnsi="Arial"/>
                <w:sz w:val="14"/>
                <w:szCs w:val="14"/>
                <w:color w:val="auto"/>
              </w:rPr>
              <w:t>0.70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ectPr>
          <w:pgSz w:w="11900" w:h="16838" w:orient="portrait"/>
          <w:cols w:equalWidth="0" w:num="1">
            <w:col w:w="11420"/>
          </w:cols>
          <w:pgMar w:left="240" w:top="143"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ind w:right="660"/>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2014 that has materially affected, or is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proxy statement for its 2015 Annual Meeting of Shareholders to be filed with the SEC.</w:t>
      </w:r>
    </w:p>
    <w:p>
      <w:pPr>
        <w:spacing w:after="0" w:line="210"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 xml:space="preserve">During the fourth quarter of fiscal 2014, the company did not make any material changes to the procedures by which shareholders may recommend nominees to the board of directors, as described in the company's proxy statement for its 2015 Annual Meeting of Shareholders.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4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2015 Annual Meeting of Shareholders to be filed with the SEC.</w:t>
      </w:r>
    </w:p>
    <w:p>
      <w:pPr>
        <w:spacing w:after="0" w:line="172"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8"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2015 Annual Meeting of Shareholders to be filed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2015 Annual Meeting of Shareholders to be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4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2015 Annual Meeting of Shareholders to be filed with the SEC.</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212"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2014, 2013, and 2012.</w:t>
      </w: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October 31, 2014, 2013, and 2012.</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Balance Sheets as of October 31, 2014 and 2013.</w:t>
      </w:r>
    </w:p>
    <w:p>
      <w:pPr>
        <w:ind w:left="540" w:hanging="532"/>
        <w:spacing w:after="0" w:line="234"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2014, 2013, and 2012.</w:t>
      </w: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October 31, 2014, 2013, and 2012.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12"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440" w:firstLine="137"/>
        <w:spacing w:after="0" w:line="23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195"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August 12, 2009, Commission File No. 1-8649).**</w:t>
      </w:r>
    </w:p>
    <w:p>
      <w:pPr>
        <w:spacing w:after="0" w:line="166"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auto"/>
        </w:rPr>
        <w:t xml:space="preserve">2.2 (2) </w:t>
      </w:r>
      <w:r>
        <w:rPr>
          <w:rFonts w:ascii="Arial" w:cs="Arial" w:eastAsia="Arial" w:hAnsi="Arial"/>
          <w:sz w:val="18"/>
          <w:szCs w:val="18"/>
          <w:color w:val="auto"/>
        </w:rPr>
        <w:t>First Amendment to Agreement to Form Joint Venture dated June 6, 2012, by and between The Toro Company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2.1 to Registrant's Quarterly Report on Form 10-Q for the fiscal quarter ended May 4, 2012, Commission File No. 1-8649).**</w:t>
      </w:r>
    </w:p>
    <w:p>
      <w:pPr>
        <w:sectPr>
          <w:pgSz w:w="11900" w:h="16838" w:orient="portrait"/>
          <w:cols w:equalWidth="0" w:num="1">
            <w:col w:w="11380"/>
          </w:cols>
          <w:pgMar w:left="240" w:top="143" w:right="279" w:bottom="1440" w:gutter="0" w:footer="0" w:header="0"/>
        </w:sect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2.3 (1) </w:t>
      </w:r>
      <w:r>
        <w:rPr>
          <w:rFonts w:ascii="Arial" w:cs="Arial" w:eastAsia="Arial" w:hAnsi="Arial"/>
          <w:sz w:val="18"/>
          <w:szCs w:val="18"/>
          <w:color w:val="auto"/>
        </w:rPr>
        <w:t>Limited Liability Company Agreement of Red Iron Acceptance, LLC dated August 12, 2009 by and between Red Iron Holding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TCFIF Joint Venture I, LLC (incorporated by reference to Exhibit 2.2 to Registrant's Current Report on Form 8-K dated August 12, 2009, Commission File No. 1-8649).**</w:t>
      </w:r>
    </w:p>
    <w:p>
      <w:pPr>
        <w:spacing w:after="0" w:line="207"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Amendment No. 1 to Limited Liability Company Agreement of Red Iron Acceptance, LLC (incorporated by reference to Exhibit 2.4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Annual Report on Form 10-K for the fiscal year end October 31, 2012, Commission File No. 1-8649).**</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2.5 (2) </w:t>
      </w:r>
      <w:r>
        <w:rPr>
          <w:rFonts w:ascii="Arial" w:cs="Arial" w:eastAsia="Arial" w:hAnsi="Arial"/>
          <w:sz w:val="18"/>
          <w:szCs w:val="18"/>
          <w:color w:val="auto"/>
        </w:rPr>
        <w:t>Second Amendment to Limited Liability Company Agreement of Red Iron Acceptance, LLC, dated June 6, 2012, by and between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Corporation and TCFIF Joint Venture I, LLC (incorporated by reference to Exhibit 2.2 to Registrant's Quarterly Report on Form 10-Q for the fiscal quarter ended May 4, 2012, Commission File No. 1-8649).**</w:t>
      </w:r>
    </w:p>
    <w:p>
      <w:pPr>
        <w:spacing w:after="0" w:line="207"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color w:val="auto"/>
        </w:rPr>
        <w:t>Receivable Purchase Agreement by and among Toro Credit Company, as Seller, The Toro Company, and Red Iron Acceptance, LLC, as</w:t>
      </w:r>
      <w:r>
        <w:rPr>
          <w:rFonts w:ascii="Arial" w:cs="Arial" w:eastAsia="Arial" w:hAnsi="Arial"/>
          <w:sz w:val="16"/>
          <w:szCs w:val="16"/>
          <w:b w:val="1"/>
          <w:bCs w:val="1"/>
          <w:color w:val="auto"/>
        </w:rPr>
        <w:t xml:space="preserve"> </w:t>
      </w:r>
      <w:r>
        <w:rPr>
          <w:rFonts w:ascii="Arial" w:cs="Arial" w:eastAsia="Arial" w:hAnsi="Arial"/>
          <w:sz w:val="16"/>
          <w:szCs w:val="16"/>
          <w:color w:val="auto"/>
        </w:rPr>
        <w:t>Buyer (incorporated by reference to Exhibit 2.1 to Registrant's Current Report on Form 8-K dated October 1, 2009, Commission File No. 1-8649).**</w:t>
      </w:r>
    </w:p>
    <w:p>
      <w:pPr>
        <w:spacing w:after="0" w:line="14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Second Amended and Restated Repurchase Agreement (Two Step), dated as of October 29, 2010, by and between The Toro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Red Iron Acceptance, LLC (incorporated by reference to Exhibit 2.1 to Registrant's Current Report on Form 8-K dated October 29, 2010, Commission File No. 1-8649).**</w:t>
      </w: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First Amendment to Second Amended and Restated Repurchase Agreement (Two Step), by and between The Toro Company and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LLC (incorporated by reference to Exhibit 2.5 to Registrant's Annual Report on Form 10-K for the fiscal year ended October 31, 2011, Commission File No. 1-8649).</w:t>
      </w:r>
    </w:p>
    <w:p>
      <w:pPr>
        <w:spacing w:after="0" w:line="207"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Second Amendment to Second Amended and Restated Repurchase Agreement (Two Step), dated June 6, 2012, by and between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Red Iron Acceptance, LLC (incorporated by reference to Exhibit 2.3 to Registrant's Quarterly Report on Form 10-Q for the fiscal quarter ended May 4, 2012, Commission File No. 1-8649).</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Third Amendment to Second Amended and Restated Repurchase Agreement (Two Step), dated December 31, 2013, by and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Toro Company and Red Iron Acceptance, LLC (incorporated by reference to Exhibit 2.1 to Registrant's Quarterly Report on Form 10-Q for the fiscal quarter ended January 31, 2014, Commission File No. 1-8649).</w:t>
      </w:r>
    </w:p>
    <w:p>
      <w:pPr>
        <w:spacing w:after="0" w:line="207" w:lineRule="exact"/>
        <w:rPr>
          <w:sz w:val="20"/>
          <w:szCs w:val="20"/>
          <w:color w:val="auto"/>
        </w:rPr>
      </w:pPr>
    </w:p>
    <w:p>
      <w:pPr>
        <w:ind w:right="380"/>
        <w:spacing w:after="0" w:line="328"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Asset Purchase Agreement dated as of October 27, 2014 among The Toro Company, Northern Star Industries, Inc. and its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October 27, 2014, Commission File No. 1-8649).</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Certificate of Amendment to Restated Certificate of Incorporation of The Toro Company (incorporated by reference to Exhibit 3.1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March 13, 2013, Commission File No. 1-8649).</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 xml:space="preserve">3.3 and 4.3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color w:val="auto"/>
        </w:rPr>
        <w:t>Form of The Toro Company 6.625% Note due May 1, 2037 (incorporated by reference to Exhibit 4.2 to Registrant's Current Report on Form 8-K dated April 23, 2007, Commission File No. 1-8649).</w:t>
      </w:r>
    </w:p>
    <w:p>
      <w:pPr>
        <w:sectPr>
          <w:pgSz w:w="11900" w:h="16838" w:orient="portrait"/>
          <w:cols w:equalWidth="0" w:num="1">
            <w:col w:w="11420"/>
          </w:cols>
          <w:pgMar w:left="240" w:top="143" w:right="2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Toro Company 2010 Equity and Incentive Plan (incorporated by reference to Exhibit 10.1 to Registrant's Current Report on Form 8-K</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16, 2010, Commission File No. 1-8649).*</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Amendment No. 1 to The Toro Company 2010 Equity and Incentive Plan (incorporated by reference to Exhibit 10.2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 October 31, 2011, Commission File No. 1-8649).*</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Amendment No. 2 to The Toro Company 2010 Equity and Incentive Plan (incorporated by reference to Exhibit 10.3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 October 31, 2013,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Amendment No. 3 to The Toro Company 2010 Equity and Incentive Plan (filed herewith).*</w:t>
      </w:r>
    </w:p>
    <w:p>
      <w:pPr>
        <w:spacing w:after="0" w:line="23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 Commission File No. 1-8649).*</w:t>
      </w:r>
    </w:p>
    <w:p>
      <w:pPr>
        <w:spacing w:after="0" w:line="19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The Toro Company 2000 Stock Option Plan (As Amended December 3, 2008) (incorporated by reference to Exhibit 10.5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2008,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The Toro Company Supplemental Benefit Plan, Amended and Restated Effective January 1, 2009 (incorporated by reference to Exhibit 10(d)</w:t>
      </w:r>
      <w:r>
        <w:rPr>
          <w:rFonts w:ascii="Arial" w:cs="Arial" w:eastAsia="Arial" w:hAnsi="Arial"/>
          <w:sz w:val="18"/>
          <w:szCs w:val="18"/>
          <w:b w:val="1"/>
          <w:bCs w:val="1"/>
          <w:color w:val="auto"/>
        </w:rPr>
        <w:t xml:space="preserve"> </w:t>
      </w:r>
      <w:r>
        <w:rPr>
          <w:rFonts w:ascii="Arial" w:cs="Arial" w:eastAsia="Arial" w:hAnsi="Arial"/>
          <w:sz w:val="18"/>
          <w:szCs w:val="18"/>
          <w:color w:val="auto"/>
        </w:rPr>
        <w:t>to Registrant's Quarterly Report on Form 10-Q for the quarter ended August 1, 2008, Commission File No. 1-8649).*</w:t>
      </w:r>
    </w:p>
    <w:p>
      <w:pPr>
        <w:spacing w:after="0" w:line="193"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 Commission File No. 1-8649).*</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The Toro Company Deferred Compensation Plan for Officers, Amended and Restated Effective January 1, 2009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10 (b) to Registrant's Quarterly Report on Form 10-Q for the quarter ended August 1, 2008, Commission File No. 1-8649).*</w:t>
      </w:r>
    </w:p>
    <w:p>
      <w:pPr>
        <w:spacing w:after="0" w:line="193"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The Toro Company Deferred Compensation Plan for Non-Employee Directors, Amended and Restated Effective January 1, 2009</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August 1, 2008, Commission File No. 1-8649).*</w:t>
      </w:r>
    </w:p>
    <w:p>
      <w:pPr>
        <w:spacing w:after="0" w:line="2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The Toro Company 2000 Directors Stock Plan (As Amended March 18, 2009) (incorporated by reference to Exhibit 10.1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May 1, 2009, Commission File No. 1-8649).*</w:t>
      </w:r>
    </w:p>
    <w:p>
      <w:pPr>
        <w:spacing w:after="0" w:line="193"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Non-Employee Directors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Directors Stock Plan (incorporated by reference to Exhibit 10.20 to Registrant's Annual Report on Form 10-K for the fiscal year ended October 31, 2008, Commission File No. 1-8649).*</w:t>
      </w:r>
    </w:p>
    <w:p>
      <w:pPr>
        <w:spacing w:after="0" w:line="20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Nonemployee Director Stock Option Agreement between The Toro Company and its Non-Employee Directors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(filed herewith).*</w:t>
      </w:r>
    </w:p>
    <w:p>
      <w:pPr>
        <w:spacing w:after="0" w:line="19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Stock Option Plan (incorporated by reference to Exhibit 10.21 to Registrant's Annual Report on Form 10-K for the fiscal year ended October 31, 2008,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10.16  </w:t>
      </w:r>
      <w:r>
        <w:rPr>
          <w:rFonts w:ascii="Arial" w:cs="Arial" w:eastAsia="Arial" w:hAnsi="Arial"/>
          <w:sz w:val="16"/>
          <w:szCs w:val="16"/>
          <w:color w:val="auto"/>
        </w:rPr>
        <w:t>Form of Nonqualified Stock Option Agreement between The Toro Company and its officers and other employees under The Toro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2010 Equity and Incentive Plan (filed herewith).*</w:t>
      </w:r>
    </w:p>
    <w:p>
      <w:pPr>
        <w:spacing w:after="0" w:line="21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Plan (incorporated by reference to Exhibit 10(t) to Registrant's Annual Report on Form 10-K for the fiscal year ended October 31, 2007,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10.18  </w:t>
      </w:r>
      <w:r>
        <w:rPr>
          <w:rFonts w:ascii="Arial" w:cs="Arial" w:eastAsia="Arial" w:hAnsi="Arial"/>
          <w:sz w:val="16"/>
          <w:szCs w:val="16"/>
          <w:color w:val="auto"/>
        </w:rPr>
        <w:t>Form of Performance Share Award Agreement between The Toro Company and its officers and other employees under The Toro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2010 Equity and Incentive Plan (filed herewith).*</w:t>
      </w:r>
    </w:p>
    <w:p>
      <w:pPr>
        <w:spacing w:after="0" w:line="217"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Form of Annual Performance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(filed herewith).*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Form of Restricted Stock Award Agreement between The Toro Company and its officers and other employees under The Toro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2010 Equity and Incentive Plan (filed herewith).*</w:t>
      </w:r>
    </w:p>
    <w:p>
      <w:pPr>
        <w:spacing w:after="0" w:line="217"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Form of Restricted Stock Unit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(filed herewith).*</w:t>
      </w:r>
    </w:p>
    <w:p>
      <w:pPr>
        <w:sectPr>
          <w:pgSz w:w="11900" w:h="16838" w:orient="portrait"/>
          <w:cols w:equalWidth="0" w:num="1">
            <w:col w:w="11420"/>
          </w:cols>
          <w:pgMar w:left="240" w:top="143" w:right="2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 Commission File No. 1-8649).*</w:t>
      </w:r>
    </w:p>
    <w:p>
      <w:pPr>
        <w:spacing w:after="0" w:line="19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The Toro Company Change in Control Severance Compensation Policy and attached Form of Release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10.1 to Registrant's Current Report on Form 8-K dated January 18, 2011, Commission File No. 1-8649).*</w:t>
      </w:r>
    </w:p>
    <w:p>
      <w:pPr>
        <w:spacing w:after="0" w:line="19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Offer Letter dated July 25, 2011 between The Toro Company and Renee J. Peterson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July 29, 2011, Commission File No. 1-8649).*</w:t>
      </w:r>
    </w:p>
    <w:p>
      <w:pPr>
        <w:spacing w:after="0" w:line="193" w:lineRule="exact"/>
        <w:rPr>
          <w:sz w:val="20"/>
          <w:szCs w:val="20"/>
          <w:color w:val="auto"/>
        </w:rPr>
      </w:pPr>
    </w:p>
    <w:p>
      <w:pPr>
        <w:jc w:val="both"/>
        <w:ind w:right="340"/>
        <w:spacing w:after="0" w:line="285" w:lineRule="auto"/>
        <w:rPr>
          <w:sz w:val="20"/>
          <w:szCs w:val="20"/>
          <w:color w:val="auto"/>
        </w:rPr>
      </w:pPr>
      <w:r>
        <w:rPr>
          <w:rFonts w:ascii="Arial" w:cs="Arial" w:eastAsia="Arial" w:hAnsi="Arial"/>
          <w:sz w:val="16"/>
          <w:szCs w:val="16"/>
          <w:b w:val="1"/>
          <w:bCs w:val="1"/>
          <w:color w:val="auto"/>
        </w:rPr>
        <w:t xml:space="preserve">10.26 </w:t>
      </w:r>
      <w:r>
        <w:rPr>
          <w:rFonts w:ascii="Arial" w:cs="Arial" w:eastAsia="Arial" w:hAnsi="Arial"/>
          <w:sz w:val="16"/>
          <w:szCs w:val="16"/>
          <w:color w:val="auto"/>
        </w:rPr>
        <w:t>Credit Agreement dated as of October 27, 2014 among The Toro Company, Toro Manufacturing LLC, Exmark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Toro International Company and certain subsidiaries, as Borrowers, the lenders from time to time party thereto, Bank of America, N.A., as Administrative Agent, Swingline Lender and Letter of Credit Issuer and Wells Fargo Bank, National Association, as Syndication Agent (incorporated by reference to Exhibit 10.1 to Registrant's Current Report on Form 8-K dated October 27, 2014, Commission File No. 1-8649).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10.27 (1)  </w:t>
      </w:r>
      <w:r>
        <w:rPr>
          <w:rFonts w:ascii="Arial" w:cs="Arial" w:eastAsia="Arial" w:hAnsi="Arial"/>
          <w:sz w:val="18"/>
          <w:szCs w:val="18"/>
          <w:color w:val="auto"/>
        </w:rPr>
        <w:t>Credit and Security Agreement dated August 12, 2009 by and between Red Iron Acceptance, LLC and TCF Inventory Finance,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August 12, 2009, Commission File No. 1-8649).</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10.28 (2) </w:t>
      </w:r>
      <w:r>
        <w:rPr>
          <w:rFonts w:ascii="Arial" w:cs="Arial" w:eastAsia="Arial" w:hAnsi="Arial"/>
          <w:sz w:val="18"/>
          <w:szCs w:val="18"/>
          <w:color w:val="auto"/>
        </w:rPr>
        <w:t>First Amendment to Credit and Security Agreement, dated June 6, 2012, by and between Red Iron Acceptance, LLC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10.1 to Registrant's Quarterly Report on Form 10-Q dated May 4, 2012, Commission File No. 1-8649).</w:t>
      </w:r>
    </w:p>
    <w:p>
      <w:pPr>
        <w:spacing w:after="0" w:line="229"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3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39"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Certification of Chief Financial Officer Pursuant to Rule 13a-14(a) (Section 302 of the Sarbanes-Oxley Act of 2002) (filed herewith).</w:t>
      </w:r>
    </w:p>
    <w:p>
      <w:pPr>
        <w:spacing w:after="0" w:line="261" w:lineRule="exact"/>
        <w:rPr>
          <w:sz w:val="20"/>
          <w:szCs w:val="20"/>
          <w:color w:val="auto"/>
        </w:rPr>
      </w:pPr>
    </w:p>
    <w:p>
      <w:pPr>
        <w:ind w:right="40" w:firstLine="8"/>
        <w:spacing w:after="0" w:line="239" w:lineRule="auto"/>
        <w:tabs>
          <w:tab w:leader="none" w:pos="342"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36" w:lineRule="exact"/>
        <w:rPr>
          <w:sz w:val="20"/>
          <w:szCs w:val="20"/>
          <w:color w:val="auto"/>
        </w:rPr>
      </w:pPr>
    </w:p>
    <w:p>
      <w:pPr>
        <w:ind w:firstLine="8"/>
        <w:spacing w:after="0" w:line="236" w:lineRule="auto"/>
        <w:tabs>
          <w:tab w:leader="none" w:pos="436"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following financial information from The Toro Company's Annual Report on Form 10-K for the fiscal year ended October 31, 2014, filed with the SEC on December 22, 2014, formatted in eXtensible Business Reporting Language (XBRL): (i) Consolidated Statements of Earnings for each of the fiscal years in the three-year period ended October 31, 2014, (ii) Consolidated Statements of Comprehensive Income for each of the fiscal years in the three-year period ended October 31, 2014, (iii) Consolidated Balance Sheets as of October 31, 2014 and 2013, (iv) Consolidated Statements of Cash Flows for each of the fiscal years in the three-year period ended October 31, 2014, (v) Consolidated Statements of Stockholders' Equity each of the fiscal years in the three-year period ended October 31, 2014, and (vi) Notes to Consolidated Financial Statements (filed herewith).</w:t>
      </w:r>
    </w:p>
    <w:p>
      <w:pPr>
        <w:spacing w:after="0" w:line="211" w:lineRule="exact"/>
        <w:rPr>
          <w:sz w:val="20"/>
          <w:szCs w:val="20"/>
          <w:color w:val="auto"/>
        </w:rPr>
      </w:pPr>
    </w:p>
    <w:p>
      <w:pPr>
        <w:ind w:left="540" w:right="440" w:hanging="532"/>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#31557). The redacted material was filed separately with the Securities and Exchange Commission.</w:t>
      </w:r>
    </w:p>
    <w:p>
      <w:pPr>
        <w:spacing w:after="0" w:line="140" w:lineRule="exact"/>
        <w:rPr>
          <w:rFonts w:ascii="Arial" w:cs="Arial" w:eastAsia="Arial" w:hAnsi="Arial"/>
          <w:sz w:val="14"/>
          <w:szCs w:val="14"/>
          <w:color w:val="auto"/>
        </w:rPr>
      </w:pPr>
    </w:p>
    <w:p>
      <w:pPr>
        <w:ind w:left="540" w:right="440" w:hanging="532"/>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28545). The redacted material was filed separately with the Securities and Exchange Commission.</w:t>
      </w:r>
    </w:p>
    <w:p>
      <w:pPr>
        <w:spacing w:after="0" w:line="140" w:lineRule="exact"/>
        <w:rPr>
          <w:sz w:val="20"/>
          <w:szCs w:val="20"/>
          <w:color w:val="auto"/>
        </w:rPr>
      </w:pPr>
    </w:p>
    <w:p>
      <w:pPr>
        <w:ind w:left="540" w:right="100" w:hanging="532"/>
        <w:spacing w:after="0" w:line="24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 of Regulation S-K.</w:t>
      </w:r>
    </w:p>
    <w:p>
      <w:pPr>
        <w:spacing w:after="0" w:line="319" w:lineRule="exact"/>
        <w:rPr>
          <w:sz w:val="20"/>
          <w:szCs w:val="20"/>
          <w:color w:val="auto"/>
        </w:rPr>
      </w:pPr>
    </w:p>
    <w:p>
      <w:pPr>
        <w:ind w:left="540" w:right="500" w:hanging="532"/>
        <w:spacing w:after="0" w:line="258"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SCHEDULE II</w:t>
      </w:r>
    </w:p>
    <w:p>
      <w:pPr>
        <w:spacing w:after="0" w:line="200" w:lineRule="exact"/>
        <w:rPr>
          <w:sz w:val="20"/>
          <w:szCs w:val="20"/>
          <w:color w:val="auto"/>
        </w:rPr>
      </w:pP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auto"/>
        </w:rPr>
        <w:t>THE TORO COMPANY AND SUBSIDIARIES</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24"/>
          <w:szCs w:val="24"/>
          <w:b w:val="1"/>
          <w:bCs w:val="1"/>
          <w:color w:val="auto"/>
        </w:rPr>
        <w:t>Valuation and Qualifying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Balance as of</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Charged to</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Balance as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8"/>
              <w:spacing w:after="0" w:line="157" w:lineRule="exact"/>
              <w:rPr>
                <w:sz w:val="20"/>
                <w:szCs w:val="20"/>
                <w:color w:val="auto"/>
              </w:rPr>
            </w:pPr>
            <w:r>
              <w:rPr>
                <w:rFonts w:ascii="Arial" w:cs="Arial" w:eastAsia="Arial" w:hAnsi="Arial"/>
                <w:sz w:val="14"/>
                <w:szCs w:val="14"/>
                <w:color w:val="auto"/>
              </w:rPr>
              <w:t>the beginning</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costs and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189"/>
        </w:trPr>
        <w:tc>
          <w:tcPr>
            <w:tcW w:w="61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of the fiscal year</w:t>
            </w:r>
          </w:p>
        </w:tc>
        <w:tc>
          <w:tcPr>
            <w:tcW w:w="88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8"/>
              <w:spacing w:after="0" w:line="189" w:lineRule="exact"/>
              <w:rPr>
                <w:sz w:val="20"/>
                <w:szCs w:val="20"/>
                <w:color w:val="auto"/>
              </w:rPr>
            </w:pPr>
            <w:r>
              <w:rPr>
                <w:rFonts w:ascii="Arial" w:cs="Arial" w:eastAsia="Arial" w:hAnsi="Arial"/>
                <w:sz w:val="14"/>
                <w:szCs w:val="14"/>
                <w:color w:val="auto"/>
                <w:w w:val="93"/>
              </w:rPr>
              <w:t>Other</w:t>
            </w:r>
            <w:r>
              <w:rPr>
                <w:rFonts w:ascii="Arial" w:cs="Arial" w:eastAsia="Arial" w:hAnsi="Arial"/>
                <w:sz w:val="21"/>
                <w:szCs w:val="21"/>
                <w:color w:val="auto"/>
                <w:w w:val="93"/>
                <w:vertAlign w:val="superscript"/>
              </w:rPr>
              <w:t>2</w:t>
            </w:r>
          </w:p>
        </w:tc>
        <w:tc>
          <w:tcPr>
            <w:tcW w:w="160" w:type="dxa"/>
            <w:vAlign w:val="bottom"/>
          </w:tcPr>
          <w:p>
            <w:pPr>
              <w:spacing w:after="0"/>
              <w:rPr>
                <w:sz w:val="16"/>
                <w:szCs w:val="16"/>
                <w:color w:val="auto"/>
              </w:rPr>
            </w:pPr>
          </w:p>
        </w:tc>
        <w:tc>
          <w:tcPr>
            <w:tcW w:w="860" w:type="dxa"/>
            <w:vAlign w:val="bottom"/>
          </w:tcPr>
          <w:p>
            <w:pPr>
              <w:jc w:val="right"/>
              <w:ind w:right="8"/>
              <w:spacing w:after="0" w:line="189"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3</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2014</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3,425</w:t>
            </w:r>
          </w:p>
        </w:tc>
        <w:tc>
          <w:tcPr>
            <w:tcW w:w="6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160" w:type="dxa"/>
            <w:vAlign w:val="bottom"/>
            <w:gridSpan w:val="3"/>
          </w:tcPr>
          <w:p>
            <w:pPr>
              <w:spacing w:after="0"/>
              <w:rPr>
                <w:sz w:val="20"/>
                <w:szCs w:val="20"/>
                <w:color w:val="auto"/>
              </w:rPr>
            </w:pPr>
            <w:r>
              <w:rPr>
                <w:rFonts w:ascii="Arial" w:cs="Arial" w:eastAsia="Arial" w:hAnsi="Arial"/>
                <w:sz w:val="14"/>
                <w:szCs w:val="14"/>
                <w:color w:val="auto"/>
              </w:rPr>
              <w:t>Fiscal year ended October 31, 2013</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60" w:type="dxa"/>
            <w:vAlign w:val="bottom"/>
            <w:gridSpan w:val="3"/>
          </w:tcPr>
          <w:p>
            <w:pPr>
              <w:spacing w:after="0" w:line="157" w:lineRule="exact"/>
              <w:rPr>
                <w:sz w:val="20"/>
                <w:szCs w:val="20"/>
                <w:color w:val="auto"/>
              </w:rPr>
            </w:pPr>
            <w:r>
              <w:rPr>
                <w:rFonts w:ascii="Arial" w:cs="Arial" w:eastAsia="Arial" w:hAnsi="Arial"/>
                <w:sz w:val="14"/>
                <w:szCs w:val="14"/>
                <w:color w:val="auto"/>
              </w:rPr>
              <w:t>Allowance for doubtful accounts and notes receivable reserves</w:t>
            </w:r>
          </w:p>
        </w:tc>
        <w:tc>
          <w:tcPr>
            <w:tcW w:w="260" w:type="dxa"/>
            <w:vAlign w:val="bottom"/>
          </w:tcPr>
          <w:p>
            <w:pPr>
              <w:spacing w:after="0"/>
              <w:rPr>
                <w:sz w:val="13"/>
                <w:szCs w:val="13"/>
                <w:color w:val="auto"/>
              </w:rPr>
            </w:pPr>
          </w:p>
        </w:tc>
        <w:tc>
          <w:tcPr>
            <w:tcW w:w="1120" w:type="dxa"/>
            <w:vAlign w:val="bottom"/>
          </w:tcPr>
          <w:p>
            <w:pPr>
              <w:jc w:val="right"/>
              <w:ind w:right="8"/>
              <w:spacing w:after="0" w:line="157" w:lineRule="exact"/>
              <w:rPr>
                <w:sz w:val="20"/>
                <w:szCs w:val="20"/>
                <w:color w:val="auto"/>
              </w:rPr>
            </w:pPr>
            <w:r>
              <w:rPr>
                <w:rFonts w:ascii="Arial" w:cs="Arial" w:eastAsia="Arial" w:hAnsi="Arial"/>
                <w:sz w:val="14"/>
                <w:szCs w:val="14"/>
                <w:color w:val="auto"/>
              </w:rPr>
              <w:t>3,733</w:t>
            </w:r>
          </w:p>
        </w:tc>
        <w:tc>
          <w:tcPr>
            <w:tcW w:w="62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123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431</w:t>
            </w: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3,425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2012</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479</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Provision/(recovery).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2</w:t>
            </w:r>
          </w:p>
        </w:tc>
        <w:tc>
          <w:tcPr>
            <w:tcW w:w="5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Addition due to acquisitions.</w:t>
            </w: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3</w:t>
            </w:r>
          </w:p>
        </w:tc>
        <w:tc>
          <w:tcPr>
            <w:tcW w:w="5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Balance as of</w:t>
            </w:r>
          </w:p>
        </w:tc>
        <w:tc>
          <w:tcPr>
            <w:tcW w:w="1020" w:type="dxa"/>
            <w:vAlign w:val="bottom"/>
            <w:gridSpan w:val="4"/>
            <w:vMerge w:val="restart"/>
          </w:tcPr>
          <w:p>
            <w:pPr>
              <w:jc w:val="right"/>
              <w:ind w:right="8"/>
              <w:spacing w:after="0"/>
              <w:rPr>
                <w:sz w:val="20"/>
                <w:szCs w:val="20"/>
                <w:color w:val="auto"/>
              </w:rPr>
            </w:pPr>
            <w:r>
              <w:rPr>
                <w:rFonts w:ascii="Arial" w:cs="Arial" w:eastAsia="Arial" w:hAnsi="Arial"/>
                <w:sz w:val="14"/>
                <w:szCs w:val="14"/>
                <w:color w:val="auto"/>
              </w:rPr>
              <w:t>Charged to</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the beginning</w:t>
            </w:r>
          </w:p>
        </w:tc>
        <w:tc>
          <w:tcPr>
            <w:tcW w:w="10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of the fiscal</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costs and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189"/>
        </w:trPr>
        <w:tc>
          <w:tcPr>
            <w:tcW w:w="61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year</w:t>
            </w:r>
          </w:p>
        </w:tc>
        <w:tc>
          <w:tcPr>
            <w:tcW w:w="260" w:type="dxa"/>
            <w:vAlign w:val="bottom"/>
          </w:tcPr>
          <w:p>
            <w:pPr>
              <w:spacing w:after="0"/>
              <w:rPr>
                <w:sz w:val="16"/>
                <w:szCs w:val="16"/>
                <w:color w:val="auto"/>
              </w:rPr>
            </w:pPr>
          </w:p>
        </w:tc>
        <w:tc>
          <w:tcPr>
            <w:tcW w:w="760" w:type="dxa"/>
            <w:vAlign w:val="bottom"/>
            <w:gridSpan w:val="3"/>
          </w:tcPr>
          <w:p>
            <w:pPr>
              <w:jc w:val="right"/>
              <w:ind w:right="8"/>
              <w:spacing w:after="0" w:line="189" w:lineRule="exact"/>
              <w:rPr>
                <w:sz w:val="20"/>
                <w:szCs w:val="20"/>
                <w:color w:val="auto"/>
              </w:rPr>
            </w:pPr>
            <w:r>
              <w:rPr>
                <w:rFonts w:ascii="Arial" w:cs="Arial" w:eastAsia="Arial" w:hAnsi="Arial"/>
                <w:sz w:val="14"/>
                <w:szCs w:val="14"/>
                <w:color w:val="auto"/>
                <w:w w:val="97"/>
              </w:rPr>
              <w:t>expenses</w:t>
            </w:r>
            <w:r>
              <w:rPr>
                <w:rFonts w:ascii="Arial" w:cs="Arial" w:eastAsia="Arial" w:hAnsi="Arial"/>
                <w:sz w:val="21"/>
                <w:szCs w:val="21"/>
                <w:color w:val="auto"/>
                <w:w w:val="97"/>
                <w:vertAlign w:val="superscript"/>
              </w:rPr>
              <w:t>1</w:t>
            </w:r>
          </w:p>
        </w:tc>
        <w:tc>
          <w:tcPr>
            <w:tcW w:w="160" w:type="dxa"/>
            <w:vAlign w:val="bottom"/>
          </w:tcPr>
          <w:p>
            <w:pPr>
              <w:spacing w:after="0"/>
              <w:rPr>
                <w:sz w:val="16"/>
                <w:szCs w:val="16"/>
                <w:color w:val="auto"/>
              </w:rPr>
            </w:pPr>
          </w:p>
        </w:tc>
        <w:tc>
          <w:tcPr>
            <w:tcW w:w="860" w:type="dxa"/>
            <w:vAlign w:val="bottom"/>
          </w:tcPr>
          <w:p>
            <w:pPr>
              <w:jc w:val="right"/>
              <w:ind w:right="8"/>
              <w:spacing w:after="0" w:line="189"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2</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2014</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306,650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304,672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66,169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160" w:type="dxa"/>
            <w:vAlign w:val="bottom"/>
            <w:gridSpan w:val="3"/>
          </w:tcPr>
          <w:p>
            <w:pPr>
              <w:spacing w:after="0"/>
              <w:rPr>
                <w:sz w:val="20"/>
                <w:szCs w:val="20"/>
                <w:color w:val="auto"/>
              </w:rPr>
            </w:pPr>
            <w:r>
              <w:rPr>
                <w:rFonts w:ascii="Arial" w:cs="Arial" w:eastAsia="Arial" w:hAnsi="Arial"/>
                <w:sz w:val="14"/>
                <w:szCs w:val="14"/>
                <w:color w:val="auto"/>
              </w:rPr>
              <w:t>Fiscal year ended October 31, 2013</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60" w:type="dxa"/>
            <w:vAlign w:val="bottom"/>
            <w:gridSpan w:val="3"/>
          </w:tcPr>
          <w:p>
            <w:pPr>
              <w:spacing w:after="0" w:line="157" w:lineRule="exact"/>
              <w:rPr>
                <w:sz w:val="20"/>
                <w:szCs w:val="20"/>
                <w:color w:val="auto"/>
              </w:rPr>
            </w:pPr>
            <w:r>
              <w:rPr>
                <w:rFonts w:ascii="Arial" w:cs="Arial" w:eastAsia="Arial" w:hAnsi="Arial"/>
                <w:sz w:val="14"/>
                <w:szCs w:val="14"/>
                <w:color w:val="auto"/>
              </w:rPr>
              <w:t>Accrued advertising and marketing programs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56,264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287,217</w:t>
            </w:r>
          </w:p>
        </w:tc>
        <w:tc>
          <w:tcPr>
            <w:tcW w:w="160" w:type="dxa"/>
            <w:vAlign w:val="bottom"/>
          </w:tcPr>
          <w:p>
            <w:pPr>
              <w:spacing w:after="0"/>
              <w:rPr>
                <w:sz w:val="13"/>
                <w:szCs w:val="13"/>
                <w:color w:val="auto"/>
              </w:rPr>
            </w:pP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279,290</w:t>
            </w: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64,191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2012</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Accrued advertising and marketing programs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47,161</w:t>
            </w:r>
          </w:p>
        </w:tc>
        <w:tc>
          <w:tcPr>
            <w:tcW w:w="2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214,474</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205,371</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56,264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11120" w:type="dxa"/>
            <w:vAlign w:val="bottom"/>
            <w:gridSpan w:val="13"/>
            <w:vMerge w:val="restart"/>
          </w:tcPr>
          <w:p>
            <w:pPr>
              <w:ind w:left="240"/>
              <w:spacing w:after="0"/>
              <w:rPr>
                <w:sz w:val="20"/>
                <w:szCs w:val="20"/>
                <w:color w:val="auto"/>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1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20" w:type="dxa"/>
            <w:vAlign w:val="bottom"/>
          </w:tcPr>
          <w:p>
            <w:pPr>
              <w:ind w:left="240"/>
              <w:spacing w:after="0"/>
              <w:rPr>
                <w:sz w:val="20"/>
                <w:szCs w:val="20"/>
                <w:color w:val="auto"/>
              </w:rPr>
            </w:pPr>
            <w:r>
              <w:rPr>
                <w:rFonts w:ascii="Arial" w:cs="Arial" w:eastAsia="Arial" w:hAnsi="Arial"/>
                <w:sz w:val="14"/>
                <w:szCs w:val="14"/>
                <w:color w:val="auto"/>
              </w:rPr>
              <w:t>classified either as a reduction of net sales or as a component of selling, general, and administrative expense.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20" w:type="dxa"/>
            <w:vAlign w:val="bottom"/>
            <w:vMerge w:val="restart"/>
          </w:tcPr>
          <w:p>
            <w:pPr>
              <w:ind w:left="24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11120" w:type="dxa"/>
            <w:vAlign w:val="bottom"/>
          </w:tcPr>
          <w:p>
            <w:pPr>
              <w:jc w:val="right"/>
              <w:ind w:right="552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300" w:type="dxa"/>
            <w:vAlign w:val="bottom"/>
            <w:tcBorders>
              <w:bottom w:val="single" w:sz="8" w:color="808080"/>
            </w:tcBorders>
          </w:tcPr>
          <w:p>
            <w:pPr>
              <w:spacing w:after="0"/>
              <w:rPr>
                <w:sz w:val="18"/>
                <w:szCs w:val="18"/>
                <w:color w:val="auto"/>
              </w:rPr>
            </w:pPr>
          </w:p>
        </w:tc>
        <w:tc>
          <w:tcPr>
            <w:tcW w:w="1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SIGNATURES</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55245</wp:posOffset>
            </wp:positionV>
            <wp:extent cx="21869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By: /s/ Renee J. Peterson</w:t>
      </w:r>
      <w:r>
        <w:rPr>
          <w:sz w:val="20"/>
          <w:szCs w:val="20"/>
          <w:color w:val="auto"/>
        </w:rPr>
        <w:tab/>
      </w:r>
      <w:r>
        <w:rPr>
          <w:rFonts w:ascii="Arial" w:cs="Arial" w:eastAsia="Arial" w:hAnsi="Arial"/>
          <w:sz w:val="16"/>
          <w:szCs w:val="16"/>
          <w:color w:val="auto"/>
        </w:rPr>
        <w:t>Dated: December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55245</wp:posOffset>
            </wp:positionV>
            <wp:extent cx="21869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Renee J. Peterson</w:t>
      </w:r>
    </w:p>
    <w:p>
      <w:pPr>
        <w:ind w:left="380"/>
        <w:spacing w:after="0" w:line="234" w:lineRule="auto"/>
        <w:rPr>
          <w:sz w:val="20"/>
          <w:szCs w:val="20"/>
          <w:color w:val="auto"/>
        </w:rPr>
      </w:pPr>
      <w:r>
        <w:rPr>
          <w:rFonts w:ascii="Arial" w:cs="Arial" w:eastAsia="Arial" w:hAnsi="Arial"/>
          <w:sz w:val="18"/>
          <w:szCs w:val="18"/>
          <w:color w:val="auto"/>
        </w:rPr>
        <w:t>Vice President, Treasurer and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tabs>
          <w:tab w:leader="none" w:pos="3900" w:val="left"/>
          <w:tab w:leader="none" w:pos="85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Thomas J. Larson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December 22, 2014</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Treasurer and</w:t>
      </w:r>
      <w:r>
        <w:rPr>
          <w:sz w:val="20"/>
          <w:szCs w:val="20"/>
          <w:color w:val="auto"/>
        </w:rPr>
        <w:tab/>
      </w:r>
      <w:r>
        <w:rPr>
          <w:rFonts w:ascii="Arial" w:cs="Arial" w:eastAsia="Arial" w:hAnsi="Arial"/>
          <w:sz w:val="16"/>
          <w:szCs w:val="16"/>
          <w:color w:val="auto"/>
        </w:rPr>
        <w:t>December 22, 2014</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22, 2014</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22, 2014</w:t>
      </w:r>
    </w:p>
    <w:p>
      <w:pPr>
        <w:spacing w:after="0" w:line="614" w:lineRule="exact"/>
        <w:rPr>
          <w:sz w:val="20"/>
          <w:szCs w:val="20"/>
          <w:color w:val="auto"/>
        </w:rPr>
      </w:pPr>
    </w:p>
    <w:p>
      <w:pPr>
        <w:sectPr>
          <w:pgSz w:w="11900" w:h="16838" w:orient="portrait"/>
          <w:cols w:equalWidth="0" w:num="2">
            <w:col w:w="3200" w:space="720"/>
            <w:col w:w="7500"/>
          </w:cols>
          <w:pgMar w:left="240" w:top="143"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Pr>
          <w:p>
            <w:pPr>
              <w:spacing w:after="0"/>
              <w:rPr>
                <w:sz w:val="20"/>
                <w:szCs w:val="20"/>
                <w:color w:val="auto"/>
              </w:rPr>
            </w:pPr>
            <w:r>
              <w:rPr>
                <w:rFonts w:ascii="Arial" w:cs="Arial" w:eastAsia="Arial" w:hAnsi="Arial"/>
                <w:sz w:val="18"/>
                <w:szCs w:val="18"/>
                <w:color w:val="auto"/>
              </w:rPr>
              <w:t>/s/ Janet K. Cooper</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Janet K. Cooper</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Gary L. Ellis</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Gary L. Ellis</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Jeffrey M. Ettinger</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Jeffrey M. Ettinger</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Katherine J. Harless</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Katherine J. Harless</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James C. O'Rourke</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James C. O'Rourke</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Gregg W. Steinhafel</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Gregg W. Steinhafel</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2880" w:type="dxa"/>
            <w:vAlign w:val="bottom"/>
          </w:tcPr>
          <w:p>
            <w:pPr>
              <w:spacing w:after="0"/>
              <w:rPr>
                <w:sz w:val="20"/>
                <w:szCs w:val="20"/>
                <w:color w:val="auto"/>
              </w:rPr>
            </w:pPr>
            <w:r>
              <w:rPr>
                <w:rFonts w:ascii="Arial" w:cs="Arial" w:eastAsia="Arial" w:hAnsi="Arial"/>
                <w:sz w:val="18"/>
                <w:szCs w:val="18"/>
                <w:color w:val="auto"/>
              </w:rPr>
              <w:t>/s/ Christopher A. Twomey</w:t>
            </w:r>
          </w:p>
        </w:tc>
        <w:tc>
          <w:tcPr>
            <w:tcW w:w="368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020"/>
              <w:spacing w:after="0"/>
              <w:rPr>
                <w:sz w:val="20"/>
                <w:szCs w:val="20"/>
                <w:color w:val="auto"/>
              </w:rPr>
            </w:pPr>
            <w:r>
              <w:rPr>
                <w:rFonts w:ascii="Arial" w:cs="Arial" w:eastAsia="Arial" w:hAnsi="Arial"/>
                <w:sz w:val="18"/>
                <w:szCs w:val="18"/>
                <w:color w:val="auto"/>
                <w:w w:val="96"/>
              </w:rPr>
              <w:t>December 22, 2014</w:t>
            </w:r>
          </w:p>
        </w:tc>
      </w:tr>
      <w:tr>
        <w:trPr>
          <w:trHeight w:val="83"/>
        </w:trPr>
        <w:tc>
          <w:tcPr>
            <w:tcW w:w="28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3560" w:type="dxa"/>
            <w:vAlign w:val="bottom"/>
          </w:tcPr>
          <w:p>
            <w:pPr>
              <w:spacing w:after="0"/>
              <w:rPr>
                <w:sz w:val="7"/>
                <w:szCs w:val="7"/>
                <w:color w:val="auto"/>
              </w:rPr>
            </w:pP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auto"/>
              </w:rPr>
              <w:t>Christopher A. Twomey</w:t>
            </w:r>
          </w:p>
        </w:tc>
        <w:tc>
          <w:tcPr>
            <w:tcW w:w="36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2010 EQUITY AND INCENTIVE PLAN</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(the “Board”) and shareholders of The Toro Company, a Delaware corporation (the “Company”), have heretofore approved and adopted The Toro Company 2010 Equity and Incentive Plan (as amended, the “Plan”), and pursuant to the power of amendment reserved to the Compensation and Human Resources Committee of the Board (the “Committee”) in Section 20.1 of the Plan, the Committee has adopted and approved this Amendment No. 3 to the Plan (this “Amendment”), effective as September 16, 2014.</w:t>
      </w:r>
    </w:p>
    <w:p>
      <w:pPr>
        <w:spacing w:after="0" w:line="187" w:lineRule="exact"/>
        <w:rPr>
          <w:sz w:val="20"/>
          <w:szCs w:val="20"/>
          <w:color w:val="auto"/>
        </w:rPr>
      </w:pPr>
    </w:p>
    <w:p>
      <w:pPr>
        <w:ind w:left="1380" w:hanging="724"/>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11.1 of the Plan is hereby amended and restated in its entirety to read as follows:</w:t>
      </w:r>
    </w:p>
    <w:p>
      <w:pPr>
        <w:spacing w:after="0" w:line="221" w:lineRule="exact"/>
        <w:rPr>
          <w:sz w:val="20"/>
          <w:szCs w:val="20"/>
          <w:color w:val="auto"/>
        </w:rPr>
      </w:pPr>
    </w:p>
    <w:p>
      <w:pPr>
        <w:ind w:left="1300" w:right="20"/>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Nonemployee Director Shares</w:t>
      </w:r>
      <w:r>
        <w:rPr>
          <w:rFonts w:ascii="Arial" w:cs="Arial" w:eastAsia="Arial" w:hAnsi="Arial"/>
          <w:sz w:val="18"/>
          <w:szCs w:val="18"/>
          <w:color w:val="auto"/>
        </w:rPr>
        <w:t>. On the first business day of each fiscal year, the Company shall issue to each person who is then a Nonemployee Director, Shares in an amount equal to $50,000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hereof.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9" w:lineRule="exact"/>
        <w:rPr>
          <w:sz w:val="20"/>
          <w:szCs w:val="20"/>
          <w:color w:val="auto"/>
        </w:rPr>
      </w:pPr>
    </w:p>
    <w:p>
      <w:pPr>
        <w:ind w:left="1380" w:hanging="724"/>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11.2(a) of the Plan is hereby amended and restated in its entirety to read as follows:</w:t>
      </w:r>
    </w:p>
    <w:p>
      <w:pPr>
        <w:spacing w:after="0" w:line="221" w:lineRule="exact"/>
        <w:rPr>
          <w:sz w:val="20"/>
          <w:szCs w:val="20"/>
          <w:color w:val="auto"/>
        </w:rPr>
      </w:pPr>
    </w:p>
    <w:p>
      <w:pPr>
        <w:ind w:left="1300" w:right="2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 Company shall grant to each person who is then a Nonemployee Director, a Nonqualified Stock Option to purchase Shares (a “Nonemployee Director Option”). Each Nonemployee Director Option shall have a grant date fair value of $50,000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76" w:lineRule="exact"/>
        <w:rPr>
          <w:sz w:val="20"/>
          <w:szCs w:val="20"/>
          <w:color w:val="auto"/>
        </w:rPr>
      </w:pPr>
    </w:p>
    <w:p>
      <w:pPr>
        <w:ind w:right="400" w:firstLine="656"/>
        <w:spacing w:after="0" w:line="277" w:lineRule="auto"/>
        <w:tabs>
          <w:tab w:leader="none" w:pos="136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specifically set forth in Sections 1 and 2 of this Amendment, the Plan shall remain unchanged and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Toro Company has hereunto subscribed its name effective this 16</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2014.</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Chairman and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NONEMPLOYEE DIRECTOR STOCK OPTION AGREEMENT</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 (“you”) sets forth the terms and conditions of the grant to you of a nonqualified option (this “Option”) to purchase [ ] shares of common stock, par value $1.00 per share, of Toro (“Shares”) at an exercise price of $[ ] per Share, under The Toro Company 2010 Equity and Incentive Plan, as amended (the</w:t>
      </w:r>
    </w:p>
    <w:p>
      <w:pPr>
        <w:ind w:right="80"/>
        <w:spacing w:after="0" w:line="255" w:lineRule="auto"/>
        <w:rPr>
          <w:sz w:val="20"/>
          <w:szCs w:val="20"/>
          <w:color w:val="auto"/>
        </w:rPr>
      </w:pPr>
      <w:r>
        <w:rPr>
          <w:rFonts w:ascii="Arial" w:cs="Arial" w:eastAsia="Arial" w:hAnsi="Arial"/>
          <w:sz w:val="18"/>
          <w:szCs w:val="18"/>
          <w:color w:val="auto"/>
        </w:rPr>
        <w:t>“Plan”). This Option is subject to all of the terms and conditions set forth in the Plan, this Agreement and the Nonemployee Director Stock Option Acceptance Agreement should you decide to accept this Option. All of the terms in this Agreement and the Nonemployee Director Stock Option Acceptance Agreement that begin with a capital letter are either defined in this Agreement or in the Plan.</w:t>
      </w:r>
    </w:p>
    <w:p>
      <w:pPr>
        <w:spacing w:after="0" w:line="190" w:lineRule="exact"/>
        <w:rPr>
          <w:sz w:val="20"/>
          <w:szCs w:val="20"/>
          <w:color w:val="auto"/>
        </w:rPr>
      </w:pPr>
    </w:p>
    <w:p>
      <w:pPr>
        <w:spacing w:after="0"/>
        <w:tabs>
          <w:tab w:leader="none" w:pos="640" w:val="left"/>
          <w:tab w:leader="none" w:pos="49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right="100" w:firstLine="8"/>
        <w:spacing w:after="0" w:line="264"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and 6 of this Agreement, this Option shall vest and become exercisable in three (3) as equal as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on each of the first, second and third anniversaries after the Grant Date (rounding down to the nearest whole share on the first vesting date, if necessary, and on the second vesting date, if necessary).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 as a Director of Toro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656"/>
        <w:spacing w:after="0" w:line="264"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service as a nonemployee director of Toro is terminated by reason of your Disability, this Option will vest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and you or your guardian or legal representative, as the case may be, may exercise this Option until the earlier of the date this Option expires or one (1) year after the date your service as a nonemployee director of Toro terminates by reason of your Disability.</w:t>
      </w:r>
    </w:p>
    <w:p>
      <w:pPr>
        <w:spacing w:after="0" w:line="181" w:lineRule="exact"/>
        <w:rPr>
          <w:rFonts w:ascii="Arial" w:cs="Arial" w:eastAsia="Arial" w:hAnsi="Arial"/>
          <w:sz w:val="18"/>
          <w:szCs w:val="18"/>
          <w:color w:val="auto"/>
        </w:rPr>
      </w:pPr>
    </w:p>
    <w:p>
      <w:pPr>
        <w:ind w:right="360" w:firstLine="656"/>
        <w:spacing w:after="0" w:line="277" w:lineRule="auto"/>
        <w:tabs>
          <w:tab w:leader="none" w:pos="1304"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the date this Option expires or one (1) year after the date of your death.</w:t>
      </w:r>
    </w:p>
    <w:p>
      <w:pPr>
        <w:spacing w:after="0" w:line="170" w:lineRule="exact"/>
        <w:rPr>
          <w:rFonts w:ascii="Arial" w:cs="Arial" w:eastAsia="Arial" w:hAnsi="Arial"/>
          <w:sz w:val="18"/>
          <w:szCs w:val="18"/>
          <w:color w:val="auto"/>
        </w:rPr>
      </w:pPr>
    </w:p>
    <w:p>
      <w:pPr>
        <w:ind w:right="100" w:firstLine="656"/>
        <w:spacing w:after="0" w:line="273" w:lineRule="auto"/>
        <w:tabs>
          <w:tab w:leader="none" w:pos="1307"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If your service as a director of Toro is terminated for any reason other your death or Disability and you have served 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for ten (10) full fiscal years or longer (i) this Option will continue to vest in accordance with its terms, and (ii) you may exercise the vested portion of this Option (including any portion of this Option that vests pursuant to (i)) for up to four (4) years after the date of termination, but not later than the date this Option expires. If your service as a nonemployee director of Toro is terminated for any reason other your death or Disability and you have served as a member of the Board for less than ten (10) full fiscal years, you may exercise the then vested portion of this Option, if any, for a period of three (3) months after the date your service as a director of Toro terminates, but not later than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date this Option expires, and any unvested portion of this Option will be canceled on the date your service as a nonemployee director of Toro terminates.</w:t>
      </w:r>
    </w:p>
    <w:p>
      <w:pPr>
        <w:spacing w:after="0" w:line="248" w:lineRule="exact"/>
        <w:rPr>
          <w:sz w:val="20"/>
          <w:szCs w:val="20"/>
          <w:color w:val="auto"/>
        </w:rPr>
      </w:pPr>
    </w:p>
    <w:p>
      <w:pPr>
        <w:ind w:right="280" w:firstLine="8"/>
        <w:spacing w:after="0" w:line="277"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 entered into by a court of competent jurisdiction.</w:t>
      </w:r>
    </w:p>
    <w:p>
      <w:pPr>
        <w:spacing w:after="0" w:line="170" w:lineRule="exact"/>
        <w:rPr>
          <w:rFonts w:ascii="Arial" w:cs="Arial" w:eastAsia="Arial" w:hAnsi="Arial"/>
          <w:sz w:val="18"/>
          <w:szCs w:val="18"/>
          <w:color w:val="auto"/>
        </w:rPr>
      </w:pPr>
    </w:p>
    <w:p>
      <w:pPr>
        <w:ind w:firstLine="8"/>
        <w:spacing w:after="0" w:line="271" w:lineRule="auto"/>
        <w:tabs>
          <w:tab w:leader="none" w:pos="648"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 discretion,</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service as a director of Toro,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Option.</w:t>
      </w:r>
    </w:p>
    <w:p>
      <w:pPr>
        <w:spacing w:after="0" w:line="236" w:lineRule="exact"/>
        <w:rPr>
          <w:rFonts w:ascii="Arial" w:cs="Arial" w:eastAsia="Arial" w:hAnsi="Arial"/>
          <w:sz w:val="17"/>
          <w:szCs w:val="17"/>
          <w:color w:val="auto"/>
        </w:rPr>
      </w:pPr>
    </w:p>
    <w:p>
      <w:pPr>
        <w:ind w:right="60" w:firstLine="8"/>
        <w:spacing w:after="0" w:line="287" w:lineRule="auto"/>
        <w:tabs>
          <w:tab w:leader="none" w:pos="648"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Methods of Exercise</w:t>
      </w:r>
      <w:r>
        <w:rPr>
          <w:rFonts w:ascii="Arial" w:cs="Arial" w:eastAsia="Arial" w:hAnsi="Arial"/>
          <w:sz w:val="16"/>
          <w:szCs w:val="16"/>
          <w:color w:val="auto"/>
        </w:rPr>
        <w:t>. In order to exercise this Option, you must deliver to Toro’s Vice President, Secretary and General Counsel a written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in a form specified or accepted by the Committee specifying the number of whole Shares with respect to which you wish to exercise this Option, accompanied by payment in full of the exercise price for the Shares to be purchased. Payment may be made (a) in cash;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exercise price for the Shares exercised under this method and will require cash payment from you for any remaining exercise price. Shares will no longer be outstanding under this Option (and will therefore not thereafter be exercisable) following the exercise of this Option to the extent of (i) Shares used to pay the exercise price of this Option under the “net exercise,” and (ii) Shares actually delivered to you as a result of such exercise. Any Shares issued to you upon exercise of this Option will be issued and delivered to you in book-entry or certificate form or issued and deposited for your benefit with any broker with which you have an account relationship or Toro has engaged to provide such services under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420"/>
          </w:cols>
          <w:pgMar w:left="240" w:top="364" w:right="239" w:bottom="221" w:gutter="0" w:footer="0" w:header="0"/>
        </w:sectPr>
      </w:pPr>
    </w:p>
    <w:bookmarkStart w:id="80" w:name="page81"/>
    <w:bookmarkEnd w:id="80"/>
    <w:p>
      <w:pPr>
        <w:ind w:right="60" w:firstLine="8"/>
        <w:spacing w:after="0" w:line="273" w:lineRule="auto"/>
        <w:tabs>
          <w:tab w:leader="none" w:pos="648"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General Restriction</w:t>
      </w:r>
      <w:r>
        <w:rPr>
          <w:rFonts w:ascii="Arial" w:cs="Arial" w:eastAsia="Arial" w:hAnsi="Arial"/>
          <w:sz w:val="17"/>
          <w:szCs w:val="17"/>
          <w:color w:val="auto"/>
        </w:rPr>
        <w:t>. If at any time the Committee determines that the listing, registration or qualification of the Shares subject to this Option on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78" w:lineRule="exact"/>
        <w:rPr>
          <w:rFonts w:ascii="Arial" w:cs="Arial" w:eastAsia="Arial" w:hAnsi="Arial"/>
          <w:sz w:val="17"/>
          <w:szCs w:val="17"/>
          <w:color w:val="auto"/>
        </w:rPr>
      </w:pPr>
    </w:p>
    <w:p>
      <w:pPr>
        <w:ind w:right="220" w:firstLine="8"/>
        <w:spacing w:after="0" w:line="259"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delivered to you in accordance with the terms of this Agreement and the 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ind w:firstLine="8"/>
        <w:spacing w:after="0" w:line="264" w:lineRule="auto"/>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Nonemployee Director Stock Option Acceptance Agreement shall be construed, administered and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in all 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640" w:firstLine="8"/>
        <w:spacing w:after="0" w:line="342" w:lineRule="auto"/>
        <w:tabs>
          <w:tab w:leader="none" w:pos="63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Venue. </w:t>
      </w:r>
      <w:r>
        <w:rPr>
          <w:rFonts w:ascii="Arial" w:cs="Arial" w:eastAsia="Arial" w:hAnsi="Arial"/>
          <w:sz w:val="16"/>
          <w:szCs w:val="16"/>
          <w:color w:val="auto"/>
        </w:rPr>
        <w:t>In accepting this Option,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Option and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60" w:firstLine="8"/>
        <w:spacing w:after="0" w:line="264" w:lineRule="auto"/>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8"/>
        <w:spacing w:after="0" w:line="277"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Nonemployee Director Stock Option Acceptance Agreement are inconsistent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provisions of the Plan shall control and supersede any inconsistent provision of this Agreement.</w:t>
      </w:r>
    </w:p>
    <w:p>
      <w:pPr>
        <w:spacing w:after="0" w:line="170" w:lineRule="exact"/>
        <w:rPr>
          <w:rFonts w:ascii="Arial" w:cs="Arial" w:eastAsia="Arial" w:hAnsi="Arial"/>
          <w:sz w:val="18"/>
          <w:szCs w:val="18"/>
          <w:color w:val="auto"/>
        </w:rPr>
      </w:pPr>
    </w:p>
    <w:p>
      <w:pPr>
        <w:ind w:right="280" w:firstLine="8"/>
        <w:spacing w:after="0" w:line="308"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Non-Negotiable Terms</w:t>
      </w:r>
      <w:r>
        <w:rPr>
          <w:rFonts w:ascii="Arial" w:cs="Arial" w:eastAsia="Arial" w:hAnsi="Arial"/>
          <w:sz w:val="17"/>
          <w:szCs w:val="17"/>
          <w:color w:val="auto"/>
        </w:rPr>
        <w:t>. The terms of this Agreement and the Nonemployee Director Stock Option Acceptance Agreement are not negotiable, but</w:t>
      </w:r>
      <w:r>
        <w:rPr>
          <w:rFonts w:ascii="Arial" w:cs="Arial" w:eastAsia="Arial" w:hAnsi="Arial"/>
          <w:sz w:val="17"/>
          <w:szCs w:val="17"/>
          <w:i w:val="1"/>
          <w:iCs w:val="1"/>
          <w:color w:val="auto"/>
        </w:rPr>
        <w:t xml:space="preserve"> </w:t>
      </w:r>
      <w:r>
        <w:rPr>
          <w:rFonts w:ascii="Arial" w:cs="Arial" w:eastAsia="Arial" w:hAnsi="Arial"/>
          <w:sz w:val="17"/>
          <w:szCs w:val="17"/>
          <w:color w:val="auto"/>
        </w:rPr>
        <w:t>you may refuse to accept this Option by immediately notifying Toro’s Vice President, Secretary and General Counsel in writing.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Nonemployee Director Stock Option Acceptance Agreement.</w:t>
      </w:r>
    </w:p>
    <w:p>
      <w:pPr>
        <w:spacing w:after="0" w:line="387" w:lineRule="exact"/>
        <w:rPr>
          <w:sz w:val="20"/>
          <w:szCs w:val="20"/>
          <w:color w:val="auto"/>
        </w:rPr>
      </w:pPr>
    </w:p>
    <w:p>
      <w:pPr>
        <w:spacing w:after="0"/>
        <w:tabs>
          <w:tab w:leader="none" w:pos="58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320" w:right="2700" w:hanging="3604"/>
        <w:spacing w:after="0" w:line="277" w:lineRule="auto"/>
        <w:rPr>
          <w:sz w:val="20"/>
          <w:szCs w:val="20"/>
          <w:color w:val="auto"/>
        </w:rPr>
      </w:pPr>
      <w:r>
        <w:rPr>
          <w:rFonts w:ascii="Arial" w:cs="Arial" w:eastAsia="Arial" w:hAnsi="Arial"/>
          <w:sz w:val="18"/>
          <w:szCs w:val="18"/>
          <w:color w:val="auto"/>
        </w:rPr>
        <w:t>NONEMPLOYEE DIRECTOR STOCK OPTION ACCEPTANCE AGREEMENT , 20</w:t>
      </w:r>
    </w:p>
    <w:p>
      <w:pPr>
        <w:spacing w:after="0" w:line="17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100" w:firstLine="656"/>
        <w:spacing w:after="0" w:line="264" w:lineRule="auto"/>
        <w:tabs>
          <w:tab w:leader="none" w:pos="12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Nonemployee Director Stock Option Agreement or this Nonemployee Director Stock Option Acceptance Agreement;</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60" w:firstLine="656"/>
        <w:spacing w:after="0" w:line="264" w:lineRule="auto"/>
        <w:tabs>
          <w:tab w:leader="none" w:pos="13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Nonemployee Director Option Agreement and this Nonemployee Director Stock Option Acceptance Agreement and am issued Shares, the value of those Shares may increase or decrease;</w:t>
      </w:r>
    </w:p>
    <w:p>
      <w:pPr>
        <w:sectPr>
          <w:pgSz w:w="11900" w:h="16838" w:orient="portrait"/>
          <w:cols w:equalWidth="0" w:num="1">
            <w:col w:w="11420"/>
          </w:cols>
          <w:pgMar w:left="240" w:top="125" w:right="239" w:bottom="0" w:gutter="0" w:footer="0" w:header="0"/>
        </w:sectPr>
      </w:pPr>
    </w:p>
    <w:bookmarkStart w:id="81" w:name="page82"/>
    <w:bookmarkEnd w:id="81"/>
    <w:p>
      <w:pPr>
        <w:ind w:right="40" w:firstLine="656"/>
        <w:spacing w:after="0" w:line="257" w:lineRule="auto"/>
        <w:tabs>
          <w:tab w:leader="none" w:pos="13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Toro and I hereby irrevocably release Toro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88" w:lineRule="exact"/>
        <w:rPr>
          <w:rFonts w:ascii="Arial" w:cs="Arial" w:eastAsia="Arial" w:hAnsi="Arial"/>
          <w:sz w:val="18"/>
          <w:szCs w:val="18"/>
          <w:color w:val="auto"/>
        </w:rPr>
      </w:pPr>
    </w:p>
    <w:p>
      <w:pPr>
        <w:ind w:firstLine="656"/>
        <w:spacing w:after="0" w:line="277" w:lineRule="auto"/>
        <w:tabs>
          <w:tab w:leader="none" w:pos="13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Toro is not providing any tax, legal or financial advice, nor is Toro making any recommendations regarding my participation in the Plan, or my purchase or sale of the Shares underlying the Option;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Note: If you do not wish to accept the Option on the terms stated in the Nonemployee Director Option Agreement or this Nonemployee Director Stock Option Acceptance Agreement, please immediately contact Toro’s Vice President, Secretary and General Counsel to decline the grant.</w:t>
      </w:r>
    </w:p>
    <w:p>
      <w:pPr>
        <w:spacing w:after="0" w:line="3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5715</wp:posOffset>
            </wp:positionV>
            <wp:extent cx="32327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2785"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-130810</wp:posOffset>
            </wp:positionV>
            <wp:extent cx="29070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left="660"/>
        <w:spacing w:after="0"/>
        <w:tabs>
          <w:tab w:leader="none" w:pos="442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(the “Grant Date”), between The Toro Company, a Delaware corporation (“Toro”), and</w:t>
      </w:r>
    </w:p>
    <w:p>
      <w:pPr>
        <w:spacing w:after="0" w:line="23" w:lineRule="exact"/>
        <w:rPr>
          <w:sz w:val="20"/>
          <w:szCs w:val="20"/>
          <w:color w:val="auto"/>
        </w:rPr>
      </w:pPr>
    </w:p>
    <w:p>
      <w:pPr>
        <w:spacing w:after="0"/>
        <w:tabs>
          <w:tab w:leader="none" w:pos="580" w:val="left"/>
          <w:tab w:leader="none" w:pos="9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(“you”) sets forth the terms and conditions of the grant to you of a nonqualified option (this “Option”) to purchase [</w:t>
      </w:r>
      <w:r>
        <w:rPr>
          <w:sz w:val="20"/>
          <w:szCs w:val="20"/>
          <w:color w:val="auto"/>
        </w:rPr>
        <w:tab/>
      </w:r>
      <w:r>
        <w:rPr>
          <w:rFonts w:ascii="Arial" w:cs="Arial" w:eastAsia="Arial" w:hAnsi="Arial"/>
          <w:sz w:val="16"/>
          <w:szCs w:val="16"/>
          <w:color w:val="auto"/>
        </w:rPr>
        <w:t>] shares of common</w:t>
      </w:r>
    </w:p>
    <w:p>
      <w:pPr>
        <w:spacing w:after="0" w:line="9"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stock, par value $1.00 per share, of Toro (“Shares”), at an exercise price of $[</w:t>
      </w:r>
      <w:r>
        <w:rPr>
          <w:sz w:val="20"/>
          <w:szCs w:val="20"/>
          <w:color w:val="auto"/>
        </w:rPr>
        <w:tab/>
      </w:r>
      <w:r>
        <w:rPr>
          <w:rFonts w:ascii="Arial" w:cs="Arial" w:eastAsia="Arial" w:hAnsi="Arial"/>
          <w:sz w:val="16"/>
          <w:szCs w:val="16"/>
          <w:color w:val="auto"/>
        </w:rPr>
        <w:t>] per Share, under The Toro Company 2010 Equity and Incentive Plan, as</w:t>
      </w:r>
    </w:p>
    <w:p>
      <w:pPr>
        <w:spacing w:after="0" w:line="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amended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Except as otherwise indicated, for purposes of this Agreement and the Nonqualified Stock Option Acceptance Agreement, any reference to “Employer” shall mean the entity (Toro or any Affiliate or Subsidiary) that employs you.</w:t>
      </w:r>
    </w:p>
    <w:p>
      <w:pPr>
        <w:spacing w:after="0" w:line="191" w:lineRule="exact"/>
        <w:rPr>
          <w:sz w:val="20"/>
          <w:szCs w:val="20"/>
          <w:color w:val="auto"/>
        </w:rPr>
      </w:pPr>
    </w:p>
    <w:p>
      <w:pPr>
        <w:spacing w:after="0"/>
        <w:tabs>
          <w:tab w:leader="none" w:pos="640" w:val="left"/>
          <w:tab w:leader="none" w:pos="4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7"/>
          <w:szCs w:val="17"/>
          <w:color w:val="auto"/>
        </w:rPr>
        <w:t>].</w:t>
      </w:r>
    </w:p>
    <w:p>
      <w:pPr>
        <w:spacing w:after="0" w:line="3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6 and 7 of this Agreement, this Option shall vest and become exercisable [in full on the</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anniversary after the Grant Date/in as equal as possible installments on each of the anniversaries after the Grant Date (rounding down to the nearest whole Share on the vesting date(s), if necessary)].</w:t>
      </w:r>
    </w:p>
    <w:p>
      <w:pPr>
        <w:spacing w:after="0" w:line="170"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 or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employment or other service with the Employer is terminated by reason of your Disability, this Option will vest</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and you or your guardian or legal representative, as the case may be, may exercise this Option until the earlier of the date this Option expires or one (1) year after the date your employment or other service with the Employer terminates by reason of your Disability.</w:t>
      </w:r>
    </w:p>
    <w:p>
      <w:pPr>
        <w:spacing w:after="0" w:line="181" w:lineRule="exact"/>
        <w:rPr>
          <w:rFonts w:ascii="Arial" w:cs="Arial" w:eastAsia="Arial" w:hAnsi="Arial"/>
          <w:sz w:val="18"/>
          <w:szCs w:val="18"/>
          <w:color w:val="auto"/>
        </w:rPr>
      </w:pPr>
    </w:p>
    <w:p>
      <w:pPr>
        <w:ind w:right="360" w:firstLine="656"/>
        <w:spacing w:after="0" w:line="277" w:lineRule="auto"/>
        <w:tabs>
          <w:tab w:leader="none" w:pos="1304"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the date this Option expires or one (1) year after the date of your death.</w:t>
      </w:r>
    </w:p>
    <w:p>
      <w:pPr>
        <w:spacing w:after="0" w:line="170" w:lineRule="exact"/>
        <w:rPr>
          <w:rFonts w:ascii="Arial" w:cs="Arial" w:eastAsia="Arial" w:hAnsi="Arial"/>
          <w:sz w:val="18"/>
          <w:szCs w:val="18"/>
          <w:color w:val="auto"/>
        </w:rPr>
      </w:pPr>
    </w:p>
    <w:p>
      <w:pPr>
        <w:jc w:val="both"/>
        <w:ind w:right="60" w:firstLine="656"/>
        <w:spacing w:after="0" w:line="259" w:lineRule="auto"/>
        <w:tabs>
          <w:tab w:leader="none" w:pos="1307"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 If your employment or other service with the Employer is terminated by reason of your Retirement after the last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in which your grant was made, this Option will remain outstanding for a period of four (4) years after the date of your Retirement, but not later than the date this Option expires, and will continue to vest under Section 2 of this Agreement; provided, however, that if you become employed or retained to render services or assume responsibilities similar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those of the position at the Employer from which you retire, this Option shall automatically be canceled, expire and be forfeited.</w:t>
      </w:r>
    </w:p>
    <w:p>
      <w:pPr>
        <w:spacing w:after="0" w:line="225" w:lineRule="exact"/>
        <w:rPr>
          <w:sz w:val="20"/>
          <w:szCs w:val="20"/>
          <w:color w:val="auto"/>
        </w:rPr>
      </w:pPr>
    </w:p>
    <w:p>
      <w:pPr>
        <w:jc w:val="both"/>
        <w:ind w:right="20" w:firstLine="656"/>
        <w:spacing w:after="0" w:line="259" w:lineRule="auto"/>
        <w:tabs>
          <w:tab w:leader="none" w:pos="1304"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If your employment or other service with the Employer is terminated for any reason other your death, Disability or Retirement, you</w:t>
      </w:r>
      <w:r>
        <w:rPr>
          <w:rFonts w:ascii="Arial" w:cs="Arial" w:eastAsia="Arial" w:hAnsi="Arial"/>
          <w:sz w:val="18"/>
          <w:szCs w:val="18"/>
          <w:i w:val="1"/>
          <w:iCs w:val="1"/>
          <w:color w:val="auto"/>
        </w:rPr>
        <w:t xml:space="preserve"> </w:t>
      </w:r>
      <w:r>
        <w:rPr>
          <w:rFonts w:ascii="Arial" w:cs="Arial" w:eastAsia="Arial" w:hAnsi="Arial"/>
          <w:sz w:val="18"/>
          <w:szCs w:val="18"/>
          <w:color w:val="auto"/>
        </w:rPr>
        <w:t>may 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w:t>
      </w:r>
    </w:p>
    <w:p>
      <w:pPr>
        <w:spacing w:after="0" w:line="186" w:lineRule="exact"/>
        <w:rPr>
          <w:rFonts w:ascii="Arial" w:cs="Arial" w:eastAsia="Arial" w:hAnsi="Arial"/>
          <w:sz w:val="18"/>
          <w:szCs w:val="18"/>
          <w:color w:val="auto"/>
        </w:rPr>
      </w:pPr>
    </w:p>
    <w:p>
      <w:pPr>
        <w:jc w:val="both"/>
        <w:ind w:right="40" w:firstLine="656"/>
        <w:spacing w:after="0" w:line="259" w:lineRule="auto"/>
        <w:tabs>
          <w:tab w:leader="none" w:pos="1307"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of Termination. </w:t>
      </w:r>
      <w:r>
        <w:rPr>
          <w:rFonts w:ascii="Arial" w:cs="Arial" w:eastAsia="Arial" w:hAnsi="Arial"/>
          <w:sz w:val="18"/>
          <w:szCs w:val="18"/>
          <w:color w:val="auto"/>
        </w:rPr>
        <w:t>Notwithstanding anything to the contrary in the Plan, and unless otherwise determined by the Committee in</w:t>
      </w:r>
      <w:r>
        <w:rPr>
          <w:rFonts w:ascii="Arial" w:cs="Arial" w:eastAsia="Arial" w:hAnsi="Arial"/>
          <w:sz w:val="18"/>
          <w:szCs w:val="18"/>
          <w:i w:val="1"/>
          <w:iCs w:val="1"/>
          <w:color w:val="auto"/>
        </w:rPr>
        <w:t xml:space="preserve"> </w:t>
      </w:r>
      <w:r>
        <w:rPr>
          <w:rFonts w:ascii="Arial" w:cs="Arial" w:eastAsia="Arial" w:hAnsi="Arial"/>
          <w:sz w:val="18"/>
          <w:szCs w:val="18"/>
          <w:color w:val="auto"/>
        </w:rPr>
        <w:t>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right="320" w:firstLine="8"/>
        <w:spacing w:after="0" w:line="277"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 entered into by a court of competent jurisdiction.</w:t>
      </w:r>
    </w:p>
    <w:p>
      <w:pPr>
        <w:spacing w:after="0" w:line="170" w:lineRule="exact"/>
        <w:rPr>
          <w:rFonts w:ascii="Arial" w:cs="Arial" w:eastAsia="Arial" w:hAnsi="Arial"/>
          <w:sz w:val="18"/>
          <w:szCs w:val="18"/>
          <w:color w:val="auto"/>
        </w:rPr>
      </w:pPr>
    </w:p>
    <w:p>
      <w:pPr>
        <w:ind w:firstLine="8"/>
        <w:spacing w:after="0" w:line="290"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Adverse Action</w:t>
      </w:r>
      <w:r>
        <w:rPr>
          <w:rFonts w:ascii="Arial" w:cs="Arial" w:eastAsia="Arial" w:hAnsi="Arial"/>
          <w:sz w:val="16"/>
          <w:szCs w:val="16"/>
          <w:color w:val="auto"/>
        </w:rPr>
        <w:t>. In addition to the other rights of the Committee under the Plan, if you are determined by the Committee, acting in its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66" w:lineRule="exact"/>
        <w:rPr>
          <w:rFonts w:ascii="Arial" w:cs="Arial" w:eastAsia="Arial" w:hAnsi="Arial"/>
          <w:sz w:val="16"/>
          <w:szCs w:val="16"/>
          <w:color w:val="auto"/>
        </w:rPr>
      </w:pPr>
    </w:p>
    <w:p>
      <w:pPr>
        <w:ind w:right="100" w:firstLine="8"/>
        <w:spacing w:after="0" w:line="264"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upon exercise of this Option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Option.</w:t>
      </w:r>
    </w:p>
    <w:p>
      <w:pPr>
        <w:spacing w:after="0" w:line="236" w:lineRule="exact"/>
        <w:rPr>
          <w:rFonts w:ascii="Arial" w:cs="Arial" w:eastAsia="Arial" w:hAnsi="Arial"/>
          <w:sz w:val="17"/>
          <w:szCs w:val="17"/>
          <w:i w:val="1"/>
          <w:iCs w:val="1"/>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Methods of Exercise</w:t>
      </w:r>
      <w:r>
        <w:rPr>
          <w:rFonts w:ascii="Arial" w:cs="Arial" w:eastAsia="Arial" w:hAnsi="Arial"/>
          <w:sz w:val="18"/>
          <w:szCs w:val="18"/>
          <w:color w:val="auto"/>
        </w:rPr>
        <w:t>. In order to exercise this Option, you must deliver to Toro’s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05"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t>Vice President, Secretary and General Counsel or Managing Director, HR &amp; Total Awards, as applicable, a written notice of exercise in a form specified or accepted by the Committee specifying the number of whole Shares with respect to which you wish to exercise this Option, accompanied by payment in full of the exercise price for the Shares to be purchased. Payment may be made (a) in cash;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exercise price for the Shares exercised under this method (and, if applicable, any required tax withholding obligations) and will require cash payment from you for any remaining exercise price (and/or tax withholding obligations). Shares will no longer be outstanding under this Option (and will therefore not thereafter be exercisable) following the exercise of this Option to the extent of (i) Shares used to pay the exercise price of this Option under the “net exercise,” (ii) Shares actually delivered to you as a result of such exercise, and (iii) any Shares withheld for purposes of tax withholding pursuant to the Plan. Any Shares issued to you upon exercise of this Option will be issued and delivered to you in book-entry or certificate form or issued and deposited for your benefit with any broker with which you have an account relationship or Toro has engaged to provide such services under the Plan.</w:t>
      </w:r>
    </w:p>
    <w:p>
      <w:pPr>
        <w:spacing w:after="0" w:line="175" w:lineRule="exact"/>
        <w:rPr>
          <w:sz w:val="20"/>
          <w:szCs w:val="20"/>
          <w:color w:val="auto"/>
        </w:rPr>
      </w:pPr>
    </w:p>
    <w:p>
      <w:pPr>
        <w:ind w:right="40" w:firstLine="8"/>
        <w:spacing w:after="0" w:line="273" w:lineRule="auto"/>
        <w:tabs>
          <w:tab w:leader="none" w:pos="648"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General Restriction</w:t>
      </w:r>
      <w:r>
        <w:rPr>
          <w:rFonts w:ascii="Arial" w:cs="Arial" w:eastAsia="Arial" w:hAnsi="Arial"/>
          <w:sz w:val="17"/>
          <w:szCs w:val="17"/>
          <w:color w:val="auto"/>
        </w:rPr>
        <w:t>. If at any time the Committee determines that the listing, registration or qualification of the Shares subject to this Option on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78" w:lineRule="exact"/>
        <w:rPr>
          <w:rFonts w:ascii="Arial" w:cs="Arial" w:eastAsia="Arial" w:hAnsi="Arial"/>
          <w:sz w:val="17"/>
          <w:szCs w:val="17"/>
          <w:color w:val="auto"/>
        </w:rPr>
      </w:pPr>
    </w:p>
    <w:p>
      <w:pPr>
        <w:jc w:val="both"/>
        <w:ind w:right="40" w:firstLine="8"/>
        <w:spacing w:after="0" w:line="297" w:lineRule="auto"/>
        <w:tabs>
          <w:tab w:leader="none" w:pos="644"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Toro has the right to deduct from any settlement made upon exercise of this Option or the sale of Shares acquired upon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Option, any federal, state or local taxes of any kind required by law to be withheld with respect to income recognized or to require you to pay the amount of any such taxes or to take such other action as may be necessary in the opinion of Toro to satisfy all obligations for payment of such taxes. If you elect to pay any tax withholding obligations in the form of withheld Shares or the surrender of Shares, such Shares will be valued at their Fair Market Value on the date the withholding is to be determined, but in no event shall such withholding exceed the minimum statutory withholding requirement. Toro also may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deduct from any such settlement any amounts you may owe Toro.</w:t>
      </w:r>
    </w:p>
    <w:p>
      <w:pPr>
        <w:spacing w:after="0" w:line="225"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No Right to Continue Employment or Service</w:t>
      </w:r>
      <w:r>
        <w:rPr>
          <w:rFonts w:ascii="Arial" w:cs="Arial" w:eastAsia="Arial" w:hAnsi="Arial"/>
          <w:sz w:val="17"/>
          <w:szCs w:val="17"/>
          <w:color w:val="auto"/>
        </w:rPr>
        <w:t>. Neither the Plan, this Option, nor any related material shall give you the right to continue in</w:t>
      </w:r>
    </w:p>
    <w:p>
      <w:pPr>
        <w:spacing w:after="0" w:line="34" w:lineRule="exact"/>
        <w:rPr>
          <w:rFonts w:ascii="Arial" w:cs="Arial" w:eastAsia="Arial" w:hAnsi="Arial"/>
          <w:sz w:val="17"/>
          <w:szCs w:val="17"/>
          <w:color w:val="auto"/>
        </w:rPr>
      </w:pPr>
    </w:p>
    <w:p>
      <w:pPr>
        <w:ind w:right="120"/>
        <w:spacing w:after="0" w:line="261" w:lineRule="auto"/>
        <w:rPr>
          <w:rFonts w:ascii="Arial" w:cs="Arial" w:eastAsia="Arial" w:hAnsi="Arial"/>
          <w:sz w:val="17"/>
          <w:szCs w:val="17"/>
          <w:color w:val="auto"/>
        </w:rPr>
      </w:pPr>
      <w:r>
        <w:rPr>
          <w:rFonts w:ascii="Arial" w:cs="Arial" w:eastAsia="Arial" w:hAnsi="Arial"/>
          <w:sz w:val="18"/>
          <w:szCs w:val="18"/>
          <w:color w:val="auto"/>
        </w:rPr>
        <w:t>employment by or perform services to the Employer or shall adversely affect the right of the Employer to terminate your employment or service relationship with or without cause at any time.</w:t>
      </w:r>
    </w:p>
    <w:p>
      <w:pPr>
        <w:spacing w:after="0" w:line="183" w:lineRule="exact"/>
        <w:rPr>
          <w:rFonts w:ascii="Arial" w:cs="Arial" w:eastAsia="Arial" w:hAnsi="Arial"/>
          <w:sz w:val="17"/>
          <w:szCs w:val="17"/>
          <w:color w:val="auto"/>
        </w:rPr>
      </w:pPr>
    </w:p>
    <w:p>
      <w:pPr>
        <w:jc w:val="both"/>
        <w:ind w:right="140" w:firstLine="8"/>
        <w:spacing w:after="0" w:line="259"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Nonqualified Stock Option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600" w:firstLine="8"/>
        <w:spacing w:after="0" w:line="342" w:lineRule="auto"/>
        <w:tabs>
          <w:tab w:leader="none" w:pos="6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Venue. </w:t>
      </w:r>
      <w:r>
        <w:rPr>
          <w:rFonts w:ascii="Arial" w:cs="Arial" w:eastAsia="Arial" w:hAnsi="Arial"/>
          <w:sz w:val="16"/>
          <w:szCs w:val="16"/>
          <w:color w:val="auto"/>
        </w:rPr>
        <w:t>In accepting this Option,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Option and this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40" w:firstLine="8"/>
        <w:spacing w:after="0" w:line="264"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00" w:firstLine="8"/>
        <w:spacing w:after="0" w:line="342" w:lineRule="auto"/>
        <w:tabs>
          <w:tab w:leader="none" w:pos="644"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Nonqualified Stock Option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Nonqualified Stock Option Acceptance Agreement.</w:t>
      </w:r>
    </w:p>
    <w:p>
      <w:pPr>
        <w:spacing w:after="0" w:line="123" w:lineRule="exact"/>
        <w:rPr>
          <w:rFonts w:ascii="Arial" w:cs="Arial" w:eastAsia="Arial" w:hAnsi="Arial"/>
          <w:sz w:val="16"/>
          <w:szCs w:val="16"/>
          <w:color w:val="auto"/>
        </w:rPr>
      </w:pPr>
    </w:p>
    <w:p>
      <w:pPr>
        <w:ind w:right="40" w:firstLine="8"/>
        <w:spacing w:after="0" w:line="264"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Nonqualified Stock Option Acceptance Agreement are not negotiable, but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refuse to accept this Option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Nonqualified Stock Option Acceptance Agreement.</w:t>
      </w:r>
    </w:p>
    <w:p>
      <w:pPr>
        <w:sectPr>
          <w:pgSz w:w="11900" w:h="16838" w:orient="portrait"/>
          <w:cols w:equalWidth="0" w:num="1">
            <w:col w:w="11400"/>
          </w:cols>
          <w:pgMar w:left="240" w:top="125" w:right="259" w:bottom="0" w:gutter="0" w:footer="0" w:header="0"/>
        </w:sectPr>
      </w:pPr>
    </w:p>
    <w:bookmarkStart w:id="84" w:name="page85"/>
    <w:bookmarkEnd w:id="84"/>
    <w:p>
      <w:pPr>
        <w:spacing w:after="0"/>
        <w:tabs>
          <w:tab w:leader="none" w:pos="58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 ]</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NONQUALIFIED STOCK OPTION ACCEPTANCE AGREEMENT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100" w:firstLine="656"/>
        <w:spacing w:after="0" w:line="342" w:lineRule="auto"/>
        <w:tabs>
          <w:tab w:leader="none" w:pos="12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Nonqualified Stock Option Agreement or this Nonqualified Stock Option Acceptance Agreement;</w:t>
      </w:r>
    </w:p>
    <w:p>
      <w:pPr>
        <w:spacing w:after="0" w:line="123" w:lineRule="exact"/>
        <w:rPr>
          <w:rFonts w:ascii="Arial" w:cs="Arial" w:eastAsia="Arial" w:hAnsi="Arial"/>
          <w:sz w:val="16"/>
          <w:szCs w:val="16"/>
          <w:color w:val="auto"/>
        </w:rPr>
      </w:pPr>
    </w:p>
    <w:p>
      <w:pPr>
        <w:ind w:right="340" w:firstLine="656"/>
        <w:spacing w:after="0" w:line="277" w:lineRule="auto"/>
        <w:tabs>
          <w:tab w:leader="none" w:pos="13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jc w:val="both"/>
        <w:ind w:right="220" w:firstLine="656"/>
        <w:spacing w:after="0" w:line="286" w:lineRule="auto"/>
        <w:tabs>
          <w:tab w:leader="none" w:pos="130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event I am not an employee of Toro, this Option will not be interpreted to form an employment contract or relationship with Toro;</w:t>
      </w:r>
    </w:p>
    <w:p>
      <w:pPr>
        <w:spacing w:after="0" w:line="236" w:lineRule="exact"/>
        <w:rPr>
          <w:rFonts w:ascii="Arial" w:cs="Arial" w:eastAsia="Arial" w:hAnsi="Arial"/>
          <w:sz w:val="17"/>
          <w:szCs w:val="17"/>
          <w:color w:val="auto"/>
        </w:rPr>
      </w:pPr>
    </w:p>
    <w:p>
      <w:pPr>
        <w:ind w:right="260" w:firstLine="656"/>
        <w:spacing w:after="0" w:line="264" w:lineRule="auto"/>
        <w:tabs>
          <w:tab w:leader="none" w:pos="1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3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jurisdiction to have arisen, then, by acceptance of the Option grant, I shall be deemed irrevocably to have waived my entitlement to pursue such claim;</w:t>
      </w:r>
    </w:p>
    <w:p>
      <w:pPr>
        <w:spacing w:after="0" w:line="237" w:lineRule="exact"/>
        <w:rPr>
          <w:sz w:val="20"/>
          <w:szCs w:val="20"/>
          <w:color w:val="auto"/>
        </w:rPr>
      </w:pPr>
    </w:p>
    <w:p>
      <w:pPr>
        <w:ind w:right="80" w:firstLine="656"/>
        <w:spacing w:after="0" w:line="290" w:lineRule="auto"/>
        <w:tabs>
          <w:tab w:leader="none" w:pos="13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as otherwise provided herein, the Plan or the Nonqualified Stock Option Agreement, in the event of termination of my employment or other service (whether or not in breach of local labor laws), my right to exercise the Option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exercise the Option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Option;</w:t>
      </w:r>
    </w:p>
    <w:p>
      <w:pPr>
        <w:spacing w:after="0" w:line="166" w:lineRule="exact"/>
        <w:rPr>
          <w:rFonts w:ascii="Arial" w:cs="Arial" w:eastAsia="Arial" w:hAnsi="Arial"/>
          <w:sz w:val="16"/>
          <w:szCs w:val="16"/>
          <w:color w:val="auto"/>
        </w:rPr>
      </w:pPr>
    </w:p>
    <w:p>
      <w:pPr>
        <w:ind w:right="280" w:firstLine="697"/>
        <w:spacing w:after="0" w:line="277" w:lineRule="auto"/>
        <w:tabs>
          <w:tab w:leader="none" w:pos="13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purchase or sale of the Shares underlying the Option;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3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Option on the terms stated in the Nonqualified Stock Option Agreement and this Nonqualified Stock Option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67"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«Name» (“you”) sets forth the terms and conditions of a grant to you of a performance share award (this “Performance Share Award”) under The Toro Company 2010 Equity and Incentive Plan, as amended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(Toro or any Affiliate or Subsidiary) that employs you.</w:t>
      </w:r>
    </w:p>
    <w:p>
      <w:pPr>
        <w:spacing w:after="0" w:line="178" w:lineRule="exact"/>
        <w:rPr>
          <w:sz w:val="20"/>
          <w:szCs w:val="20"/>
          <w:color w:val="auto"/>
        </w:rPr>
      </w:pPr>
    </w:p>
    <w:p>
      <w:pPr>
        <w:ind w:right="20" w:firstLine="8"/>
        <w:spacing w:after="0" w:line="255"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Performance Share Award</w:t>
      </w:r>
      <w:r>
        <w:rPr>
          <w:rFonts w:ascii="Arial" w:cs="Arial" w:eastAsia="Arial" w:hAnsi="Arial"/>
          <w:sz w:val="18"/>
          <w:szCs w:val="18"/>
          <w:color w:val="auto"/>
        </w:rPr>
        <w:t>. Subject to the terms and conditions of this Agreement and the Plan and your consent to those terms and conditions, Toro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hereby grants you this Performance Share Award representing the right to receive up to a maximum (your “Maximum Potential Payout”) of 200% of your “Target Potential Payout” based on the achievement of the Performance Goals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during the Performance Period (as defined below). For purposes of this Performance Share Award, your “Target Potential Payout” is equal to «Target_» shares (“Shares”) of common stock, par value $1.00 per share, of The Toro Company (“Common Stock”). The number and type of Shares issuable under this Performance Share Award are subject to adjustment pursuant to Section 4.4 of the Plan.</w:t>
      </w:r>
    </w:p>
    <w:p>
      <w:pPr>
        <w:spacing w:after="0" w:line="193" w:lineRule="exact"/>
        <w:rPr>
          <w:rFonts w:ascii="Arial" w:cs="Arial" w:eastAsia="Arial" w:hAnsi="Arial"/>
          <w:sz w:val="18"/>
          <w:szCs w:val="18"/>
          <w:color w:val="auto"/>
        </w:rPr>
      </w:pPr>
    </w:p>
    <w:p>
      <w:pPr>
        <w:ind w:right="240" w:firstLine="8"/>
        <w:spacing w:after="0" w:line="291" w:lineRule="auto"/>
        <w:tabs>
          <w:tab w:leader="none" w:pos="64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degree of payout or the number of Shares that may be issued under this Performance Share Award pursuant to Section 4 of this Agreement is</w:t>
      </w:r>
    </w:p>
    <w:p>
      <w:pPr>
        <w:ind w:right="200"/>
        <w:spacing w:after="0" w:line="271" w:lineRule="auto"/>
        <w:rPr>
          <w:sz w:val="20"/>
          <w:szCs w:val="20"/>
          <w:color w:val="auto"/>
        </w:rPr>
      </w:pPr>
      <w:r>
        <w:rPr>
          <w:rFonts w:ascii="Arial" w:cs="Arial" w:eastAsia="Arial" w:hAnsi="Arial"/>
          <w:sz w:val="17"/>
          <w:szCs w:val="17"/>
          <w:color w:val="auto"/>
        </w:rPr>
        <w:t xml:space="preserve">the three (3) fiscal years ending October 31, [ ] to [ ] (the “Performance Period”). Except as otherwise provided in Section 8 of this Agreement, Toro intends to issue Shares to you only at the end of the Performance Period and only upon the achievement of the Performance Goals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w:t>
      </w:r>
    </w:p>
    <w:p>
      <w:pPr>
        <w:spacing w:after="0" w:line="17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120" w:firstLine="648"/>
        <w:spacing w:after="0" w:line="297" w:lineRule="auto"/>
        <w:rPr>
          <w:rFonts w:ascii="Arial" w:cs="Arial" w:eastAsia="Arial" w:hAnsi="Arial"/>
          <w:sz w:val="18"/>
          <w:szCs w:val="18"/>
          <w:color w:val="auto"/>
        </w:rPr>
      </w:pPr>
      <w:r>
        <w:rPr>
          <w:rFonts w:ascii="Arial" w:cs="Arial" w:eastAsia="Arial" w:hAnsi="Arial"/>
          <w:sz w:val="16"/>
          <w:szCs w:val="16"/>
          <w:color w:val="auto"/>
        </w:rPr>
        <w:t xml:space="preserve">a. Except as otherwise provided in this Section 3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Payouts will be interpolated between Threshold and Target if the Performance Goals for the Performance Measure attained for the Performance Period falls between the Threshold and Target percentages specified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will be rounded down to the nearest whole number of Shares. Payouts will be interpolated between Target and Maximum if the Performance Goals for the Performance Measure attained for the Performance Period falls between the Target and Maximum percentages specified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will be rounded down to the nearest whole number of Shares.</w:t>
      </w:r>
    </w:p>
    <w:p>
      <w:pPr>
        <w:spacing w:after="0" w:line="188" w:lineRule="exact"/>
        <w:rPr>
          <w:sz w:val="20"/>
          <w:szCs w:val="20"/>
          <w:color w:val="auto"/>
        </w:rPr>
      </w:pPr>
    </w:p>
    <w:p>
      <w:pPr>
        <w:ind w:right="180" w:firstLine="656"/>
        <w:spacing w:after="0" w:line="279" w:lineRule="auto"/>
        <w:tabs>
          <w:tab w:leader="none" w:pos="1296"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Committee determines that Section 3(c) of this Agreement does not apply.</w:t>
      </w:r>
    </w:p>
    <w:p>
      <w:pPr>
        <w:spacing w:after="0" w:line="171" w:lineRule="exact"/>
        <w:rPr>
          <w:rFonts w:ascii="Arial" w:cs="Arial" w:eastAsia="Arial" w:hAnsi="Arial"/>
          <w:sz w:val="17"/>
          <w:szCs w:val="17"/>
          <w:color w:val="auto"/>
        </w:rPr>
      </w:pPr>
    </w:p>
    <w:p>
      <w:pPr>
        <w:ind w:right="140" w:firstLine="656"/>
        <w:spacing w:after="0" w:line="342"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 determining whether and to what extent each Performance Goal has been achieved, the Committee shall </w:t>
      </w:r>
      <w:r>
        <w:rPr>
          <w:rFonts w:ascii="Arial" w:cs="Arial" w:eastAsia="Arial" w:hAnsi="Arial"/>
          <w:sz w:val="16"/>
          <w:szCs w:val="16"/>
          <w:u w:val="single" w:color="auto"/>
          <w:color w:val="auto"/>
        </w:rPr>
        <w:t>exclude</w:t>
      </w:r>
      <w:r>
        <w:rPr>
          <w:rFonts w:ascii="Arial" w:cs="Arial" w:eastAsia="Arial" w:hAnsi="Arial"/>
          <w:sz w:val="16"/>
          <w:szCs w:val="16"/>
          <w:color w:val="auto"/>
        </w:rPr>
        <w:t xml:space="preserve"> from the calculation of the Performance Goal, applying generally accepted accounting principles, each of the following events that occurs during the Performance Period:</w:t>
      </w:r>
    </w:p>
    <w:p>
      <w:pPr>
        <w:spacing w:after="0" w:line="123" w:lineRule="exact"/>
        <w:rPr>
          <w:rFonts w:ascii="Arial" w:cs="Arial" w:eastAsia="Arial" w:hAnsi="Arial"/>
          <w:sz w:val="16"/>
          <w:szCs w:val="16"/>
          <w:color w:val="auto"/>
        </w:rPr>
      </w:pPr>
    </w:p>
    <w:p>
      <w:pPr>
        <w:ind w:left="1300" w:right="140" w:hanging="320"/>
        <w:spacing w:after="0" w:line="264" w:lineRule="auto"/>
        <w:tabs>
          <w:tab w:leader="none" w:pos="131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acquisition with projected annual revenues for the first twelve months post closing of $50 million or more that impacts any Performance Goal for the entire Performance Period, no matter when it is closed during the Performance Period, unless such acquisition is built into the annual plan upon which the Performance Goal was established; and</w:t>
      </w:r>
    </w:p>
    <w:p>
      <w:pPr>
        <w:spacing w:after="0" w:line="181" w:lineRule="exact"/>
        <w:rPr>
          <w:rFonts w:ascii="Arial" w:cs="Arial" w:eastAsia="Arial" w:hAnsi="Arial"/>
          <w:sz w:val="18"/>
          <w:szCs w:val="18"/>
          <w:color w:val="auto"/>
        </w:rPr>
      </w:pPr>
    </w:p>
    <w:p>
      <w:pPr>
        <w:ind w:left="1300" w:right="240" w:hanging="320"/>
        <w:spacing w:after="0" w:line="277" w:lineRule="auto"/>
        <w:tabs>
          <w:tab w:leader="none" w:pos="13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acquisition with projected annual revenues for the first twelve months post closing of $10 million or more, unless such acquisition is built into the annual plan upon which the Performance Goals were established, to the extent that it impacts:</w:t>
      </w:r>
    </w:p>
    <w:p>
      <w:pPr>
        <w:spacing w:after="0" w:line="170" w:lineRule="exact"/>
        <w:rPr>
          <w:rFonts w:ascii="Arial" w:cs="Arial" w:eastAsia="Arial" w:hAnsi="Arial"/>
          <w:sz w:val="18"/>
          <w:szCs w:val="18"/>
          <w:color w:val="auto"/>
        </w:rPr>
      </w:pPr>
    </w:p>
    <w:p>
      <w:pPr>
        <w:ind w:left="1960" w:right="120" w:hanging="331"/>
        <w:spacing w:after="0" w:line="258" w:lineRule="auto"/>
        <w:tabs>
          <w:tab w:leader="none" w:pos="195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Performance Goals of cumulative corporate revenue and cumulative net income, if the acquisition was closed during the final fiscal year of the Performance Period; and/or</w:t>
      </w:r>
    </w:p>
    <w:p>
      <w:pPr>
        <w:spacing w:after="0" w:line="1" w:lineRule="exact"/>
        <w:rPr>
          <w:rFonts w:ascii="Arial" w:cs="Arial" w:eastAsia="Arial" w:hAnsi="Arial"/>
          <w:sz w:val="18"/>
          <w:szCs w:val="18"/>
          <w:color w:val="auto"/>
        </w:rPr>
      </w:pPr>
    </w:p>
    <w:p>
      <w:pPr>
        <w:ind w:left="1960" w:right="560" w:hanging="331"/>
        <w:spacing w:after="0" w:line="261" w:lineRule="auto"/>
        <w:tabs>
          <w:tab w:leader="none" w:pos="19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Performance Goal of cumulative corporate net average assets turns, no matter when it is closed during the Performance Period; and</w:t>
      </w:r>
    </w:p>
    <w:p>
      <w:pPr>
        <w:spacing w:after="0" w:line="183" w:lineRule="exact"/>
        <w:rPr>
          <w:rFonts w:ascii="Arial" w:cs="Arial" w:eastAsia="Arial" w:hAnsi="Arial"/>
          <w:sz w:val="18"/>
          <w:szCs w:val="18"/>
          <w:color w:val="auto"/>
        </w:rPr>
      </w:pPr>
    </w:p>
    <w:p>
      <w:pPr>
        <w:jc w:val="both"/>
        <w:ind w:left="1300" w:right="240" w:hanging="320"/>
        <w:spacing w:after="0" w:line="302" w:lineRule="auto"/>
        <w:tabs>
          <w:tab w:leader="none" w:pos="1333"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acquisition with projected annual revenues for the first twelve months post closing of $10 million or more, unless such acquisition is built into the annual plan upon which the Performance Goals were established, to the extent that the transaction costs associated with the acquisition (including, but not limited to, legal costs, due diligence expenses, broker/banker fees, expenses associated with governmental and/or regulatory filings, etc.) impact any Performance Goal, no matter when it is closed during the Performance Period; and</w:t>
      </w:r>
    </w:p>
    <w:p>
      <w:pPr>
        <w:sectPr>
          <w:pgSz w:w="11900" w:h="16838" w:orient="portrait"/>
          <w:cols w:equalWidth="0" w:num="1">
            <w:col w:w="11420"/>
          </w:cols>
          <w:pgMar w:left="240" w:top="364" w:right="239" w:bottom="30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86" w:name="page87"/>
    <w:bookmarkEnd w:id="86"/>
    <w:p>
      <w:pPr>
        <w:jc w:val="both"/>
        <w:ind w:left="1292" w:right="60" w:hanging="320"/>
        <w:spacing w:after="0" w:line="264" w:lineRule="auto"/>
        <w:tabs>
          <w:tab w:leader="none" w:pos="129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externally driven change (</w:t>
      </w:r>
      <w:r>
        <w:rPr>
          <w:rFonts w:ascii="Arial" w:cs="Arial" w:eastAsia="Arial" w:hAnsi="Arial"/>
          <w:sz w:val="18"/>
          <w:szCs w:val="18"/>
          <w:i w:val="1"/>
          <w:iCs w:val="1"/>
          <w:color w:val="auto"/>
        </w:rPr>
        <w:t>e.g,</w:t>
      </w:r>
      <w:r>
        <w:rPr>
          <w:rFonts w:ascii="Arial" w:cs="Arial" w:eastAsia="Arial" w:hAnsi="Arial"/>
          <w:sz w:val="18"/>
          <w:szCs w:val="18"/>
          <w:color w:val="auto"/>
        </w:rPr>
        <w:t xml:space="preserve"> FASB, IFRS, SEC, etc.) in any accounting or measurement principle that impacts any Performance Goal,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cumulative impact of all such changes on the Performance Goals results in a net change to the payout that would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greater than 2% in the aggregate over the entire Performance Period.</w:t>
      </w:r>
    </w:p>
    <w:p>
      <w:pPr>
        <w:spacing w:after="0" w:line="181" w:lineRule="exact"/>
        <w:rPr>
          <w:rFonts w:ascii="Arial" w:cs="Arial" w:eastAsia="Arial" w:hAnsi="Arial"/>
          <w:sz w:val="18"/>
          <w:szCs w:val="18"/>
          <w:color w:val="auto"/>
        </w:rPr>
      </w:pPr>
    </w:p>
    <w:p>
      <w:pPr>
        <w:jc w:val="both"/>
        <w:ind w:left="-8" w:right="200" w:firstLine="656"/>
        <w:spacing w:after="0" w:line="264"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actual number of Shares that becomes vested and issuable based on achieving the Performance Goals during the Performance Period may be adjusted downward by the Committee in its sole and absolute discretion based on such extraordinary factors (e.g. a significant one-time gain) as the Committee determines to be appropriate and/or advisable.</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Settlement; Issuance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80" w:firstLine="656"/>
        <w:spacing w:after="0" w:line="293" w:lineRule="auto"/>
        <w:tabs>
          <w:tab w:leader="none" w:pos="127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which achievement must be certified in writing by the Committee following the expiration of the Performance Period, you will receive such number of Shares up to your Maximum Potential Payout under this Performance Share Award as determined pursuant to Section 3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subject to applicable withholding. If none of the Performance Goals are achieved at the “Threshold” level of performance or above, then this Performance Share Award will be forfeited and canceled and you will receive no Shares in settlement thereof. You may not receive a greater number of Shares than your Maximum Potential Payout.</w:t>
      </w:r>
    </w:p>
    <w:p>
      <w:pPr>
        <w:spacing w:after="0" w:line="164" w:lineRule="exact"/>
        <w:rPr>
          <w:rFonts w:ascii="Arial" w:cs="Arial" w:eastAsia="Arial" w:hAnsi="Arial"/>
          <w:sz w:val="16"/>
          <w:szCs w:val="16"/>
          <w:color w:val="auto"/>
        </w:rPr>
      </w:pPr>
    </w:p>
    <w:p>
      <w:pPr>
        <w:ind w:left="-8" w:right="400" w:firstLine="656"/>
        <w:spacing w:after="0" w:line="277"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the event this Performance Share Award is forfeited or cancelled for any reason pursuant to Section 3, 5, 6 or 7 of this Agreement or otherwise, no Shares will be issued or payment made in settlement of this Performance Share Award.</w:t>
      </w:r>
    </w:p>
    <w:p>
      <w:pPr>
        <w:spacing w:after="0" w:line="170" w:lineRule="exact"/>
        <w:rPr>
          <w:rFonts w:ascii="Arial" w:cs="Arial" w:eastAsia="Arial" w:hAnsi="Arial"/>
          <w:sz w:val="18"/>
          <w:szCs w:val="18"/>
          <w:color w:val="auto"/>
        </w:rPr>
      </w:pPr>
    </w:p>
    <w:p>
      <w:pPr>
        <w:ind w:left="-8" w:right="20" w:firstLine="656"/>
        <w:spacing w:after="0" w:line="259"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Shares issued to you upon settlement of this Performance Share Award will be issued and delivered to you in book-entry or certificate form or issued and deposited for your benefit with any broker with which you have an account relationship or Toro has engaged to provide such services under the Plan. Except as provided in paragraph (d) below, in no event will Toro deliver Shares to you later than March 15 of the calendar year following the calendar year in which the Performance Period ends.</w:t>
      </w:r>
    </w:p>
    <w:p>
      <w:pPr>
        <w:spacing w:after="0" w:line="186" w:lineRule="exact"/>
        <w:rPr>
          <w:rFonts w:ascii="Arial" w:cs="Arial" w:eastAsia="Arial" w:hAnsi="Arial"/>
          <w:sz w:val="18"/>
          <w:szCs w:val="18"/>
          <w:color w:val="auto"/>
        </w:rPr>
      </w:pPr>
    </w:p>
    <w:p>
      <w:pPr>
        <w:ind w:left="-8" w:right="80" w:firstLine="656"/>
        <w:spacing w:after="0" w:line="286" w:lineRule="auto"/>
        <w:tabs>
          <w:tab w:leader="none" w:pos="1288"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65" w:lineRule="exact"/>
        <w:rPr>
          <w:rFonts w:ascii="Arial" w:cs="Arial" w:eastAsia="Arial" w:hAnsi="Arial"/>
          <w:sz w:val="17"/>
          <w:szCs w:val="17"/>
          <w:color w:val="auto"/>
        </w:rPr>
      </w:pPr>
    </w:p>
    <w:p>
      <w:pPr>
        <w:ind w:left="-8" w:right="60" w:firstLine="656"/>
        <w:spacing w:after="0" w:line="277"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72" w:hanging="672"/>
        <w:spacing w:after="0"/>
        <w:tabs>
          <w:tab w:leader="none" w:pos="672"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92" w:right="60" w:firstLine="56"/>
        <w:spacing w:after="0" w:line="291" w:lineRule="auto"/>
        <w:tabs>
          <w:tab w:leader="none" w:pos="1295"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In the event your employment or other service with the Employer is terminated by reason of death, Disability or Retirement prior to the end of the Performance Period, this Performance Share Award will be terminated and forfeited;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 the event your employment or other service with the Employer is terminated by reason of death, Disability or Retirement prior to the end of the Performance Period, but after the conclusion of not less than the greater of: (i) one year or (ii) 33 1/3% of the Performance Period, the Committee may, in its sole discretion, cause Shares to be delivered or payment made with respect to this Performance Share Award pursuant to Section 4 of this Agreement, but only if otherwise earned for the entire Performance Period and only with respect to the portion of the applicable Performance Period completed at the date of such event, with proration based on the number of months or years you were employed during the Performance Period.</w:t>
      </w:r>
    </w:p>
    <w:p>
      <w:pPr>
        <w:spacing w:after="0" w:line="167" w:lineRule="exact"/>
        <w:rPr>
          <w:rFonts w:ascii="Arial" w:cs="Arial" w:eastAsia="Arial" w:hAnsi="Arial"/>
          <w:sz w:val="16"/>
          <w:szCs w:val="16"/>
          <w:color w:val="auto"/>
        </w:rPr>
      </w:pPr>
    </w:p>
    <w:p>
      <w:pPr>
        <w:ind w:left="592" w:right="300" w:firstLine="56"/>
        <w:spacing w:after="0" w:line="277" w:lineRule="auto"/>
        <w:tabs>
          <w:tab w:leader="none" w:pos="13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event your employment or other service with the Employer is terminated for any reason other than death, Disability or Retirement prior to the end of the Performance Period, this Performance Share Award will be terminated and forfeited.</w:t>
      </w:r>
    </w:p>
    <w:p>
      <w:pPr>
        <w:spacing w:after="0" w:line="170" w:lineRule="exact"/>
        <w:rPr>
          <w:rFonts w:ascii="Arial" w:cs="Arial" w:eastAsia="Arial" w:hAnsi="Arial"/>
          <w:sz w:val="18"/>
          <w:szCs w:val="18"/>
          <w:color w:val="auto"/>
        </w:rPr>
      </w:pPr>
    </w:p>
    <w:p>
      <w:pPr>
        <w:ind w:left="592" w:right="120" w:firstLine="56"/>
        <w:spacing w:after="0" w:line="259" w:lineRule="auto"/>
        <w:tabs>
          <w:tab w:leader="none" w:pos="1308"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left="-8" w:firstLine="8"/>
        <w:spacing w:after="0" w:line="271"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 discretion,</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taken any action that would constitute an Adverse Action, (a) all of your rights under the Plan and any agreements evidencing an Award granted under the Plan, including this Agreement evidencing this Performance Share Award,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year prior to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78" w:lineRule="exact"/>
        <w:rPr>
          <w:rFonts w:ascii="Arial" w:cs="Arial" w:eastAsia="Arial" w:hAnsi="Arial"/>
          <w:sz w:val="17"/>
          <w:szCs w:val="17"/>
          <w:color w:val="auto"/>
        </w:rPr>
      </w:pPr>
    </w:p>
    <w:p>
      <w:pPr>
        <w:ind w:left="-8" w:right="60" w:firstLine="8"/>
        <w:spacing w:after="0" w:line="264"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under this Performance Share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8" w:right="140" w:firstLine="8"/>
        <w:spacing w:after="0" w:line="308"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Notwithstanding any provision of this Agreement to the contrary and subject to the terms of any separate Change of Control 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agreement to which you are bound, this Performance Share Award shall become immediately vested upon the occurrence of a</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532" w:gutter="0" w:footer="0" w:header="0"/>
        </w:sectPr>
      </w:pPr>
    </w:p>
    <w:bookmarkStart w:id="87" w:name="page88"/>
    <w:bookmarkEnd w:id="87"/>
    <w:p>
      <w:pPr>
        <w:ind w:right="100"/>
        <w:spacing w:after="0" w:line="297" w:lineRule="auto"/>
        <w:rPr>
          <w:sz w:val="20"/>
          <w:szCs w:val="20"/>
          <w:color w:val="auto"/>
        </w:rPr>
      </w:pPr>
      <w:r>
        <w:rPr>
          <w:rFonts w:ascii="Arial" w:cs="Arial" w:eastAsia="Arial" w:hAnsi="Arial"/>
          <w:sz w:val="16"/>
          <w:szCs w:val="16"/>
          <w:color w:val="auto"/>
        </w:rPr>
        <w:t>Change of Control prior to the end of the Performance Period and unless deferred as provided under Section 4(d) of this Agreement, shall be settled by payment of your Maximum Potential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Potential Payout or such other form having a value equivalent to your Maximum Potential Payout, as may be authorized by the Committee in its sole discretion.</w:t>
      </w:r>
    </w:p>
    <w:p>
      <w:pPr>
        <w:spacing w:after="0" w:line="158" w:lineRule="exact"/>
        <w:rPr>
          <w:sz w:val="20"/>
          <w:szCs w:val="20"/>
          <w:color w:val="auto"/>
        </w:rPr>
      </w:pPr>
    </w:p>
    <w:p>
      <w:pPr>
        <w:ind w:right="60" w:firstLine="8"/>
        <w:spacing w:after="0" w:line="264"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this Performance Share Award unless and until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settlement of this Performance Share Award pursuant to Section 4 of this Agreement. Except as expressly provided in the Plan, no adjustments will be made for dividends or other rights for which the record date is prior to issuance of Shares.</w:t>
      </w:r>
    </w:p>
    <w:p>
      <w:pPr>
        <w:spacing w:after="0" w:line="181"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Performance Share Award or any rights granted under this Performance Share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40" w:firstLine="8"/>
        <w:spacing w:after="0" w:line="255" w:lineRule="auto"/>
        <w:tabs>
          <w:tab w:leader="none" w:pos="637"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In the event you do not make prior arrangements with Toro to pay any tax withholding obligations that may arise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Performance Share Award, Toro will deduct or withhold from the Shares issued under this Agreement any federal, state, local or other taxes of any kind that Toro reasonably determines are required by law to be withheld with respect to income recognized or will take such other action as may be necessary in the opinion of Toro to satisfy all obligations for the payment of such taxes. If the payment of tax withholding obligations is satisfied in the form of withheld or surrendered Shares, such Shares will be valued at their Fair Market Value on the date the withholding is to be determined, but in no event shall such withholding exceed the minimum statutory withholding requirement.</w:t>
      </w:r>
    </w:p>
    <w:p>
      <w:pPr>
        <w:spacing w:after="0" w:line="193" w:lineRule="exact"/>
        <w:rPr>
          <w:rFonts w:ascii="Arial" w:cs="Arial" w:eastAsia="Arial" w:hAnsi="Arial"/>
          <w:sz w:val="18"/>
          <w:szCs w:val="18"/>
          <w:color w:val="auto"/>
        </w:rPr>
      </w:pPr>
    </w:p>
    <w:p>
      <w:pPr>
        <w:ind w:firstLine="8"/>
        <w:spacing w:after="0" w:line="264"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Performance Share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Performance Share Award is to be construed and administered in a manner consistent with such intent.</w:t>
      </w:r>
    </w:p>
    <w:p>
      <w:pPr>
        <w:spacing w:after="0" w:line="181" w:lineRule="exact"/>
        <w:rPr>
          <w:rFonts w:ascii="Arial" w:cs="Arial" w:eastAsia="Arial" w:hAnsi="Arial"/>
          <w:sz w:val="18"/>
          <w:szCs w:val="18"/>
          <w:color w:val="auto"/>
        </w:rPr>
      </w:pPr>
    </w:p>
    <w:p>
      <w:pPr>
        <w:ind w:right="60" w:firstLine="8"/>
        <w:spacing w:after="0" w:line="264"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Performance Share Award shall be binding on any successor to Toro,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Performance Share Award, the Performance Share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8"/>
        <w:spacing w:after="0" w:line="264"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Performance Share Award granted to you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00" w:firstLine="8"/>
        <w:spacing w:after="0" w:line="264"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Performance Share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40" w:firstLine="8"/>
        <w:spacing w:after="0" w:line="264"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Performance Share Award, you are deemed to submit to the exclusive jurisdiction and venue of the federal or state courts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Minnesota of the United States of America to resolve any and all issues that may arise out of or relate to this Performance Share Award and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360" w:firstLine="8"/>
        <w:spacing w:after="0" w:line="342" w:lineRule="auto"/>
        <w:tabs>
          <w:tab w:leader="none" w:pos="644"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Performance Share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Performance Share Award Acceptance Agreement.</w:t>
      </w:r>
    </w:p>
    <w:p>
      <w:pPr>
        <w:spacing w:after="0" w:line="123" w:lineRule="exact"/>
        <w:rPr>
          <w:rFonts w:ascii="Arial" w:cs="Arial" w:eastAsia="Arial" w:hAnsi="Arial"/>
          <w:sz w:val="16"/>
          <w:szCs w:val="16"/>
          <w:color w:val="auto"/>
        </w:rPr>
      </w:pPr>
    </w:p>
    <w:p>
      <w:pPr>
        <w:ind w:right="60" w:firstLine="8"/>
        <w:spacing w:after="0" w:line="264"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Performance Share Award and the Performance Share Award Acceptance Agreement are not negotiable,</w:t>
      </w:r>
      <w:r>
        <w:rPr>
          <w:rFonts w:ascii="Arial" w:cs="Arial" w:eastAsia="Arial" w:hAnsi="Arial"/>
          <w:sz w:val="18"/>
          <w:szCs w:val="18"/>
          <w:i w:val="1"/>
          <w:iCs w:val="1"/>
          <w:color w:val="auto"/>
        </w:rPr>
        <w:t xml:space="preserve"> </w:t>
      </w:r>
      <w:r>
        <w:rPr>
          <w:rFonts w:ascii="Arial" w:cs="Arial" w:eastAsia="Arial" w:hAnsi="Arial"/>
          <w:sz w:val="18"/>
          <w:szCs w:val="18"/>
          <w:color w:val="auto"/>
        </w:rPr>
        <w:t>but you may refuse to accept this Performance Share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Performance Share Award Acceptance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December [ ], 20[ ]</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51"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color w:val="auto"/>
        </w:rPr>
        <w:t>PERFORMANCE SHARE AWARD ACCEPTANCE AGREEMENT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 ], 20[ ]</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Performance Share Award, I hereby acknowledge that:</w:t>
      </w:r>
    </w:p>
    <w:p>
      <w:pPr>
        <w:spacing w:after="0" w:line="225" w:lineRule="exact"/>
        <w:rPr>
          <w:sz w:val="20"/>
          <w:szCs w:val="20"/>
          <w:color w:val="auto"/>
        </w:rPr>
      </w:pPr>
    </w:p>
    <w:p>
      <w:pPr>
        <w:ind w:right="40" w:firstLine="656"/>
        <w:spacing w:after="0" w:line="342" w:lineRule="auto"/>
        <w:tabs>
          <w:tab w:leader="none" w:pos="129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Performance Share Award Agreement or this Performance Share Award Acceptance Agreement;</w:t>
      </w:r>
    </w:p>
    <w:p>
      <w:pPr>
        <w:spacing w:after="0" w:line="123" w:lineRule="exact"/>
        <w:rPr>
          <w:rFonts w:ascii="Arial" w:cs="Arial" w:eastAsia="Arial" w:hAnsi="Arial"/>
          <w:sz w:val="16"/>
          <w:szCs w:val="16"/>
          <w:color w:val="auto"/>
        </w:rPr>
      </w:pPr>
    </w:p>
    <w:p>
      <w:pPr>
        <w:ind w:right="140" w:firstLine="656"/>
        <w:spacing w:after="0" w:line="342" w:lineRule="auto"/>
        <w:tabs>
          <w:tab w:leader="none" w:pos="13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decisions with respect to future Performance Share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jc w:val="both"/>
        <w:ind w:right="300" w:firstLine="656"/>
        <w:spacing w:after="0" w:line="312" w:lineRule="auto"/>
        <w:tabs>
          <w:tab w:leader="none" w:pos="130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right="140" w:firstLine="656"/>
        <w:spacing w:after="0" w:line="277" w:lineRule="auto"/>
        <w:tabs>
          <w:tab w:leader="none" w:pos="13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Performance Share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jc w:val="both"/>
        <w:ind w:right="320" w:firstLine="656"/>
        <w:spacing w:after="0" w:line="264" w:lineRule="auto"/>
        <w:tabs>
          <w:tab w:leader="none" w:pos="13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future value of the Shares that may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81" w:lineRule="exact"/>
        <w:rPr>
          <w:rFonts w:ascii="Arial" w:cs="Arial" w:eastAsia="Arial" w:hAnsi="Arial"/>
          <w:sz w:val="18"/>
          <w:szCs w:val="18"/>
          <w:color w:val="auto"/>
        </w:rPr>
      </w:pPr>
    </w:p>
    <w:p>
      <w:pPr>
        <w:ind w:right="200" w:firstLine="656"/>
        <w:spacing w:after="0" w:line="259" w:lineRule="auto"/>
        <w:tabs>
          <w:tab w:leader="none" w:pos="13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Toro or the Employer (for any reason whatsoever and whether or not in breach of applicable labor laws) and I hereby irrevocably release Toro and the Employer from any such claim that may arise; if,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notwithstanding the foregoing, any such claim is found by a court of competent jurisdiction to have arisen, then, by acceptance of the Performance Share Award, I shall be deemed irrevocably to have waived my entitlement to pursue such claim;</w:t>
      </w:r>
    </w:p>
    <w:p>
      <w:pPr>
        <w:spacing w:after="0" w:line="170" w:lineRule="exact"/>
        <w:rPr>
          <w:sz w:val="20"/>
          <w:szCs w:val="20"/>
          <w:color w:val="auto"/>
        </w:rPr>
      </w:pPr>
    </w:p>
    <w:p>
      <w:pPr>
        <w:ind w:firstLine="656"/>
        <w:spacing w:after="0" w:line="290" w:lineRule="auto"/>
        <w:tabs>
          <w:tab w:leader="none" w:pos="1318"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be issued the Shares under the Plan in settlement of the 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Performance Share Award;</w:t>
      </w:r>
    </w:p>
    <w:p>
      <w:pPr>
        <w:spacing w:after="0" w:line="166" w:lineRule="exact"/>
        <w:rPr>
          <w:rFonts w:ascii="Arial" w:cs="Arial" w:eastAsia="Arial" w:hAnsi="Arial"/>
          <w:sz w:val="16"/>
          <w:szCs w:val="16"/>
          <w:color w:val="auto"/>
        </w:rPr>
      </w:pPr>
    </w:p>
    <w:p>
      <w:pPr>
        <w:ind w:right="120" w:firstLine="656"/>
        <w:spacing w:after="0" w:line="264" w:lineRule="auto"/>
        <w:tabs>
          <w:tab w:leader="none" w:pos="13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Performance Share Award, my acquisition of any Shares upon settlement of the Performance Share Award or any sale of the Shares; and</w:t>
      </w:r>
    </w:p>
    <w:p>
      <w:pPr>
        <w:spacing w:after="0" w:line="181"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Performance Share Award on the terms stated in the Performance Share Award Agreement or this Performance Share Award Acceptance Agreement, please immediately contact Toro’s Vice President, Secretary and General Counsel or Managing Director, HR &amp; Total Rewards, as applicable, to decline the grant.</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14605</wp:posOffset>
            </wp:positionV>
            <wp:extent cx="2907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ectPr>
          <w:pgSz w:w="11900" w:h="16838" w:orient="portrait"/>
          <w:cols w:equalWidth="0" w:num="1">
            <w:col w:w="11360"/>
          </w:cols>
          <w:pgMar w:left="240" w:top="125" w:right="299" w:bottom="71" w:gutter="0" w:footer="0" w:header="0"/>
        </w:sect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71" w:gutter="0" w:footer="0" w:header="0"/>
          <w:type w:val="continuous"/>
        </w:sectPr>
      </w:pPr>
    </w:p>
    <w:bookmarkStart w:id="89" w:name="page90"/>
    <w:bookmarkEnd w:id="89"/>
    <w:p>
      <w:pPr>
        <w:jc w:val="center"/>
        <w:ind w:right="-8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PERFORMANCE SHARE AWARD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Performance Goal</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2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Performance Measure</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Performance Goal</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2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Performance Measure</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00"/>
          </w:cols>
          <w:pgMar w:left="240" w:top="584" w:right="10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PERFORMANCE AWARD AGREEMENT</w:t>
      </w:r>
    </w:p>
    <w:p>
      <w:pPr>
        <w:spacing w:after="0" w:line="2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FISCAL [</w:t>
        <w:tab/>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left="660"/>
        <w:spacing w:after="0"/>
        <w:tabs>
          <w:tab w:leader="none" w:pos="45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firstLine="8"/>
        <w:spacing w:after="0" w:line="270" w:lineRule="auto"/>
        <w:tabs>
          <w:tab w:leader="none" w:pos="82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(“you”) sets forth the terms and conditions of a grant to you of an annual performance award (this “Annual Performance Award”) under The Toro Company 2010 Equity and Incentive Plan, as amended (the “Plan”). This Annual Performance Award is subject to all of the terms and conditions set forth in the Plan, this Agreement and the Annual Performance Award Acceptance Agreement should you decide to accept this Annual Performance Award. All of the terms in this Agreement and the Annual Performance Award Acceptance Agreement that begin with a capital letter are either defined in this Agreement or in the Plan. Except as otherwise indicated, for purposes of this Agreement and the Annual Performance Award Acceptance Agreement, any reference to “Employer” shall mean the entity (Toro or any Affiliate or Subsidiary) that employs you.</w:t>
      </w:r>
    </w:p>
    <w:p>
      <w:pPr>
        <w:spacing w:after="0" w:line="179" w:lineRule="exact"/>
        <w:rPr>
          <w:sz w:val="20"/>
          <w:szCs w:val="20"/>
          <w:color w:val="auto"/>
        </w:rPr>
      </w:pPr>
    </w:p>
    <w:p>
      <w:pPr>
        <w:ind w:right="320" w:firstLine="8"/>
        <w:spacing w:after="0" w:line="288" w:lineRule="auto"/>
        <w:tabs>
          <w:tab w:leader="none" w:pos="648"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Annual Performance Award</w:t>
      </w:r>
      <w:r>
        <w:rPr>
          <w:rFonts w:ascii="Arial" w:cs="Arial" w:eastAsia="Arial" w:hAnsi="Arial"/>
          <w:sz w:val="16"/>
          <w:szCs w:val="16"/>
          <w:color w:val="auto"/>
        </w:rPr>
        <w:t>. Subject to the terms and conditions of this Agreement and the Plan and your consent to those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Toro hereby grants you this Annual Performance Award denominated and to be paid if earned entirely in cash, the amount of which will be based on the achievement of the Performance Goals set forth on Exhibit A to this Agreement during the Performance Period (as defined below). For purposes of this</w:t>
      </w:r>
    </w:p>
    <w:p>
      <w:pPr>
        <w:spacing w:after="0"/>
        <w:tabs>
          <w:tab w:leader="none" w:pos="5920" w:val="left"/>
        </w:tabs>
        <w:rPr>
          <w:sz w:val="20"/>
          <w:szCs w:val="20"/>
          <w:color w:val="auto"/>
        </w:rPr>
      </w:pPr>
      <w:r>
        <w:rPr>
          <w:rFonts w:ascii="Arial" w:cs="Arial" w:eastAsia="Arial" w:hAnsi="Arial"/>
          <w:sz w:val="18"/>
          <w:szCs w:val="18"/>
          <w:color w:val="auto"/>
        </w:rPr>
        <w:t>Annual Performance Award, your “Target Potential Payout” is equal to [</w:t>
      </w:r>
      <w:r>
        <w:rPr>
          <w:sz w:val="20"/>
          <w:szCs w:val="20"/>
          <w:color w:val="auto"/>
        </w:rPr>
        <w:tab/>
      </w:r>
      <w:r>
        <w:rPr>
          <w:rFonts w:ascii="Arial" w:cs="Arial" w:eastAsia="Arial" w:hAnsi="Arial"/>
          <w:sz w:val="16"/>
          <w:szCs w:val="16"/>
          <w:color w:val="auto"/>
        </w:rPr>
        <w:t>] of your actual base salary earnings for the fiscal year ending October 31,</w:t>
      </w:r>
    </w:p>
    <w:p>
      <w:pPr>
        <w:spacing w:after="0" w:line="9" w:lineRule="exact"/>
        <w:rPr>
          <w:sz w:val="20"/>
          <w:szCs w:val="20"/>
          <w:color w:val="auto"/>
        </w:rPr>
      </w:pPr>
    </w:p>
    <w:p>
      <w:pPr>
        <w:ind w:right="140" w:firstLine="8"/>
        <w:spacing w:after="0" w:line="261" w:lineRule="auto"/>
        <w:tabs>
          <w:tab w:leader="none" w:pos="2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and your “Maximum Potential Payout” is equal to 200% of your Target Potential Payout</w:t>
      </w:r>
      <w:r>
        <w:rPr>
          <w:rFonts w:ascii="Arial" w:cs="Arial" w:eastAsia="Arial" w:hAnsi="Arial"/>
          <w:sz w:val="18"/>
          <w:szCs w:val="18"/>
          <w:i w:val="1"/>
          <w:iCs w:val="1"/>
          <w:color w:val="auto"/>
        </w:rPr>
        <w:t>; provided, however</w:t>
      </w:r>
      <w:r>
        <w:rPr>
          <w:rFonts w:ascii="Arial" w:cs="Arial" w:eastAsia="Arial" w:hAnsi="Arial"/>
          <w:sz w:val="18"/>
          <w:szCs w:val="18"/>
          <w:color w:val="auto"/>
        </w:rPr>
        <w:t>, that if you are a Covered Employee your actual base salary earnings taken into account may not exceed your annual base salary in effect on the Grant Date.</w:t>
      </w:r>
    </w:p>
    <w:p>
      <w:pPr>
        <w:spacing w:after="0" w:line="184" w:lineRule="exact"/>
        <w:rPr>
          <w:sz w:val="20"/>
          <w:szCs w:val="20"/>
          <w:color w:val="auto"/>
        </w:rPr>
      </w:pPr>
    </w:p>
    <w:p>
      <w:pPr>
        <w:jc w:val="both"/>
        <w:ind w:right="360" w:firstLine="8"/>
        <w:spacing w:after="0" w:line="291" w:lineRule="auto"/>
        <w:tabs>
          <w:tab w:leader="none" w:pos="648"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 Exhibit A 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cash payout under this Annual Performance Award pursuant to Section 4 of this Agreement is the fiscal year ending October 31,</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 ] (the “Performance Period”). Except as otherwise provided in Section 8 of this Agreement, Toro intends to make payment to you only at the end of the Performance Period and only upon the achievement of the Performance Goals described in Exhibit A to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described in the table(s) set forth in Exhibit A to this Agreement.</w:t>
      </w:r>
    </w:p>
    <w:p>
      <w:pPr>
        <w:spacing w:after="0" w:line="191" w:lineRule="exact"/>
        <w:rPr>
          <w:rFonts w:ascii="Arial" w:cs="Arial" w:eastAsia="Arial" w:hAnsi="Arial"/>
          <w:sz w:val="16"/>
          <w:szCs w:val="16"/>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300" w:firstLine="648"/>
        <w:spacing w:after="0" w:line="277" w:lineRule="auto"/>
        <w:rPr>
          <w:rFonts w:ascii="Arial" w:cs="Arial" w:eastAsia="Arial" w:hAnsi="Arial"/>
          <w:sz w:val="18"/>
          <w:szCs w:val="18"/>
          <w:color w:val="auto"/>
        </w:rPr>
      </w:pPr>
      <w:r>
        <w:rPr>
          <w:rFonts w:ascii="Arial" w:cs="Arial" w:eastAsia="Arial" w:hAnsi="Arial"/>
          <w:sz w:val="18"/>
          <w:szCs w:val="18"/>
          <w:color w:val="auto"/>
        </w:rPr>
        <w:t>a. Except as otherwise provided in this Section 3 and Exhibit A to this Agreement, the amount of cash payable in settlement of this Annual Performance Award shall be determined by reference to the Performance Measures and Performance Goals achieved during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Performance Period in accordance with the table(s) set forth in Exhibit A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Exhibit A to this Agreement.</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Payouts will be interpolated between Threshold and Target if the Performance Goals for the Performance Measure attained for the Performance Period falls between the Threshold and Target percentages specified in the table(s) set forth in Exhibit A to this Agreement, and will be rounded down to the nearest dollar. Payouts will be interpolated between Target and Maximum if the Performance Goals for the Performance Measure attained for the Performance Period falls between the Target and Maximum percentages specified in the table(s) set forth in Exhibit A to this Agreement, and will be rounded down to the nearest dollar.</w:t>
      </w:r>
    </w:p>
    <w:p>
      <w:pPr>
        <w:spacing w:after="0" w:line="188" w:lineRule="exact"/>
        <w:rPr>
          <w:sz w:val="20"/>
          <w:szCs w:val="20"/>
          <w:color w:val="auto"/>
        </w:rPr>
      </w:pPr>
    </w:p>
    <w:p>
      <w:pPr>
        <w:ind w:right="60" w:firstLine="656"/>
        <w:spacing w:after="0" w:line="297" w:lineRule="auto"/>
        <w:tabs>
          <w:tab w:leader="none" w:pos="1296" w:val="left"/>
        </w:tabs>
        <w:numPr>
          <w:ilvl w:val="0"/>
          <w:numId w:val="95"/>
        </w:numPr>
        <w:rPr>
          <w:rFonts w:ascii="Arial" w:cs="Arial" w:eastAsia="Arial" w:hAnsi="Arial"/>
          <w:sz w:val="16"/>
          <w:szCs w:val="16"/>
          <w:color w:val="auto"/>
        </w:rPr>
      </w:pPr>
      <w:r>
        <w:rPr>
          <w:rFonts w:ascii="Arial" w:cs="Arial" w:eastAsia="Arial" w:hAnsi="Arial"/>
          <w:sz w:val="16"/>
          <w:szCs w:val="16"/>
          <w:color w:val="auto"/>
        </w:rPr>
        <w:t>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 Performance Measures meet the Threshold for payment as described in the table(s) set forth in Exhibit A to this Agreement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58" w:lineRule="exact"/>
        <w:rPr>
          <w:rFonts w:ascii="Arial" w:cs="Arial" w:eastAsia="Arial" w:hAnsi="Arial"/>
          <w:sz w:val="16"/>
          <w:szCs w:val="16"/>
          <w:color w:val="auto"/>
        </w:rPr>
      </w:pPr>
    </w:p>
    <w:p>
      <w:pPr>
        <w:ind w:right="140" w:firstLine="656"/>
        <w:spacing w:after="0" w:line="342" w:lineRule="auto"/>
        <w:tabs>
          <w:tab w:leader="none" w:pos="1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In determining whether and to what extent each Performance Goal has been achieved, the Committee shall </w:t>
      </w:r>
      <w:r>
        <w:rPr>
          <w:rFonts w:ascii="Arial" w:cs="Arial" w:eastAsia="Arial" w:hAnsi="Arial"/>
          <w:sz w:val="16"/>
          <w:szCs w:val="16"/>
          <w:u w:val="single" w:color="auto"/>
          <w:color w:val="auto"/>
        </w:rPr>
        <w:t>exclude</w:t>
      </w:r>
      <w:r>
        <w:rPr>
          <w:rFonts w:ascii="Arial" w:cs="Arial" w:eastAsia="Arial" w:hAnsi="Arial"/>
          <w:sz w:val="16"/>
          <w:szCs w:val="16"/>
          <w:color w:val="auto"/>
        </w:rPr>
        <w:t xml:space="preserve"> from the calculation of the Performance Goal, applying generally accepted accounting principles, each of the following events that occurs during the Performance Period:</w:t>
      </w:r>
    </w:p>
    <w:p>
      <w:pPr>
        <w:spacing w:after="0" w:line="123" w:lineRule="exact"/>
        <w:rPr>
          <w:rFonts w:ascii="Arial" w:cs="Arial" w:eastAsia="Arial" w:hAnsi="Arial"/>
          <w:sz w:val="16"/>
          <w:szCs w:val="16"/>
          <w:color w:val="auto"/>
        </w:rPr>
      </w:pPr>
    </w:p>
    <w:p>
      <w:pPr>
        <w:ind w:left="1640" w:hanging="335"/>
        <w:spacing w:after="0"/>
        <w:tabs>
          <w:tab w:leader="none" w:pos="16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acquisition with projected annual revenues for the first twelve months post closing greater than $10 million that impacts</w:t>
      </w:r>
    </w:p>
    <w:p>
      <w:pPr>
        <w:spacing w:after="0" w:line="34" w:lineRule="exact"/>
        <w:rPr>
          <w:rFonts w:ascii="Arial" w:cs="Arial" w:eastAsia="Arial" w:hAnsi="Arial"/>
          <w:sz w:val="17"/>
          <w:szCs w:val="17"/>
          <w:color w:val="auto"/>
        </w:rPr>
      </w:pPr>
    </w:p>
    <w:p>
      <w:pPr>
        <w:ind w:left="1620" w:right="400"/>
        <w:spacing w:after="0" w:line="261" w:lineRule="auto"/>
        <w:rPr>
          <w:rFonts w:ascii="Arial" w:cs="Arial" w:eastAsia="Arial" w:hAnsi="Arial"/>
          <w:sz w:val="17"/>
          <w:szCs w:val="17"/>
          <w:color w:val="auto"/>
        </w:rPr>
      </w:pPr>
      <w:r>
        <w:rPr>
          <w:rFonts w:ascii="Arial" w:cs="Arial" w:eastAsia="Arial" w:hAnsi="Arial"/>
          <w:sz w:val="18"/>
          <w:szCs w:val="18"/>
          <w:color w:val="auto"/>
        </w:rPr>
        <w:t>any Corporate Performance Goal, unless such acquisition is built into the annual upon which the Corporate Performance Goal was established;</w:t>
      </w:r>
    </w:p>
    <w:p>
      <w:pPr>
        <w:spacing w:after="0" w:line="183" w:lineRule="exact"/>
        <w:rPr>
          <w:rFonts w:ascii="Arial" w:cs="Arial" w:eastAsia="Arial" w:hAnsi="Arial"/>
          <w:sz w:val="17"/>
          <w:szCs w:val="17"/>
          <w:color w:val="auto"/>
        </w:rPr>
      </w:pPr>
    </w:p>
    <w:p>
      <w:pPr>
        <w:ind w:left="1660" w:hanging="355"/>
        <w:spacing w:after="0"/>
        <w:tabs>
          <w:tab w:leader="none" w:pos="1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externally driven change (</w:t>
      </w:r>
      <w:r>
        <w:rPr>
          <w:rFonts w:ascii="Arial" w:cs="Arial" w:eastAsia="Arial" w:hAnsi="Arial"/>
          <w:sz w:val="18"/>
          <w:szCs w:val="18"/>
          <w:i w:val="1"/>
          <w:iCs w:val="1"/>
          <w:color w:val="auto"/>
        </w:rPr>
        <w:t>e.g,</w:t>
      </w:r>
      <w:r>
        <w:rPr>
          <w:rFonts w:ascii="Arial" w:cs="Arial" w:eastAsia="Arial" w:hAnsi="Arial"/>
          <w:sz w:val="18"/>
          <w:szCs w:val="18"/>
          <w:color w:val="auto"/>
        </w:rPr>
        <w:t xml:space="preserve"> FASB, IFRS, SEC, etc.) in any accounting or measurement principle that impacts any</w:t>
      </w:r>
    </w:p>
    <w:p>
      <w:pPr>
        <w:spacing w:after="0" w:line="23" w:lineRule="exact"/>
        <w:rPr>
          <w:sz w:val="20"/>
          <w:szCs w:val="20"/>
          <w:color w:val="auto"/>
        </w:rPr>
      </w:pPr>
    </w:p>
    <w:p>
      <w:pPr>
        <w:ind w:left="1620" w:right="40"/>
        <w:spacing w:after="0" w:line="255" w:lineRule="auto"/>
        <w:rPr>
          <w:sz w:val="20"/>
          <w:szCs w:val="20"/>
          <w:color w:val="auto"/>
        </w:rPr>
      </w:pPr>
      <w:r>
        <w:rPr>
          <w:rFonts w:ascii="Arial" w:cs="Arial" w:eastAsia="Arial" w:hAnsi="Arial"/>
          <w:sz w:val="18"/>
          <w:szCs w:val="18"/>
          <w:color w:val="auto"/>
        </w:rPr>
        <w:t xml:space="preserve">Corporate Performance Goal,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cumulative impact of all such changes on a Corporate Performance Goal results in a net change to the payout that would be made for such Corporate Performance Goal that is greater than 2% in the aggregate over the Performance Period;</w:t>
      </w:r>
    </w:p>
    <w:p>
      <w:pPr>
        <w:spacing w:after="0" w:line="190" w:lineRule="exact"/>
        <w:rPr>
          <w:sz w:val="20"/>
          <w:szCs w:val="20"/>
          <w:color w:val="auto"/>
        </w:rPr>
      </w:pPr>
    </w:p>
    <w:p>
      <w:pPr>
        <w:ind w:left="1660" w:hanging="355"/>
        <w:spacing w:after="0"/>
        <w:tabs>
          <w:tab w:leader="none" w:pos="1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impact of currency fluctuations from fiscal plan levels on Division Performance Goals or Plant Performance Goals; and</w:t>
      </w:r>
    </w:p>
    <w:p>
      <w:pPr>
        <w:spacing w:after="0" w:line="225" w:lineRule="exact"/>
        <w:rPr>
          <w:rFonts w:ascii="Arial" w:cs="Arial" w:eastAsia="Arial" w:hAnsi="Arial"/>
          <w:sz w:val="18"/>
          <w:szCs w:val="18"/>
          <w:color w:val="auto"/>
        </w:rPr>
      </w:pPr>
    </w:p>
    <w:p>
      <w:pPr>
        <w:ind w:left="1620" w:right="460" w:hanging="315"/>
        <w:spacing w:after="0" w:line="277" w:lineRule="auto"/>
        <w:tabs>
          <w:tab w:leader="none" w:pos="16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acquisition that impacts any Division Performance Goals, unless such acquisition is built into the annual plan upon which the Division Performance Goals were established.</w:t>
      </w:r>
    </w:p>
    <w:p>
      <w:pPr>
        <w:sectPr>
          <w:pgSz w:w="11900" w:h="16838" w:orient="portrait"/>
          <w:cols w:equalWidth="0" w:num="1">
            <w:col w:w="11420"/>
          </w:cols>
          <w:pgMar w:left="240" w:top="364" w:right="239" w:bottom="30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91" w:name="page92"/>
    <w:bookmarkEnd w:id="91"/>
    <w:p>
      <w:pPr>
        <w:ind w:right="60" w:firstLine="913"/>
        <w:spacing w:after="0" w:line="264" w:lineRule="auto"/>
        <w:tabs>
          <w:tab w:leader="none" w:pos="1296"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actual amount that becomes payable under this Annual Performance Award based upon achieving the Performance Goals during the Performance Period may be adjusted downward by the Committee in its sole and absolute discretion based on such factors as the Committee determines to be appropriate and/or advisable.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3" w:lineRule="auto"/>
        <w:tabs>
          <w:tab w:leader="none" w:pos="1286" w:val="left"/>
        </w:tabs>
        <w:numPr>
          <w:ilvl w:val="1"/>
          <w:numId w:val="98"/>
        </w:numPr>
        <w:rPr>
          <w:rFonts w:ascii="Arial" w:cs="Arial" w:eastAsia="Arial" w:hAnsi="Arial"/>
          <w:sz w:val="17"/>
          <w:szCs w:val="17"/>
          <w:color w:val="auto"/>
        </w:rPr>
      </w:pPr>
      <w:r>
        <w:rPr>
          <w:rFonts w:ascii="Arial" w:cs="Arial" w:eastAsia="Arial" w:hAnsi="Arial"/>
          <w:sz w:val="17"/>
          <w:szCs w:val="17"/>
          <w:color w:val="auto"/>
        </w:rPr>
        <w:t>In the event and only upon the achievement of the “Threshold” level of performance with respect to the Performance Goals as described in the table(s) set forth in Exhibit A to this Agreement during the Performance Period, which achievement must be certified in writing by the Committee following the expiration of the Performance Period, you will receive such amount in cash up to your Maximum Potential Payout under this Annual Performance Award as determined pursuant to Section 3 and Exhibit A to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 greater amount in cash than your Maximum Potential Payout.</w:t>
      </w:r>
    </w:p>
    <w:p>
      <w:pPr>
        <w:spacing w:after="0" w:line="178" w:lineRule="exact"/>
        <w:rPr>
          <w:rFonts w:ascii="Arial" w:cs="Arial" w:eastAsia="Arial" w:hAnsi="Arial"/>
          <w:sz w:val="17"/>
          <w:szCs w:val="17"/>
          <w:color w:val="auto"/>
        </w:rPr>
      </w:pPr>
    </w:p>
    <w:p>
      <w:pPr>
        <w:ind w:right="220" w:firstLine="656"/>
        <w:spacing w:after="0" w:line="277" w:lineRule="auto"/>
        <w:tabs>
          <w:tab w:leader="none" w:pos="12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the event this Annual Performance Award is forfeited or cancelled for any reason pursuant to Sections 3, 5, 6 or 7 of this Agreement or otherwise, no payment shall be made in settlement of this Annual Performance Award.</w:t>
      </w:r>
    </w:p>
    <w:p>
      <w:pPr>
        <w:spacing w:after="0" w:line="170" w:lineRule="exact"/>
        <w:rPr>
          <w:rFonts w:ascii="Arial" w:cs="Arial" w:eastAsia="Arial" w:hAnsi="Arial"/>
          <w:sz w:val="18"/>
          <w:szCs w:val="18"/>
          <w:color w:val="auto"/>
        </w:rPr>
      </w:pPr>
    </w:p>
    <w:p>
      <w:pPr>
        <w:ind w:right="180" w:firstLine="656"/>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as provided in paragraph (d) below, in no event will Toro make payment to you later than March 15 of the calendar year following the calendar year in which the Performance Period ends.</w:t>
      </w:r>
    </w:p>
    <w:p>
      <w:pPr>
        <w:spacing w:after="0" w:line="170" w:lineRule="exact"/>
        <w:rPr>
          <w:rFonts w:ascii="Arial" w:cs="Arial" w:eastAsia="Arial" w:hAnsi="Arial"/>
          <w:sz w:val="18"/>
          <w:szCs w:val="18"/>
          <w:color w:val="auto"/>
        </w:rPr>
      </w:pPr>
    </w:p>
    <w:p>
      <w:pPr>
        <w:jc w:val="both"/>
        <w:ind w:right="40" w:firstLine="656"/>
        <w:spacing w:after="0" w:line="264" w:lineRule="auto"/>
        <w:tabs>
          <w:tab w:leader="none" w:pos="12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 of the foregoing or any other provision of this Agreement, in the event you have properly elected to defer your receipt of any payment pursuant to this Annual Performance Award under The Toro Company Deferred Compensation Plan, as such plan may be amended from time to time, or any similar successor plan, you will receive such payment in accordance with your deferral election.</w:t>
      </w:r>
    </w:p>
    <w:p>
      <w:pPr>
        <w:spacing w:after="0" w:line="181" w:lineRule="exact"/>
        <w:rPr>
          <w:rFonts w:ascii="Arial" w:cs="Arial" w:eastAsia="Arial" w:hAnsi="Arial"/>
          <w:sz w:val="18"/>
          <w:szCs w:val="18"/>
          <w:color w:val="auto"/>
        </w:rPr>
      </w:pPr>
    </w:p>
    <w:p>
      <w:pPr>
        <w:ind w:right="740" w:firstLine="656"/>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12" w:lineRule="auto"/>
        <w:tabs>
          <w:tab w:leader="none" w:pos="1286"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event your employment or other service with the Employer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146" w:lineRule="exact"/>
        <w:rPr>
          <w:rFonts w:ascii="Arial" w:cs="Arial" w:eastAsia="Arial" w:hAnsi="Arial"/>
          <w:sz w:val="16"/>
          <w:szCs w:val="16"/>
          <w:color w:val="auto"/>
        </w:rPr>
      </w:pPr>
    </w:p>
    <w:p>
      <w:pPr>
        <w:ind w:right="640" w:firstLine="656"/>
        <w:spacing w:after="0" w:line="342" w:lineRule="auto"/>
        <w:tabs>
          <w:tab w:leader="none" w:pos="1296"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event your employment or other service with the Employer is terminated by reason of death, Disability or Retirement and the effective date of such termination is prior to the date payment is made in settlement of this Annual Performance Award pursuant to Section 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of this Agreement or would have been made had there not been a deferral election in place, this Annual Performance Award will be terminated and forfeited;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in its sole discretion, cause payment to be made with respect to this Annual Performance Award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payment terms hereof, but only if otherwise earned for the entire Performance Period and only with respect to the portion of the Performance Period completed as of the date of such death, Disability or Retirement.</w:t>
      </w:r>
    </w:p>
    <w:p>
      <w:pPr>
        <w:spacing w:after="0" w:line="187" w:lineRule="exact"/>
        <w:rPr>
          <w:sz w:val="20"/>
          <w:szCs w:val="20"/>
          <w:color w:val="auto"/>
        </w:rPr>
      </w:pPr>
    </w:p>
    <w:p>
      <w:pPr>
        <w:ind w:right="180" w:firstLine="656"/>
        <w:spacing w:after="0" w:line="259"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firstLine="8"/>
        <w:spacing w:after="0" w:line="255"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taken any action that would constitute an Adverse Action, (a) all of your rights under the Plan and any agreements evidencing an Award granted under the Plan, including this Agreement evidencing this Annual Performance Award, then held by you shall terminate and be forfeited without notice 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Annual Performance Award. This Section 6 shall not apply following the occurrence of a Change of Control.</w:t>
      </w:r>
    </w:p>
    <w:p>
      <w:pPr>
        <w:spacing w:after="0" w:line="189" w:lineRule="exact"/>
        <w:rPr>
          <w:rFonts w:ascii="Arial" w:cs="Arial" w:eastAsia="Arial" w:hAnsi="Arial"/>
          <w:sz w:val="18"/>
          <w:szCs w:val="18"/>
          <w:color w:val="auto"/>
        </w:rPr>
      </w:pPr>
    </w:p>
    <w:p>
      <w:pPr>
        <w:ind w:right="60" w:firstLine="8"/>
        <w:spacing w:after="0" w:line="264"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amounts paid to you under this Annual Performance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140" w:firstLine="8"/>
        <w:spacing w:after="0" w:line="255"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to which you are bound or Change of Control or similar policy or plan under which you are covered, upon the occurrence of a Change of Control prior to the end of the Performance Period, this Annual Performance Award shall be settled by payment of your Target Potential Payout within 60 days after the Change of Control, unless you have properly elected to defer your receipt of any payment pursuant to this Annual Performance Award under The Toro Company Deferred Compensation Plan, as such plan may be amended from time to time, or any similar successor plan, in which case, you will receive such payment in accordance with your deferral election.</w:t>
      </w:r>
    </w:p>
    <w:p>
      <w:pPr>
        <w:spacing w:after="0" w:line="193" w:lineRule="exact"/>
        <w:rPr>
          <w:rFonts w:ascii="Arial" w:cs="Arial" w:eastAsia="Arial" w:hAnsi="Arial"/>
          <w:sz w:val="18"/>
          <w:szCs w:val="18"/>
          <w:color w:val="auto"/>
        </w:rPr>
      </w:pPr>
    </w:p>
    <w:p>
      <w:pPr>
        <w:ind w:right="20" w:firstLine="8"/>
        <w:spacing w:after="0" w:line="264"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Annual Performance Award or any rights granted under this Annual Performance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20" w:firstLine="8"/>
        <w:spacing w:after="0" w:line="277" w:lineRule="auto"/>
        <w:tabs>
          <w:tab w:leader="none" w:pos="64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or the Employer will deduct or withhold from the payment issued under this Agreement any federal, state, local or other taxes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kind that Toro or the</w:t>
      </w:r>
    </w:p>
    <w:p>
      <w:pPr>
        <w:sectPr>
          <w:pgSz w:w="11900" w:h="16838" w:orient="portrait"/>
          <w:cols w:equalWidth="0" w:num="1">
            <w:col w:w="11420"/>
          </w:cols>
          <w:pgMar w:left="240" w:top="341" w:right="239" w:bottom="0" w:gutter="0" w:footer="0" w:header="0"/>
        </w:sectPr>
      </w:pPr>
    </w:p>
    <w:bookmarkStart w:id="92" w:name="page93"/>
    <w:bookmarkEnd w:id="92"/>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Employer reasonably determines are required by law to be withheld with respect to income recognized or will take such other action as may be necessary in the opinion of Toro or the Employer to satisfy all obligations for the payment of such taxes.</w:t>
      </w:r>
    </w:p>
    <w:p>
      <w:pPr>
        <w:spacing w:after="0" w:line="170" w:lineRule="exact"/>
        <w:rPr>
          <w:sz w:val="20"/>
          <w:szCs w:val="20"/>
          <w:color w:val="auto"/>
        </w:rPr>
      </w:pPr>
    </w:p>
    <w:p>
      <w:pPr>
        <w:ind w:firstLine="8"/>
        <w:spacing w:after="0" w:line="264" w:lineRule="auto"/>
        <w:tabs>
          <w:tab w:leader="none" w:pos="637"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Annual Performance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Annual Performance Award is to be construed and administered in a manner consistent with such intent.</w:t>
      </w:r>
    </w:p>
    <w:p>
      <w:pPr>
        <w:spacing w:after="0" w:line="181" w:lineRule="exact"/>
        <w:rPr>
          <w:rFonts w:ascii="Arial" w:cs="Arial" w:eastAsia="Arial" w:hAnsi="Arial"/>
          <w:sz w:val="18"/>
          <w:szCs w:val="18"/>
          <w:color w:val="auto"/>
        </w:rPr>
      </w:pPr>
    </w:p>
    <w:p>
      <w:pPr>
        <w:jc w:val="both"/>
        <w:ind w:right="540" w:firstLine="8"/>
        <w:spacing w:after="0" w:line="264"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Annual Performance Award shall be binding on any successor to Toro,</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260" w:firstLine="8"/>
        <w:spacing w:after="0" w:line="264"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Annual Performance Award, the Annual Performance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ind w:right="120" w:firstLine="8"/>
        <w:spacing w:after="0" w:line="264"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Annual Performance Award granted to you</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00" w:firstLine="8"/>
        <w:spacing w:after="0" w:line="264"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Annual Performance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jc w:val="both"/>
        <w:ind w:right="120" w:firstLine="8"/>
        <w:spacing w:after="0" w:line="264"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Annual Performance Award, you are deemed to submit to the exclusive jurisdiction and venue of the federal or state courts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Minnesota of the United States of America to resolve any and all issues that may arise out of or relate to this Annual Performance Award, this Agreement and the Annual Performance Award Acceptance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60" w:firstLine="8"/>
        <w:spacing w:after="0" w:line="342" w:lineRule="auto"/>
        <w:tabs>
          <w:tab w:leader="none" w:pos="644"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Annual Performance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Annual Performance Award Acceptance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8"/>
        <w:spacing w:after="0" w:line="264" w:lineRule="auto"/>
        <w:tabs>
          <w:tab w:leader="none" w:pos="644"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Annual Performance Award and the Annual Performance Award Acceptance Agreement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negotiable, but you may refuse to accept this Annual Performance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Annual Performance Award Acceptance Agreement.</w:t>
      </w:r>
    </w:p>
    <w:p>
      <w:pPr>
        <w:spacing w:after="0" w:line="387" w:lineRule="exact"/>
        <w:rPr>
          <w:sz w:val="20"/>
          <w:szCs w:val="20"/>
          <w:color w:val="auto"/>
        </w:rPr>
      </w:pPr>
    </w:p>
    <w:p>
      <w:pPr>
        <w:spacing w:after="0"/>
        <w:tabs>
          <w:tab w:leader="none" w:pos="76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PERFORMANCE AWARD ACCEPTANCE AGREEMENT</w:t>
      </w:r>
    </w:p>
    <w:p>
      <w:pPr>
        <w:spacing w:after="0" w:line="23" w:lineRule="exact"/>
        <w:rPr>
          <w:sz w:val="20"/>
          <w:szCs w:val="20"/>
          <w:color w:val="auto"/>
        </w:rPr>
      </w:pPr>
    </w:p>
    <w:p>
      <w:pPr>
        <w:ind w:left="6060" w:hanging="743"/>
        <w:spacing w:after="0"/>
        <w:tabs>
          <w:tab w:leader="none" w:pos="6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 hereby agree to the terms and conditions governing the Annual Performance Award as set forth in the Annual Performance Award Agreement, this Annual Performance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Annual Performance Award, I hereby acknowledge that:</w:t>
      </w:r>
    </w:p>
    <w:p>
      <w:pPr>
        <w:spacing w:after="0" w:line="225" w:lineRule="exact"/>
        <w:rPr>
          <w:sz w:val="20"/>
          <w:szCs w:val="20"/>
          <w:color w:val="auto"/>
        </w:rPr>
      </w:pPr>
    </w:p>
    <w:p>
      <w:pPr>
        <w:ind w:right="100" w:firstLine="656"/>
        <w:spacing w:after="0" w:line="342" w:lineRule="auto"/>
        <w:tabs>
          <w:tab w:leader="none" w:pos="129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Annual Performance Award Agreement or this Annual Performance Award Acceptance Agreement;</w:t>
      </w:r>
    </w:p>
    <w:p>
      <w:pPr>
        <w:spacing w:after="0" w:line="123" w:lineRule="exact"/>
        <w:rPr>
          <w:rFonts w:ascii="Arial" w:cs="Arial" w:eastAsia="Arial" w:hAnsi="Arial"/>
          <w:sz w:val="16"/>
          <w:szCs w:val="16"/>
          <w:color w:val="auto"/>
        </w:rPr>
      </w:pPr>
    </w:p>
    <w:p>
      <w:pPr>
        <w:ind w:right="80" w:firstLine="656"/>
        <w:spacing w:after="0" w:line="264" w:lineRule="auto"/>
        <w:tabs>
          <w:tab w:leader="none" w:pos="13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ectPr>
          <w:pgSz w:w="11900" w:h="16850" w:orient="portrait"/>
          <w:cols w:equalWidth="0" w:num="1">
            <w:col w:w="11420"/>
          </w:cols>
          <w:pgMar w:left="240" w:top="125" w:right="239" w:bottom="0" w:gutter="0" w:footer="0" w:header="0"/>
        </w:sectPr>
      </w:pPr>
    </w:p>
    <w:bookmarkStart w:id="93" w:name="page94"/>
    <w:bookmarkEnd w:id="93"/>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decisions with respect to future Annual Performance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220" w:firstLine="656"/>
        <w:spacing w:after="0" w:line="312" w:lineRule="auto"/>
        <w:tabs>
          <w:tab w:leader="none" w:pos="130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right="40" w:firstLine="656"/>
        <w:spacing w:after="0" w:line="277" w:lineRule="auto"/>
        <w:tabs>
          <w:tab w:leader="none" w:pos="13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Annual Performance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ind w:right="60" w:firstLine="656"/>
        <w:spacing w:after="0" w:line="297" w:lineRule="auto"/>
        <w:tabs>
          <w:tab w:leader="none" w:pos="131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58" w:lineRule="exact"/>
        <w:rPr>
          <w:rFonts w:ascii="Arial" w:cs="Arial" w:eastAsia="Arial" w:hAnsi="Arial"/>
          <w:sz w:val="16"/>
          <w:szCs w:val="16"/>
          <w:color w:val="auto"/>
        </w:rPr>
      </w:pPr>
    </w:p>
    <w:p>
      <w:pPr>
        <w:ind w:right="320" w:firstLine="656"/>
        <w:spacing w:after="0" w:line="277"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of termination of my employment or other service (whether or not in breach of local labor laws), my right to receive a cash payment under the Plan in settlement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Annual Performance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a cash payment in settlement of the Annual Performance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Annual Performance Award;</w:t>
      </w:r>
    </w:p>
    <w:p>
      <w:pPr>
        <w:spacing w:after="0" w:line="167" w:lineRule="exact"/>
        <w:rPr>
          <w:sz w:val="20"/>
          <w:szCs w:val="20"/>
          <w:color w:val="auto"/>
        </w:rPr>
      </w:pPr>
    </w:p>
    <w:p>
      <w:pPr>
        <w:ind w:right="220" w:firstLine="656"/>
        <w:spacing w:after="0" w:line="277"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Annual Performance Award; and</w:t>
      </w:r>
    </w:p>
    <w:p>
      <w:pPr>
        <w:spacing w:after="0" w:line="170"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Annual Performance Award on the terms stated in the Annual Performance Award Agreement or this Annual Performance Award Acceptance Agreement, please immediately contact Toro’s Vice President, Secretary and General Counsel or Managing Director, HR &amp; Total Rewards, as applicable, to decline the grant.</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ANNUAL PERFORMANCE AWARD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Performance Goal</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2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Performance Measure</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Performance Goal</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2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Performance Measure</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Threshold</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(40% payout)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7322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 (“you”) sets forth the terms and conditions of the grant to you of a restricted stock award (this “Restricted Stock Award”) of [ ] shares of common stock,</w:t>
      </w:r>
    </w:p>
    <w:p>
      <w:pPr>
        <w:ind w:right="100"/>
        <w:spacing w:after="0" w:line="292" w:lineRule="auto"/>
        <w:rPr>
          <w:sz w:val="20"/>
          <w:szCs w:val="20"/>
          <w:color w:val="auto"/>
        </w:rPr>
      </w:pPr>
      <w:r>
        <w:rPr>
          <w:rFonts w:ascii="Arial" w:cs="Arial" w:eastAsia="Arial" w:hAnsi="Arial"/>
          <w:sz w:val="16"/>
          <w:szCs w:val="16"/>
          <w:color w:val="auto"/>
        </w:rPr>
        <w:t>par value $1.00 per share, of Toro (“Award Shares”) under The Toro Company 2010 Equity and Incentive Plan, as amended (the “Plan”). This Restricted Stock Award is subject to all of the terms and conditions set forth in the Plan, this Agreement and the Restricted Stock Award Acceptance Agreement should you decide to accept this Restricted Stock Award. All of the terms in this Agreement and the Restricted Stock Award Acceptance Agreement that begin with a capital letter are either defined in this Agreement or in the Plan. Except as otherwise indicated, for purposes of this Agreement and the Restricted Stock Award Acceptance Agreement, any reference to “Employer” shall mean the entity (Toro or any Affiliate or Subsidiary) that employs you.</w:t>
      </w:r>
    </w:p>
    <w:p>
      <w:pPr>
        <w:spacing w:after="0" w:line="163"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34"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Except as provided in Sections 1(b), 1(c), 5, 6 and 7 of this Agreement, your interest in the Award Shares will vest and become</w:t>
      </w:r>
    </w:p>
    <w:p>
      <w:pPr>
        <w:spacing w:after="0" w:line="20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nonforfeitable [on the anniversary after the Grant Date/in as equal as possible installments on each of the anniversaries after the Grant Date (rounding down to the nearest whole Share on the vesting date(s), if necessary)].</w:t>
      </w:r>
    </w:p>
    <w:p>
      <w:pPr>
        <w:spacing w:after="0" w:line="170" w:lineRule="exact"/>
        <w:rPr>
          <w:sz w:val="20"/>
          <w:szCs w:val="20"/>
          <w:color w:val="auto"/>
        </w:rPr>
      </w:pPr>
    </w:p>
    <w:p>
      <w:pPr>
        <w:ind w:right="60" w:firstLine="656"/>
        <w:spacing w:after="0" w:line="259"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by reason of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jc w:val="both"/>
        <w:ind w:right="20" w:firstLine="656"/>
        <w:spacing w:after="0" w:line="259" w:lineRule="auto"/>
        <w:tabs>
          <w:tab w:leader="none" w:pos="13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ind w:right="640" w:firstLine="656"/>
        <w:spacing w:after="0" w:line="264"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practice of Toro or the Employer or mandated under local law, unless otherwise required by applicable law.</w:t>
      </w:r>
    </w:p>
    <w:p>
      <w:pPr>
        <w:spacing w:after="0" w:line="225" w:lineRule="exact"/>
        <w:rPr>
          <w:sz w:val="20"/>
          <w:szCs w:val="20"/>
          <w:color w:val="auto"/>
        </w:rPr>
      </w:pPr>
    </w:p>
    <w:p>
      <w:pPr>
        <w:ind w:right="160" w:firstLine="8"/>
        <w:spacing w:after="0" w:line="255"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Unless and until your Award Shares are forfeited, you will have the right to vote the Award Shares. If you forfeit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the same time you will forfeit your right to vote the Award Shares. Any stock or cash dividends (including without limitation regular cash dividends) or other distributions of property made with respect Award Shares that remain subject to forfeiture under Section 1(a) shall be held by Toro, and your right to receive such dividends or other property shall be forfeited or shall vest and become nonforfeitable at the same time the Award Shares with respect to which the dividends or other property are attributable are forfeited or vest and become nonforfeitable. Except for the rights set forth in this Section 2, you shall have no rights as a shareholder of Toro with respect to the Award Shares until your interest in the Award Shares vests and becomes non-forfeitable.</w:t>
      </w:r>
    </w:p>
    <w:p>
      <w:pPr>
        <w:spacing w:after="0" w:line="189" w:lineRule="exact"/>
        <w:rPr>
          <w:rFonts w:ascii="Arial" w:cs="Arial" w:eastAsia="Arial" w:hAnsi="Arial"/>
          <w:sz w:val="18"/>
          <w:szCs w:val="18"/>
          <w:color w:val="auto"/>
        </w:rPr>
      </w:pPr>
    </w:p>
    <w:p>
      <w:pPr>
        <w:ind w:right="40" w:firstLine="8"/>
        <w:spacing w:after="0" w:line="288"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 Toro will issue the Award Shares to you in book-entry or certificate form or issue and deposit the Award Shares for your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broker with which you have an account relationship or Toro has engaged to provide such services under the Plan. Toro’s Vice President, Secretary and General Counsel will direct Toro’s transfer agent or broker not to honor any requests by you to transfer the Award Shares or to issue a physical stock certificate representing such Award Shares and any distributions made with respect to such Award Shares (including without limitation regular cash dividends) until such time that your interest in the Award Shares vests and becomes non-forfeitable. As soon as practicable after each date as of which your interest in any Award Shares vests and becomes nonforfeitable under Section 1(a) or 6 of this Agreement, Toro will direct its transfer agent or broker to honor any requests thereafter by you to transfer such Award Shares (together with any distributions made with respect to such Award Shares that have been held by Toro) or to issue a physical stock certificate representing such Award Shares. If the Award Shares are forfeited under Section 1 of this Agreement or if this Restricted Stock Award is terminated and forfeited under Section 5 or 6 of this Agreement, the Award Shares (together with any distributions made with respect to such Award Shares that have been held by Toro) will automatically revert back to Toro.</w:t>
      </w:r>
    </w:p>
    <w:p>
      <w:pPr>
        <w:spacing w:after="0" w:line="169" w:lineRule="exact"/>
        <w:rPr>
          <w:rFonts w:ascii="Arial" w:cs="Arial" w:eastAsia="Arial" w:hAnsi="Arial"/>
          <w:sz w:val="16"/>
          <w:szCs w:val="16"/>
          <w:color w:val="auto"/>
        </w:rPr>
      </w:pPr>
    </w:p>
    <w:p>
      <w:pPr>
        <w:ind w:firstLine="8"/>
        <w:spacing w:after="0" w:line="264"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Restricted Stock Award, the Award Shares or any rights granted under this Restricted Stock Award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by will or 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jc w:val="both"/>
        <w:ind w:firstLine="8"/>
        <w:spacing w:after="0" w:line="288"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Adverse Action</w:t>
      </w:r>
      <w:r>
        <w:rPr>
          <w:rFonts w:ascii="Arial" w:cs="Arial" w:eastAsia="Arial" w:hAnsi="Arial"/>
          <w:sz w:val="16"/>
          <w:szCs w:val="16"/>
          <w:color w:val="auto"/>
        </w:rPr>
        <w:t>. In addition to the other rights of the Committee under the Plan, if you are determined by the Committee, acting in its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taken any action that would constitute an Adverse Action, (a) all of your rights under the Plan and any agreements evidencing an Award granted under the Plan, including this Agreement evidencing this Restricted Stock Award, then held by you shall terminate and be forfeited without notice of any kind, and</w:t>
      </w:r>
    </w:p>
    <w:p>
      <w:pPr>
        <w:spacing w:after="0"/>
        <w:rPr>
          <w:rFonts w:ascii="Arial" w:cs="Arial" w:eastAsia="Arial" w:hAnsi="Arial"/>
          <w:sz w:val="16"/>
          <w:szCs w:val="16"/>
          <w:color w:val="auto"/>
        </w:rPr>
      </w:pPr>
      <w:r>
        <w:rPr>
          <w:rFonts w:ascii="Arial" w:cs="Arial" w:eastAsia="Arial" w:hAnsi="Arial"/>
          <w:sz w:val="17"/>
          <w:szCs w:val="17"/>
          <w:color w:val="auto"/>
        </w:rPr>
        <w:t>(b) the Committee in its sole discretion may require you to surrender and return to Toro all or any Award Shares received, or to disgorge all or any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profits or any other economic value (however defined by the Committee) made or realized by you, during the period beginning one (1) year prior to your termination of employment or other service with the Employer in connection with any Awards granted under the Plan, including this Restricted Stock Award,</w:t>
      </w:r>
    </w:p>
    <w:p>
      <w:pPr>
        <w:sectPr>
          <w:pgSz w:w="11900" w:h="16838" w:orient="portrait"/>
          <w:cols w:equalWidth="0" w:num="1">
            <w:col w:w="11420"/>
          </w:cols>
          <w:pgMar w:left="240" w:top="364" w:right="239" w:bottom="0" w:gutter="0" w:footer="0" w:header="0"/>
        </w:sectPr>
      </w:pPr>
    </w:p>
    <w:bookmarkStart w:id="96" w:name="page97"/>
    <w:bookmarkEnd w:id="96"/>
    <w:p>
      <w:pPr>
        <w:ind w:right="280"/>
        <w:spacing w:after="0" w:line="277" w:lineRule="auto"/>
        <w:rPr>
          <w:sz w:val="20"/>
          <w:szCs w:val="20"/>
          <w:color w:val="auto"/>
        </w:rPr>
      </w:pPr>
      <w:r>
        <w:rPr>
          <w:rFonts w:ascii="Arial" w:cs="Arial" w:eastAsia="Arial" w:hAnsi="Arial"/>
          <w:sz w:val="18"/>
          <w:szCs w:val="18"/>
          <w:color w:val="auto"/>
        </w:rPr>
        <w:t>or any Award Shares issued upon the exercise or vesting of any Awards, including this Restricted Stock Award. This Section 5 shall not apply following a Change of Control.</w:t>
      </w:r>
    </w:p>
    <w:p>
      <w:pPr>
        <w:spacing w:after="0" w:line="170" w:lineRule="exact"/>
        <w:rPr>
          <w:sz w:val="20"/>
          <w:szCs w:val="20"/>
          <w:color w:val="auto"/>
        </w:rPr>
      </w:pPr>
    </w:p>
    <w:p>
      <w:pPr>
        <w:jc w:val="both"/>
        <w:ind w:right="40" w:firstLine="8"/>
        <w:spacing w:after="0" w:line="264" w:lineRule="auto"/>
        <w:tabs>
          <w:tab w:leader="none" w:pos="648"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Restricted Stock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i w:val="1"/>
          <w:iCs w:val="1"/>
          <w:color w:val="auto"/>
        </w:rPr>
      </w:pPr>
    </w:p>
    <w:p>
      <w:pPr>
        <w:ind w:right="260" w:firstLine="8"/>
        <w:spacing w:after="0" w:line="277" w:lineRule="auto"/>
        <w:tabs>
          <w:tab w:leader="none" w:pos="64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of a Change of Control, the provisions of the Plan applicable to a Change of Control will apply to this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w:t>
      </w:r>
    </w:p>
    <w:p>
      <w:pPr>
        <w:spacing w:after="0" w:line="170" w:lineRule="exact"/>
        <w:rPr>
          <w:rFonts w:ascii="Arial" w:cs="Arial" w:eastAsia="Arial" w:hAnsi="Arial"/>
          <w:sz w:val="18"/>
          <w:szCs w:val="18"/>
          <w:color w:val="auto"/>
        </w:rPr>
      </w:pPr>
    </w:p>
    <w:p>
      <w:pPr>
        <w:ind w:right="320" w:firstLine="8"/>
        <w:spacing w:after="0" w:line="255" w:lineRule="auto"/>
        <w:tabs>
          <w:tab w:leader="none" w:pos="64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You hereby acknowledge that you have been informed that, with respect to the grant of this Restricted Stock Award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thirty (30) days of the Grant Date, you may file an election with the Internal Revenue Service electing pursuant to Section 83(b) of the Code to be taxed currently on the fair market value of this Restricted Stock Award on the Grant Date. You further acknowledge that it is your sole responsibility to timely file the election under Section 83(b) of the Code if you choose to make such an election. You should consult your personal tax or financial advisor with any questions regarding whether to make a Section 83(b) election. If you make such an election, you are required under the terms of the Plan to promptly provide Toro with a copy of the election form.</w:t>
      </w:r>
    </w:p>
    <w:p>
      <w:pPr>
        <w:spacing w:after="0" w:line="193" w:lineRule="exact"/>
        <w:rPr>
          <w:rFonts w:ascii="Arial" w:cs="Arial" w:eastAsia="Arial" w:hAnsi="Arial"/>
          <w:sz w:val="18"/>
          <w:szCs w:val="18"/>
          <w:color w:val="auto"/>
        </w:rPr>
      </w:pPr>
    </w:p>
    <w:p>
      <w:pPr>
        <w:ind w:right="120" w:firstLine="8"/>
        <w:spacing w:after="0" w:line="257" w:lineRule="auto"/>
        <w:tabs>
          <w:tab w:leader="none" w:pos="64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required by law to be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with respect to income recognized in connection with this Restricted Stock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88" w:lineRule="exact"/>
        <w:rPr>
          <w:rFonts w:ascii="Arial" w:cs="Arial" w:eastAsia="Arial" w:hAnsi="Arial"/>
          <w:sz w:val="18"/>
          <w:szCs w:val="18"/>
          <w:color w:val="auto"/>
        </w:rPr>
      </w:pPr>
    </w:p>
    <w:p>
      <w:pPr>
        <w:ind w:right="160" w:firstLine="8"/>
        <w:spacing w:after="0" w:line="264"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Restricted Stock Award, nor any related material shall give you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480" w:firstLine="8"/>
        <w:spacing w:after="0" w:line="264" w:lineRule="auto"/>
        <w:tabs>
          <w:tab w:leader="none" w:pos="637"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Restricted Stock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64" w:lineRule="auto"/>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Electronic Delivery. </w:t>
      </w:r>
      <w:r>
        <w:rPr>
          <w:rFonts w:ascii="Arial" w:cs="Arial" w:eastAsia="Arial" w:hAnsi="Arial"/>
          <w:sz w:val="18"/>
          <w:szCs w:val="18"/>
          <w:color w:val="auto"/>
        </w:rPr>
        <w:t>Toro, in its sole discretion, may decide to deliver any documents related to this Restricted Stock Award granted to you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20" w:firstLine="8"/>
        <w:spacing w:after="0" w:line="264" w:lineRule="auto"/>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In accepting this Restricted Stock Award, you are deemed to submit to the exclusive jurisdiction and venue of the federal or state courts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Minnesota of the United States of America to resolve any and all issues that may arise out of or relate to this Restricted Stock Award and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560" w:firstLine="8"/>
        <w:spacing w:after="0" w:line="342" w:lineRule="auto"/>
        <w:tabs>
          <w:tab w:leader="none" w:pos="644"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Restricted Stock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Restricted Stock Award Acceptance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8"/>
        <w:spacing w:after="0" w:line="264" w:lineRule="auto"/>
        <w:tabs>
          <w:tab w:leader="none" w:pos="64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Restricted Stock Award Acceptance Agreement are not negotiable, but you may refuse</w:t>
      </w:r>
      <w:r>
        <w:rPr>
          <w:rFonts w:ascii="Arial" w:cs="Arial" w:eastAsia="Arial" w:hAnsi="Arial"/>
          <w:sz w:val="18"/>
          <w:szCs w:val="18"/>
          <w:i w:val="1"/>
          <w:iCs w:val="1"/>
          <w:color w:val="auto"/>
        </w:rPr>
        <w:t xml:space="preserve"> </w:t>
      </w:r>
      <w:r>
        <w:rPr>
          <w:rFonts w:ascii="Arial" w:cs="Arial" w:eastAsia="Arial" w:hAnsi="Arial"/>
          <w:sz w:val="18"/>
          <w:szCs w:val="18"/>
          <w:color w:val="auto"/>
        </w:rPr>
        <w:t>to accept this Restricted Stock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Restricted Stock Award Acceptance Agreement.</w:t>
      </w:r>
    </w:p>
    <w:p>
      <w:pPr>
        <w:spacing w:after="0" w:line="387" w:lineRule="exact"/>
        <w:rPr>
          <w:sz w:val="20"/>
          <w:szCs w:val="20"/>
          <w:color w:val="auto"/>
        </w:rPr>
      </w:pPr>
    </w:p>
    <w:p>
      <w:pPr>
        <w:spacing w:after="0"/>
        <w:tabs>
          <w:tab w:leader="none" w:pos="46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RESTRICTED STOCK AWARD ACCEPTANCE AGREEMENT</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00"/>
          </w:cols>
          <w:pgMar w:left="240" w:top="125" w:right="259" w:bottom="0" w:gutter="0" w:footer="0" w:header="0"/>
        </w:sectPr>
      </w:pPr>
    </w:p>
    <w:bookmarkStart w:id="97" w:name="page98"/>
    <w:bookmarkEnd w:id="97"/>
    <w:p>
      <w:pPr>
        <w:ind w:right="660" w:firstLine="648"/>
        <w:spacing w:after="0" w:line="308" w:lineRule="auto"/>
        <w:rPr>
          <w:sz w:val="20"/>
          <w:szCs w:val="20"/>
          <w:color w:val="auto"/>
        </w:rPr>
      </w:pPr>
      <w:r>
        <w:rPr>
          <w:rFonts w:ascii="Arial" w:cs="Arial" w:eastAsia="Arial" w:hAnsi="Arial"/>
          <w:sz w:val="17"/>
          <w:szCs w:val="17"/>
          <w:color w:val="auto"/>
        </w:rPr>
        <w:t>I hereby agree to the terms and conditions governing the Restricted Stock Award as set forth in the Restricted Stock Award Agreement, this Restricted Stock Award Acceptance Agreement and as supplemented by the terms and conditions set forth in the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Restricted Stock Award, I hereby acknowledge that:</w:t>
      </w:r>
    </w:p>
    <w:p>
      <w:pPr>
        <w:spacing w:after="0" w:line="225" w:lineRule="exact"/>
        <w:rPr>
          <w:sz w:val="20"/>
          <w:szCs w:val="20"/>
          <w:color w:val="auto"/>
        </w:rPr>
      </w:pPr>
    </w:p>
    <w:p>
      <w:pPr>
        <w:ind w:right="40" w:firstLine="656"/>
        <w:spacing w:after="0" w:line="342" w:lineRule="auto"/>
        <w:tabs>
          <w:tab w:leader="none" w:pos="129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Restricted Stock Award Agreement or this Restricted Stock Award Acceptance Agreement;</w:t>
      </w:r>
    </w:p>
    <w:p>
      <w:pPr>
        <w:spacing w:after="0" w:line="123" w:lineRule="exact"/>
        <w:rPr>
          <w:rFonts w:ascii="Arial" w:cs="Arial" w:eastAsia="Arial" w:hAnsi="Arial"/>
          <w:sz w:val="16"/>
          <w:szCs w:val="16"/>
          <w:color w:val="auto"/>
        </w:rPr>
      </w:pPr>
    </w:p>
    <w:p>
      <w:pPr>
        <w:ind w:right="340" w:firstLine="656"/>
        <w:spacing w:after="0" w:line="342" w:lineRule="auto"/>
        <w:tabs>
          <w:tab w:leader="none" w:pos="130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grant of the Restricted Stock Award is voluntary and occasional and does not create any contractual or other right to receive future Restricted Stock Awards, or benefits in lieu of Restricted Stock Awards, even if Restricted Stock Awards have been granted repeatedly in the past;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300" w:firstLine="656"/>
        <w:spacing w:after="0" w:line="312" w:lineRule="auto"/>
        <w:tabs>
          <w:tab w:leader="none" w:pos="130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Restricted Stock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46" w:lineRule="exact"/>
        <w:rPr>
          <w:rFonts w:ascii="Arial" w:cs="Arial" w:eastAsia="Arial" w:hAnsi="Arial"/>
          <w:sz w:val="16"/>
          <w:szCs w:val="16"/>
          <w:color w:val="auto"/>
        </w:rPr>
      </w:pPr>
    </w:p>
    <w:p>
      <w:pPr>
        <w:ind w:right="720" w:firstLine="656"/>
        <w:spacing w:after="0" w:line="277" w:lineRule="auto"/>
        <w:tabs>
          <w:tab w:leader="none" w:pos="13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I am not an employee of Toro, this Restricted Stock Award will not be interpreted to form an employment contract or relationship with Toro;</w:t>
      </w:r>
    </w:p>
    <w:p>
      <w:pPr>
        <w:spacing w:after="0" w:line="170" w:lineRule="exact"/>
        <w:rPr>
          <w:rFonts w:ascii="Arial" w:cs="Arial" w:eastAsia="Arial" w:hAnsi="Arial"/>
          <w:sz w:val="18"/>
          <w:szCs w:val="18"/>
          <w:color w:val="auto"/>
        </w:rPr>
      </w:pPr>
    </w:p>
    <w:p>
      <w:pPr>
        <w:jc w:val="both"/>
        <w:ind w:right="180" w:firstLine="656"/>
        <w:spacing w:after="0" w:line="286" w:lineRule="auto"/>
        <w:tabs>
          <w:tab w:leader="none" w:pos="131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future value of the Award Shares subject to the Restricted Stock Award is unknown and cannot be predicted with certainty and if the Restricted Stock Award vests and the Award Shares become non-forfeitable in accordance with the terms of the Restricted Stock Award Agreement or this Restricted Stock Award Acceptance Agreement, the value of those Award Shares may increase or decrease;</w:t>
      </w:r>
    </w:p>
    <w:p>
      <w:pPr>
        <w:spacing w:after="0" w:line="165" w:lineRule="exact"/>
        <w:rPr>
          <w:rFonts w:ascii="Arial" w:cs="Arial" w:eastAsia="Arial" w:hAnsi="Arial"/>
          <w:sz w:val="17"/>
          <w:szCs w:val="17"/>
          <w:color w:val="auto"/>
        </w:rPr>
      </w:pPr>
    </w:p>
    <w:p>
      <w:pPr>
        <w:jc w:val="both"/>
        <w:ind w:right="780" w:firstLine="656"/>
        <w:spacing w:after="0" w:line="264"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consideration of the grant of the Restricted Stock Award, no claim or entitlement to compensation or damages shall arise from termination of the Restricted Stock Award or diminution in value of the Restricted Stock Award or Award Shares resulting from termination of my employment or service by Toro the Employer (for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Restricted Stock Award, I shall be deemed irrevocably to have waived my entitlement to pursue such claim;</w:t>
      </w:r>
    </w:p>
    <w:p>
      <w:pPr>
        <w:spacing w:after="0" w:line="181" w:lineRule="exact"/>
        <w:rPr>
          <w:sz w:val="20"/>
          <w:szCs w:val="20"/>
          <w:color w:val="auto"/>
        </w:rPr>
      </w:pPr>
    </w:p>
    <w:p>
      <w:pPr>
        <w:ind w:right="40" w:firstLine="656"/>
        <w:spacing w:after="0" w:line="290" w:lineRule="auto"/>
        <w:tabs>
          <w:tab w:leader="none" w:pos="13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receive the Restricted Stock Award and vest in the Restricted Stock Award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Restricted Stock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service for purposes of the Restricted Stock Award;</w:t>
      </w:r>
    </w:p>
    <w:p>
      <w:pPr>
        <w:spacing w:after="0" w:line="166" w:lineRule="exact"/>
        <w:rPr>
          <w:rFonts w:ascii="Arial" w:cs="Arial" w:eastAsia="Arial" w:hAnsi="Arial"/>
          <w:sz w:val="16"/>
          <w:szCs w:val="16"/>
          <w:color w:val="auto"/>
        </w:rPr>
      </w:pPr>
    </w:p>
    <w:p>
      <w:pPr>
        <w:ind w:right="220" w:firstLine="656"/>
        <w:spacing w:after="0" w:line="277"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Restricted Stock Award; and</w:t>
      </w:r>
    </w:p>
    <w:p>
      <w:pPr>
        <w:spacing w:after="0" w:line="170"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Restricted Stock Award on the terms stated in the Restricted Stock Award Agreement or this Restricted Stock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5715</wp:posOffset>
            </wp:positionV>
            <wp:extent cx="32327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278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8" w:name="page99"/>
    <w:bookmarkEnd w:id="98"/>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 UNIT AWARD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TORO COMPANY 2010 EQUITY AND INCENTIVE PLAN</w:t>
      </w:r>
    </w:p>
    <w:p>
      <w:pPr>
        <w:sectPr>
          <w:pgSz w:w="11900" w:h="16865" w:orient="portrait"/>
          <w:cols w:equalWidth="0" w:num="1">
            <w:col w:w="11420"/>
          </w:cols>
          <w:pgMar w:left="240" w:top="364" w:right="239" w:bottom="0" w:gutter="0" w:footer="0" w:header="0"/>
        </w:sectPr>
      </w:pPr>
    </w:p>
    <w:p>
      <w:pPr>
        <w:spacing w:after="0" w:line="22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(“you”) sets forth the terms and conditions of the grant to you of a restricted stock unit (“RSU”) award (this “RSU Award”) of [ ] shares of common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0" w:lineRule="exact"/>
        <w:rPr>
          <w:sz w:val="20"/>
          <w:szCs w:val="20"/>
          <w:color w:val="auto"/>
        </w:rPr>
      </w:pPr>
    </w:p>
    <w:p>
      <w:pPr>
        <w:sectPr>
          <w:pgSz w:w="11900" w:h="16865" w:orient="portrait"/>
          <w:cols w:equalWidth="0" w:num="2">
            <w:col w:w="11200" w:space="140"/>
            <w:col w:w="80"/>
          </w:cols>
          <w:pgMar w:left="240" w:top="364" w:right="239" w:bottom="0" w:gutter="0" w:footer="0" w:header="0"/>
          <w:type w:val="continuous"/>
        </w:sectPr>
      </w:pPr>
    </w:p>
    <w:p>
      <w:pPr>
        <w:ind w:right="240"/>
        <w:spacing w:after="0" w:line="253" w:lineRule="auto"/>
        <w:rPr>
          <w:sz w:val="20"/>
          <w:szCs w:val="20"/>
          <w:color w:val="auto"/>
        </w:rPr>
      </w:pPr>
      <w:r>
        <w:rPr>
          <w:rFonts w:ascii="Arial" w:cs="Arial" w:eastAsia="Arial" w:hAnsi="Arial"/>
          <w:sz w:val="18"/>
          <w:szCs w:val="18"/>
          <w:color w:val="auto"/>
        </w:rPr>
        <w:t>stock, par value $1.00 per share, of Toro (“Award Shares”) under The Toro Company 2010 Equity and Incentive Plan, as amended (the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For purposes of this Agreement and the RSU Award Acceptance Agreement, any reference to “Employer” shall mean the entity (Toro or any Affiliate or Subsidiary) that employs you.</w:t>
      </w:r>
    </w:p>
    <w:p>
      <w:pPr>
        <w:spacing w:after="0" w:line="191"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656"/>
        <w:spacing w:after="0" w:line="277" w:lineRule="auto"/>
        <w:tabs>
          <w:tab w:leader="none" w:pos="129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Except as provided in Sections 1(b), 1(c), 5, 6 and 7 of this Agreement, your interest in the Award Shares will vest and the Award Shares will become issuable</w:t>
      </w:r>
    </w:p>
    <w:p>
      <w:pPr>
        <w:sectPr>
          <w:pgSz w:w="11900" w:h="16865" w:orient="portrait"/>
          <w:cols w:equalWidth="0" w:num="1">
            <w:col w:w="11420"/>
          </w:cols>
          <w:pgMar w:left="240" w:top="364" w:right="239" w:bottom="0" w:gutter="0" w:footer="0" w:header="0"/>
          <w:type w:val="continuous"/>
        </w:sectPr>
      </w:pP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[Time Vesting] [on the anniversary after the Grant Date/in as equal as possible installments on each of the Grant Date (rounding down to the nearest whole Share on the vesting date(s), if necessary)].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anniversaries after the</w:t>
      </w:r>
    </w:p>
    <w:p>
      <w:pPr>
        <w:spacing w:after="0" w:line="475" w:lineRule="exact"/>
        <w:rPr>
          <w:sz w:val="20"/>
          <w:szCs w:val="20"/>
          <w:color w:val="auto"/>
        </w:rPr>
      </w:pPr>
    </w:p>
    <w:p>
      <w:pPr>
        <w:sectPr>
          <w:pgSz w:w="11900" w:h="16865" w:orient="portrait"/>
          <w:cols w:equalWidth="0" w:num="2">
            <w:col w:w="9040" w:space="720"/>
            <w:col w:w="1660"/>
          </w:cols>
          <w:pgMar w:left="240" w:top="364" w:right="239" w:bottom="0" w:gutter="0" w:footer="0" w:header="0"/>
          <w:type w:val="continuous"/>
        </w:sect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660" w:right="260"/>
        <w:spacing w:after="0" w:line="286" w:lineRule="auto"/>
        <w:rPr>
          <w:sz w:val="20"/>
          <w:szCs w:val="20"/>
          <w:color w:val="auto"/>
        </w:rPr>
      </w:pPr>
      <w:r>
        <w:rPr>
          <w:rFonts w:ascii="Arial" w:cs="Arial" w:eastAsia="Arial" w:hAnsi="Arial"/>
          <w:sz w:val="16"/>
          <w:szCs w:val="16"/>
          <w:color w:val="auto"/>
        </w:rPr>
        <w:t>[Performance-Based Vesting] [Upon satisfaction of the performance goal[s] set forth [below/in Exhibit A to this Agreement] (the “Performance Goal[s]”), as determined by the Committee as soon as practicable after completion of the performance period set forth therein (the “Performance Period”), but in any event not later than [[December 15] of the calendar year in which the Performance Period ends/March 15 of the calendar year following the calendar year in which the Performance Period ends] (the date the Committee so determines, the “Determination Date”). [The</w:t>
      </w:r>
    </w:p>
    <w:p>
      <w:pPr>
        <w:spacing w:after="0" w:line="2" w:lineRule="exact"/>
        <w:rPr>
          <w:sz w:val="20"/>
          <w:szCs w:val="20"/>
          <w:color w:val="auto"/>
        </w:rPr>
      </w:pPr>
    </w:p>
    <w:p>
      <w:pPr>
        <w:ind w:left="660" w:right="240"/>
        <w:spacing w:after="0" w:line="270" w:lineRule="auto"/>
        <w:rPr>
          <w:sz w:val="20"/>
          <w:szCs w:val="20"/>
          <w:color w:val="auto"/>
        </w:rPr>
      </w:pPr>
      <w:r>
        <w:rPr>
          <w:rFonts w:ascii="Arial" w:cs="Arial" w:eastAsia="Arial" w:hAnsi="Arial"/>
          <w:sz w:val="17"/>
          <w:szCs w:val="17"/>
          <w:color w:val="auto"/>
        </w:rPr>
        <w:t>Performance Goal[s] is/are ]. Except as provided in Section 7 of this Agreement, this RSU Award shall be cancelled and you shall forfeit all rights to the Award Shares subject to this RSU Award and otherwise have no rights hereunder, except those Award Shares that had been previously issued pursuant to this Section 1(a), if either (i) the Determination Date does not occur or (ii) the Committee determines on the Determination Date that the Performance Goal[s] has/have not been satisfied. If you are a Covered Employee, it is intended that all payments of Award Shares under this RSU Award constitute “qualified performance-based compensation” within the meaning Section 162(m) of the Code and the Plan. This RSU Award is to be construed and administered in a manner consistent with such intent.]</w:t>
      </w:r>
    </w:p>
    <w:p>
      <w:pPr>
        <w:spacing w:after="0" w:line="179" w:lineRule="exact"/>
        <w:rPr>
          <w:sz w:val="20"/>
          <w:szCs w:val="20"/>
          <w:color w:val="auto"/>
        </w:rPr>
      </w:pPr>
    </w:p>
    <w:p>
      <w:pPr>
        <w:ind w:right="120" w:firstLine="656"/>
        <w:spacing w:after="0" w:line="277" w:lineRule="auto"/>
        <w:tabs>
          <w:tab w:leader="none" w:pos="13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by reason of your death or Disability before your interest in all of the Award Shares subject to this RSU</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47" w:lineRule="exact"/>
        <w:rPr>
          <w:sz w:val="20"/>
          <w:szCs w:val="20"/>
          <w:color w:val="auto"/>
        </w:rPr>
      </w:pPr>
    </w:p>
    <w:p>
      <w:pPr>
        <w:ind w:firstLine="656"/>
        <w:spacing w:after="0" w:line="259" w:lineRule="auto"/>
        <w:tabs>
          <w:tab w:leader="none" w:pos="13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RSU 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86" w:lineRule="exact"/>
        <w:rPr>
          <w:rFonts w:ascii="Arial" w:cs="Arial" w:eastAsia="Arial" w:hAnsi="Arial"/>
          <w:sz w:val="18"/>
          <w:szCs w:val="18"/>
          <w:color w:val="auto"/>
        </w:rPr>
      </w:pPr>
    </w:p>
    <w:p>
      <w:pPr>
        <w:ind w:right="180" w:firstLine="656"/>
        <w:spacing w:after="0" w:line="259" w:lineRule="auto"/>
        <w:tabs>
          <w:tab w:leader="none" w:pos="130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right="20" w:firstLine="8"/>
        <w:spacing w:after="0" w:line="257"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the Award Shares subject to this RSU Award until such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issued pursuant to Section 1 of this Agreement. Notwithstanding the generality of the foregoing, you shall not be entitled to vote any of the Award Shares subject to this RSU Award until such Award Shares have been issued pursuant to Section 1 of this Agreement or receive any dividends declared prior to the issuance of such Award Shares or otherwise exercise any incidents of ownership with respect to such Award Shares until such Award Shares have been issued pursuant to Section 1 of this Agreement.</w:t>
      </w:r>
    </w:p>
    <w:p>
      <w:pPr>
        <w:spacing w:after="0" w:line="188" w:lineRule="exact"/>
        <w:rPr>
          <w:rFonts w:ascii="Arial" w:cs="Arial" w:eastAsia="Arial" w:hAnsi="Arial"/>
          <w:sz w:val="18"/>
          <w:szCs w:val="18"/>
          <w:color w:val="auto"/>
        </w:rPr>
      </w:pPr>
    </w:p>
    <w:p>
      <w:pPr>
        <w:ind w:right="40" w:firstLine="8"/>
        <w:spacing w:after="0" w:line="264"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This RSU Award shall include corresponding dividend equivalent rights in accordance with Article 16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 rights shall be subject to the same vesting requirements and forfeiture provisions as this RSU Award, and shall be settled in the form of Shares at the same time that the vested RSU Award is settled as provided in Section 1 above.</w:t>
      </w:r>
    </w:p>
    <w:p>
      <w:pPr>
        <w:spacing w:after="0" w:line="181" w:lineRule="exact"/>
        <w:rPr>
          <w:rFonts w:ascii="Arial" w:cs="Arial" w:eastAsia="Arial" w:hAnsi="Arial"/>
          <w:sz w:val="18"/>
          <w:szCs w:val="18"/>
          <w:color w:val="auto"/>
        </w:rPr>
      </w:pPr>
    </w:p>
    <w:p>
      <w:pPr>
        <w:ind w:right="240" w:firstLine="8"/>
        <w:spacing w:after="0" w:line="259"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Issuance of Award Shares</w:t>
      </w:r>
      <w:r>
        <w:rPr>
          <w:rFonts w:ascii="Arial" w:cs="Arial" w:eastAsia="Arial" w:hAnsi="Arial"/>
          <w:sz w:val="18"/>
          <w:szCs w:val="18"/>
          <w:color w:val="auto"/>
        </w:rPr>
        <w:t>. As soon as practicable after each date as of which Award Shares subject to this RSU Award become vested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 of this Agreement, Toro shall issue and deliver to you in book-entry or certificate form such number of Award Shares or issue and deposit such number of Award Shares for your benefit with any broker with which you have an account relationship or Toro has engaged to provide such services under the Plan.</w:t>
      </w:r>
    </w:p>
    <w:p>
      <w:pPr>
        <w:spacing w:after="0" w:line="186" w:lineRule="exact"/>
        <w:rPr>
          <w:rFonts w:ascii="Arial" w:cs="Arial" w:eastAsia="Arial" w:hAnsi="Arial"/>
          <w:sz w:val="18"/>
          <w:szCs w:val="18"/>
          <w:color w:val="auto"/>
        </w:rPr>
      </w:pPr>
    </w:p>
    <w:p>
      <w:pPr>
        <w:jc w:val="both"/>
        <w:ind w:firstLine="8"/>
        <w:spacing w:after="0" w:line="255"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 realized by you, during the period beginning one (1) year prior to your termination of employment or service with the Employer, in connection with any</w:t>
      </w:r>
    </w:p>
    <w:p>
      <w:pPr>
        <w:sectPr>
          <w:pgSz w:w="11900" w:h="16865" w:orient="portrait"/>
          <w:cols w:equalWidth="0" w:num="1">
            <w:col w:w="11420"/>
          </w:cols>
          <w:pgMar w:left="240" w:top="364" w:right="239"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Awards granted under the Plan, including this RSU Award, or any Award Shares issued upon the exercise or vesting of any Awards, including this RSU Award. This Section 5 shall not apply following a Change of Control.</w:t>
      </w:r>
    </w:p>
    <w:p>
      <w:pPr>
        <w:spacing w:after="0" w:line="170" w:lineRule="exact"/>
        <w:rPr>
          <w:sz w:val="20"/>
          <w:szCs w:val="20"/>
          <w:color w:val="auto"/>
        </w:rPr>
      </w:pPr>
    </w:p>
    <w:p>
      <w:pPr>
        <w:ind w:firstLine="8"/>
        <w:spacing w:after="0" w:line="264"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RSU Award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In the event of a Change of Control, the provisions of the Plan applicable to a Change of Control will apply to this RSU Award.</w:t>
      </w:r>
    </w:p>
    <w:p>
      <w:pPr>
        <w:spacing w:after="0" w:line="248" w:lineRule="exact"/>
        <w:rPr>
          <w:rFonts w:ascii="Arial" w:cs="Arial" w:eastAsia="Arial" w:hAnsi="Arial"/>
          <w:sz w:val="16"/>
          <w:szCs w:val="16"/>
          <w:color w:val="auto"/>
        </w:rPr>
      </w:pPr>
    </w:p>
    <w:p>
      <w:pPr>
        <w:ind w:right="400" w:firstLine="8"/>
        <w:spacing w:after="0" w:line="277"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Toro shall have the right to refuse to issue to you or transfer Award Shares subject to this RSU Award if Toro acting in its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determines that the issuance or transfer of such Award Shares might violate any applicable law or regulation.</w:t>
      </w:r>
    </w:p>
    <w:p>
      <w:pPr>
        <w:spacing w:after="0" w:line="170" w:lineRule="exact"/>
        <w:rPr>
          <w:rFonts w:ascii="Arial" w:cs="Arial" w:eastAsia="Arial" w:hAnsi="Arial"/>
          <w:sz w:val="18"/>
          <w:szCs w:val="18"/>
          <w:color w:val="auto"/>
        </w:rPr>
      </w:pPr>
    </w:p>
    <w:p>
      <w:pPr>
        <w:ind w:right="80" w:firstLine="8"/>
        <w:spacing w:after="0" w:line="257"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that Toro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are required by law to be withheld with respect to income recognized in connection with this RSU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88" w:lineRule="exact"/>
        <w:rPr>
          <w:rFonts w:ascii="Arial" w:cs="Arial" w:eastAsia="Arial" w:hAnsi="Arial"/>
          <w:sz w:val="18"/>
          <w:szCs w:val="18"/>
          <w:color w:val="auto"/>
        </w:rPr>
      </w:pPr>
    </w:p>
    <w:p>
      <w:pPr>
        <w:ind w:right="220" w:firstLine="8"/>
        <w:spacing w:after="0" w:line="264" w:lineRule="auto"/>
        <w:tabs>
          <w:tab w:leader="none" w:pos="644"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RSU Award, the Award Shares or any rights granted under this RSU Award other than by will or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140" w:firstLine="8"/>
        <w:spacing w:after="0" w:line="264" w:lineRule="auto"/>
        <w:tabs>
          <w:tab w:leader="none" w:pos="637"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RSU Award, nor any related material shall give you the right to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200" w:firstLine="8"/>
        <w:spacing w:after="0" w:line="264" w:lineRule="auto"/>
        <w:tabs>
          <w:tab w:leader="none" w:pos="644"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RSU Award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60" w:firstLine="8"/>
        <w:spacing w:after="0" w:line="264" w:lineRule="auto"/>
        <w:tabs>
          <w:tab w:leader="none" w:pos="644"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RSU Award Acceptance Agreement shall be construed, administered and governed in all respects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and by the applicable laws of the State of Delaware, excluding any conflicts or choice of law rule or principle that might otherwise refer construction or interpretation to the substantive law of another jurisdiction.</w:t>
      </w:r>
    </w:p>
    <w:p>
      <w:pPr>
        <w:spacing w:after="0" w:line="181" w:lineRule="exact"/>
        <w:rPr>
          <w:sz w:val="20"/>
          <w:szCs w:val="20"/>
          <w:color w:val="auto"/>
        </w:rPr>
      </w:pPr>
    </w:p>
    <w:p>
      <w:pPr>
        <w:ind w:right="220" w:firstLine="8"/>
        <w:spacing w:after="0" w:line="277" w:lineRule="auto"/>
        <w:tabs>
          <w:tab w:leader="none" w:pos="639"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RSU Award, you are deemed to submit to the exclusive jurisdiction and venue of the federal or state courts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America to resolve any and all issues that may arise out of or relate to this RSU Award and this Agreement.</w:t>
      </w:r>
    </w:p>
    <w:p>
      <w:pPr>
        <w:spacing w:after="0" w:line="22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40" w:firstLine="8"/>
        <w:spacing w:after="0" w:line="277"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RSU Award Acceptance Agreement are inconsistent with the Plan,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control and supersede any inconsistent provision of this Agreement or the RSU Award Acceptance Agreement.</w:t>
      </w:r>
    </w:p>
    <w:p>
      <w:pPr>
        <w:spacing w:after="0" w:line="170" w:lineRule="exact"/>
        <w:rPr>
          <w:rFonts w:ascii="Arial" w:cs="Arial" w:eastAsia="Arial" w:hAnsi="Arial"/>
          <w:sz w:val="18"/>
          <w:szCs w:val="18"/>
          <w:color w:val="auto"/>
        </w:rPr>
      </w:pPr>
    </w:p>
    <w:p>
      <w:pPr>
        <w:ind w:right="220" w:firstLine="8"/>
        <w:spacing w:after="0" w:line="342" w:lineRule="auto"/>
        <w:tabs>
          <w:tab w:leader="none" w:pos="644"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Agreement and the RSU Award Acceptance Agreement are not negotiable, but you may refuse to accept</w:t>
      </w:r>
      <w:r>
        <w:rPr>
          <w:rFonts w:ascii="Arial" w:cs="Arial" w:eastAsia="Arial" w:hAnsi="Arial"/>
          <w:sz w:val="16"/>
          <w:szCs w:val="16"/>
          <w:i w:val="1"/>
          <w:iCs w:val="1"/>
          <w:color w:val="auto"/>
        </w:rPr>
        <w:t xml:space="preserve"> </w:t>
      </w:r>
      <w:r>
        <w:rPr>
          <w:rFonts w:ascii="Arial" w:cs="Arial" w:eastAsia="Arial" w:hAnsi="Arial"/>
          <w:sz w:val="16"/>
          <w:szCs w:val="16"/>
          <w:color w:val="auto"/>
        </w:rPr>
        <w:t>this RSU Award by notifying Toro’s Vice President, Secretary and General Counsel or Managing Director, HR &amp; Total Rewards, as applicable, in 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RSU Award Acceptance Agreement.</w:t>
      </w:r>
    </w:p>
    <w:p>
      <w:pPr>
        <w:spacing w:after="0" w:line="387" w:lineRule="exact"/>
        <w:rPr>
          <w:sz w:val="20"/>
          <w:szCs w:val="20"/>
          <w:color w:val="auto"/>
        </w:rPr>
      </w:pPr>
    </w:p>
    <w:p>
      <w:pPr>
        <w:spacing w:after="0"/>
        <w:tabs>
          <w:tab w:leader="none" w:pos="62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 ]</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RSU AWARD ACCEPTANCE AGREEMENT</w:t>
      </w:r>
    </w:p>
    <w:p>
      <w:pPr>
        <w:sectPr>
          <w:pgSz w:w="11900" w:h="16838" w:orient="portrait"/>
          <w:cols w:equalWidth="0" w:num="1">
            <w:col w:w="11420"/>
          </w:cols>
          <w:pgMar w:left="240" w:top="341" w:right="239" w:bottom="0" w:gutter="0" w:footer="0" w:header="0"/>
        </w:sectPr>
      </w:pPr>
    </w:p>
    <w:bookmarkStart w:id="100" w:name="page101"/>
    <w:bookmarkEnd w:id="100"/>
    <w:p>
      <w:pPr>
        <w:ind w:right="600" w:firstLine="648"/>
        <w:spacing w:after="0" w:line="277" w:lineRule="auto"/>
        <w:rPr>
          <w:sz w:val="20"/>
          <w:szCs w:val="20"/>
          <w:color w:val="auto"/>
        </w:rPr>
      </w:pPr>
      <w:r>
        <w:rPr>
          <w:rFonts w:ascii="Arial" w:cs="Arial" w:eastAsia="Arial" w:hAnsi="Arial"/>
          <w:sz w:val="18"/>
          <w:szCs w:val="18"/>
          <w:color w:val="auto"/>
        </w:rPr>
        <w:t>I hereby agree to the terms and conditions governing the RSU Award as set forth in the RSU Award Agreement, this RSU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RSU Award, I hereby acknowledge that:</w:t>
      </w:r>
    </w:p>
    <w:p>
      <w:pPr>
        <w:spacing w:after="0" w:line="225" w:lineRule="exact"/>
        <w:rPr>
          <w:sz w:val="20"/>
          <w:szCs w:val="20"/>
          <w:color w:val="auto"/>
        </w:rPr>
      </w:pPr>
    </w:p>
    <w:p>
      <w:pPr>
        <w:ind w:right="100" w:firstLine="656"/>
        <w:spacing w:after="0" w:line="277" w:lineRule="auto"/>
        <w:tabs>
          <w:tab w:leader="none" w:pos="129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RSU Award Agreement or this RSU Award Acceptance Agreement;</w:t>
      </w:r>
    </w:p>
    <w:p>
      <w:pPr>
        <w:spacing w:after="0" w:line="170" w:lineRule="exact"/>
        <w:rPr>
          <w:rFonts w:ascii="Arial" w:cs="Arial" w:eastAsia="Arial" w:hAnsi="Arial"/>
          <w:sz w:val="18"/>
          <w:szCs w:val="18"/>
          <w:color w:val="auto"/>
        </w:rPr>
      </w:pPr>
    </w:p>
    <w:p>
      <w:pPr>
        <w:ind w:firstLine="656"/>
        <w:spacing w:after="0" w:line="277"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grant of the RSU Award is voluntary and occasional and does not create any contractual or other right to receive future RSU Awards, or benefits in lieu of RSU Awards, even if RSU Awards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decisions with respect to future RSU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80" w:firstLine="656"/>
        <w:spacing w:after="0" w:line="277" w:lineRule="auto"/>
        <w:tabs>
          <w:tab w:leader="none" w:pos="1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RSU Award is an extraordinary item that does not constitute compensation of any kind for services of any kind rendered to Toro or the Employer, and which is outside the scope of my employment contract, if any;</w:t>
      </w:r>
    </w:p>
    <w:p>
      <w:pPr>
        <w:spacing w:after="0" w:line="170" w:lineRule="exact"/>
        <w:rPr>
          <w:rFonts w:ascii="Arial" w:cs="Arial" w:eastAsia="Arial" w:hAnsi="Arial"/>
          <w:sz w:val="18"/>
          <w:szCs w:val="18"/>
          <w:color w:val="auto"/>
        </w:rPr>
      </w:pPr>
    </w:p>
    <w:p>
      <w:pPr>
        <w:jc w:val="both"/>
        <w:ind w:right="220" w:firstLine="656"/>
        <w:spacing w:after="0" w:line="286" w:lineRule="auto"/>
        <w:tabs>
          <w:tab w:leader="none" w:pos="13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RSU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65" w:lineRule="exact"/>
        <w:rPr>
          <w:rFonts w:ascii="Arial" w:cs="Arial" w:eastAsia="Arial" w:hAnsi="Arial"/>
          <w:sz w:val="17"/>
          <w:szCs w:val="17"/>
          <w:color w:val="auto"/>
        </w:rPr>
      </w:pPr>
    </w:p>
    <w:p>
      <w:pPr>
        <w:ind w:right="380" w:firstLine="656"/>
        <w:spacing w:after="0" w:line="277" w:lineRule="auto"/>
        <w:tabs>
          <w:tab w:leader="none" w:pos="13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I am not an employee of Toro, the RSU Award will not be interpreted to form an employment contract or relationship with Toro; and furthermore, the RSU Award will not be interpreted to form an employment contract with Toro;</w:t>
      </w:r>
    </w:p>
    <w:p>
      <w:pPr>
        <w:spacing w:after="0" w:line="170" w:lineRule="exact"/>
        <w:rPr>
          <w:rFonts w:ascii="Arial" w:cs="Arial" w:eastAsia="Arial" w:hAnsi="Arial"/>
          <w:sz w:val="18"/>
          <w:szCs w:val="18"/>
          <w:color w:val="auto"/>
        </w:rPr>
      </w:pPr>
    </w:p>
    <w:p>
      <w:pPr>
        <w:ind w:right="180" w:firstLine="656"/>
        <w:spacing w:after="0" w:line="264"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future value of the Award Shares subject to the RSU Award is unknown and cannot be predicted with certainty and if the RSU Award vests and the Award Shares become issuable in accordance with the terms of the RSU Award Agreement and this RSU Award Acceptance Agreement, the value of those Award Shares may increase or decrease;</w:t>
      </w:r>
    </w:p>
    <w:p>
      <w:pPr>
        <w:spacing w:after="0" w:line="181" w:lineRule="exact"/>
        <w:rPr>
          <w:rFonts w:ascii="Arial" w:cs="Arial" w:eastAsia="Arial" w:hAnsi="Arial"/>
          <w:sz w:val="18"/>
          <w:szCs w:val="18"/>
          <w:color w:val="auto"/>
        </w:rPr>
      </w:pPr>
    </w:p>
    <w:p>
      <w:pPr>
        <w:ind w:right="200" w:firstLine="656"/>
        <w:spacing w:after="0" w:line="279" w:lineRule="auto"/>
        <w:tabs>
          <w:tab w:leader="none" w:pos="131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consideration of the grant of the RSU Award, no claim or entitlement to compensation or damages shall arise from termination of the RSU Award or diminution in value of the RSU Award or Award Shares acquired upon vesting of the RSU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claim is found by a court of competent jurisdiction to have arisen, then, by acceptance of the RSU Award, I shall be deemed irrevocably to have waived my entitlement to pursue such claim;</w:t>
      </w:r>
    </w:p>
    <w:p>
      <w:pPr>
        <w:spacing w:after="0" w:line="170" w:lineRule="exact"/>
        <w:rPr>
          <w:sz w:val="20"/>
          <w:szCs w:val="20"/>
          <w:color w:val="auto"/>
        </w:rPr>
      </w:pPr>
    </w:p>
    <w:p>
      <w:pPr>
        <w:ind w:right="140" w:firstLine="656"/>
        <w:spacing w:after="0" w:line="271" w:lineRule="auto"/>
        <w:tabs>
          <w:tab w:leader="none" w:pos="130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event of termination of my employment or other service (whether or not in breach of local labor laws), my right to receive the RSU Grant and vest in the RSU Grant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RSU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RSU Award;</w:t>
      </w:r>
    </w:p>
    <w:p>
      <w:pPr>
        <w:spacing w:after="0" w:line="178" w:lineRule="exact"/>
        <w:rPr>
          <w:rFonts w:ascii="Arial" w:cs="Arial" w:eastAsia="Arial" w:hAnsi="Arial"/>
          <w:sz w:val="17"/>
          <w:szCs w:val="17"/>
          <w:color w:val="auto"/>
        </w:rPr>
      </w:pPr>
    </w:p>
    <w:p>
      <w:pPr>
        <w:ind w:right="120" w:firstLine="656"/>
        <w:spacing w:after="0" w:line="264"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my acceptance of the RSU Award, my acquisition of the Award Shares upon vesting of the RSU Award or any sale of the Award Shares; and</w:t>
      </w:r>
    </w:p>
    <w:p>
      <w:pPr>
        <w:spacing w:after="0" w:line="181" w:lineRule="exact"/>
        <w:rPr>
          <w:rFonts w:ascii="Arial" w:cs="Arial" w:eastAsia="Arial" w:hAnsi="Arial"/>
          <w:sz w:val="18"/>
          <w:szCs w:val="18"/>
          <w:color w:val="auto"/>
        </w:rPr>
      </w:pPr>
    </w:p>
    <w:p>
      <w:pPr>
        <w:ind w:right="160" w:firstLine="656"/>
        <w:spacing w:after="0" w:line="277" w:lineRule="auto"/>
        <w:tabs>
          <w:tab w:leader="none" w:pos="13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RSU Award on the terms stated in the RSU Award Agreement or this RSU Award Acceptance Agreement, please immediately contact Toro’s Vice President, Secretary and General Counsel or Managing Director, HR &amp; Total Rewards, as applicable, to decline the grant.</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Report of Independent Registered Public Accounting Firm)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10/31/2014</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256,445,000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226,713,000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196,262,000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174,826,000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141,268,000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Plus: Fixed charges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23,535,622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24,343,024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24,294,555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24,249,868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available to cover fixed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charges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279,980,622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251,056,024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220,556,555</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199,075,868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164,847,921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11.90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15,426,000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16,906,000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16,970,000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8,109,622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8,133,024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7,279,868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23,535,622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24,343,024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24,294,555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24,249,868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ind w:left="94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40" w:type="dxa"/>
            <w:vAlign w:val="bottom"/>
            <w:gridSpan w:val="4"/>
          </w:tcPr>
          <w:p>
            <w:pPr>
              <w:jc w:val="center"/>
              <w:ind w:right="1680"/>
              <w:spacing w:after="0"/>
              <w:rPr>
                <w:sz w:val="20"/>
                <w:szCs w:val="20"/>
                <w:color w:val="auto"/>
              </w:rPr>
            </w:pPr>
            <w:r>
              <w:rPr>
                <w:rFonts w:ascii="Arial" w:cs="Arial" w:eastAsia="Arial" w:hAnsi="Arial"/>
                <w:sz w:val="18"/>
                <w:szCs w:val="18"/>
                <w:b w:val="1"/>
                <w:bCs w:val="1"/>
                <w:color w:val="auto"/>
              </w:rPr>
              <w:t>THE TORO COMPANY AND SUBSIDIARIES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840" w:type="dxa"/>
            <w:vAlign w:val="bottom"/>
            <w:gridSpan w:val="4"/>
          </w:tcPr>
          <w:p>
            <w:pPr>
              <w:jc w:val="center"/>
              <w:ind w:right="1700"/>
              <w:spacing w:after="0"/>
              <w:rPr>
                <w:sz w:val="20"/>
                <w:szCs w:val="20"/>
                <w:color w:val="auto"/>
              </w:rPr>
            </w:pPr>
            <w:r>
              <w:rPr>
                <w:rFonts w:ascii="Arial" w:cs="Arial" w:eastAsia="Arial" w:hAnsi="Arial"/>
                <w:sz w:val="18"/>
                <w:szCs w:val="18"/>
                <w:b w:val="1"/>
                <w:bCs w:val="1"/>
                <w:color w:val="auto"/>
                <w:w w:val="88"/>
              </w:rPr>
              <w:t>Subsidiaries of Registrant</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6"/>
          </w:tcPr>
          <w:p>
            <w:pPr>
              <w:spacing w:after="0"/>
              <w:rPr>
                <w:sz w:val="20"/>
                <w:szCs w:val="20"/>
                <w:color w:val="auto"/>
              </w:rPr>
            </w:pPr>
            <w:r>
              <w:rPr>
                <w:rFonts w:ascii="Arial" w:cs="Arial" w:eastAsia="Arial" w:hAnsi="Arial"/>
                <w:sz w:val="18"/>
                <w:szCs w:val="18"/>
                <w:color w:val="auto"/>
              </w:rPr>
              <w:t>The following are significant subsidiaries of The Toro Company as of December 12, 2014.</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State or Other Jurisdiction</w:t>
            </w:r>
          </w:p>
        </w:tc>
        <w:tc>
          <w:tcPr>
            <w:tcW w:w="1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Percentage of Voting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of Incorporation</w:t>
            </w:r>
          </w:p>
        </w:tc>
        <w:tc>
          <w:tcPr>
            <w:tcW w:w="1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Securities 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7"/>
              </w:rPr>
              <w:t>Exmark Manufacturing Company Incorporated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Nebraska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Holdings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Holiman Co. Inc.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Pennsylvania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Productions S.r.l.</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Rain Master Irrigation Systems, Inc.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California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Holding Corporation</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Bermuda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ShopToro Company</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(Asia) Pte. Ltd.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Singapore</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(China) Irrigation Equipment Co., Ltd.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People’s Republic of China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Toro Company de Mexico, S. de R.L. de C.V.</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Mexico</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Belgium</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Guernsey</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Switzerland</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Gibraltar</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Global Services Company</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Luxembourg S.à.r.l.</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Luxembourg</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and Sales, S.R.L.</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Romania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Principal Manufacturing Limited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England</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24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8420" w:val="left"/>
          <w:tab w:leader="none" w:pos="10940" w:val="left"/>
        </w:tabs>
        <w:rPr>
          <w:sz w:val="20"/>
          <w:szCs w:val="20"/>
          <w:color w:val="auto"/>
        </w:rPr>
      </w:pPr>
      <w:r>
        <w:rPr>
          <w:rFonts w:ascii="Arial" w:cs="Arial" w:eastAsia="Arial" w:hAnsi="Arial"/>
          <w:sz w:val="18"/>
          <w:szCs w:val="18"/>
          <w:color w:val="auto"/>
        </w:rPr>
        <w:t>Toro Purchasing Company</w:t>
      </w:r>
      <w:r>
        <w:rPr>
          <w:sz w:val="20"/>
          <w:szCs w:val="20"/>
          <w:color w:val="auto"/>
        </w:rPr>
        <w:tab/>
      </w:r>
      <w:r>
        <w:rPr>
          <w:rFonts w:ascii="Arial" w:cs="Arial" w:eastAsia="Arial" w:hAnsi="Arial"/>
          <w:sz w:val="18"/>
          <w:szCs w:val="18"/>
          <w:color w:val="auto"/>
        </w:rPr>
        <w:t>Minnesota</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04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Toro R&amp;D Company</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Minnesota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Minnesota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Toro Warranty Company</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Minnesota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Netherlands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I C.V.</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Netherlands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New Brunswick, Canada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Western Equipment Distributors, Inc.</w:t>
            </w:r>
          </w:p>
        </w:tc>
        <w:tc>
          <w:tcPr>
            <w:tcW w:w="5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Minnesota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incorporation by reference in the Registration Statement No. 333-142282 on Form S-3 and in Registration Statements (Nos. 333-03505, 333-44879, 333-36166, 333-47260, 333-57198, 333-89260, 333-89262, 333-135033, 333-119504, 333-119506, 333-151086, 333-159767, 333-39052, 033-59563, 333-11860, 333-100004, 333-87461 and 333-165582) on Form S-8 of The Toro Company of our report dated December 22, 2014, related to the consolidated balance sheets of The Toro Company and subsidiaries as of October 31, 2014 and 2013, and the related consolidated statements of earnings, comprehensive income, cash flows, and stockholders’ equity and related financial statement schedule for each of the years in the three year period ended October 31, 2014, and the effectiveness of internal control over financial reporting as of October 31, 2014, which report is included in the Annual Report on Form 10-K of The Toro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ended October 31, 2014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o"/>
      <w:numFmt w:val="bullet"/>
      <w:start w:val="1"/>
    </w:lvl>
  </w:abstractNum>
  <w:abstractNum w:abstractNumId="2">
    <w:nsid w:val="5FF87E05"/>
    <w:multiLevelType w:val="hybridMultilevel"/>
    <w:lvl w:ilvl="0">
      <w:lvlJc w:val="left"/>
      <w:lvlText w:val="(%1)"/>
      <w:numFmt w:val="decimal"/>
      <w:start w:val="952"/>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1"/>
      <w:numFmt w:val="bullet"/>
      <w:start w:val="1"/>
    </w:lvl>
  </w:abstractNum>
  <w:abstractNum w:abstractNumId="13">
    <w:nsid w:val="5F5E7FD0"/>
    <w:multiLevelType w:val="hybridMultilevel"/>
    <w:lvl w:ilvl="0">
      <w:lvlJc w:val="left"/>
      <w:lvlText w:val="1"/>
      <w:numFmt w:val="bullet"/>
      <w:start w:val="1"/>
    </w:lvl>
  </w:abstractNum>
  <w:abstractNum w:abstractNumId="14">
    <w:nsid w:val="98A3148"/>
    <w:multiLevelType w:val="hybridMultilevel"/>
    <w:lvl w:ilvl="0">
      <w:lvlJc w:val="left"/>
      <w:lvlText w:val="1"/>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bullet"/>
      <w:start w:val="1"/>
    </w:lvl>
  </w:abstractNum>
  <w:abstractNum w:abstractNumId="41">
    <w:nsid w:val="100F59DC"/>
    <w:multiLevelType w:val="hybridMultilevel"/>
    <w:lvl w:ilvl="0">
      <w:lvlJc w:val="left"/>
      <w:lvlText w:val="1"/>
      <w:numFmt w:val="bullet"/>
      <w:start w:val="1"/>
    </w:lvl>
  </w:abstractNum>
  <w:abstractNum w:abstractNumId="42">
    <w:nsid w:val="7FB7E0AA"/>
    <w:multiLevelType w:val="hybridMultilevel"/>
    <w:lvl w:ilvl="0">
      <w:lvlJc w:val="left"/>
      <w:lvlText w:val="2"/>
      <w:numFmt w:val="bullet"/>
      <w:start w:val="1"/>
    </w:lvl>
  </w:abstractNum>
  <w:abstractNum w:abstractNumId="43">
    <w:nsid w:val="6EB5BD4"/>
    <w:multiLevelType w:val="hybridMultilevel"/>
    <w:lvl w:ilvl="0">
      <w:lvlJc w:val="left"/>
      <w:lvlText w:val="3"/>
      <w:numFmt w:val="bullet"/>
      <w:start w:val="1"/>
    </w:lvl>
  </w:abstractNum>
  <w:abstractNum w:abstractNumId="44">
    <w:nsid w:val="6F6DD9AC"/>
    <w:multiLevelType w:val="hybridMultilevel"/>
    <w:lvl w:ilvl="0">
      <w:lvlJc w:val="left"/>
      <w:lvlText w:val="4"/>
      <w:numFmt w:val="bullet"/>
      <w:start w:val="1"/>
    </w:lvl>
  </w:abstractNum>
  <w:abstractNum w:abstractNumId="45">
    <w:nsid w:val="94211F2"/>
    <w:multiLevelType w:val="hybridMultilevel"/>
    <w:lvl w:ilvl="0">
      <w:lvlJc w:val="left"/>
      <w:lvlText w:val="6"/>
      <w:numFmt w:val="bullet"/>
      <w:start w:val="1"/>
    </w:lvl>
  </w:abstractNum>
  <w:abstractNum w:abstractNumId="46">
    <w:nsid w:val="885E1B"/>
    <w:multiLevelType w:val="hybridMultilevel"/>
    <w:lvl w:ilvl="0">
      <w:lvlJc w:val="left"/>
      <w:lvlText w:val="7"/>
      <w:numFmt w:val="bullet"/>
      <w:start w:val="1"/>
    </w:lvl>
  </w:abstractNum>
  <w:abstractNum w:abstractNumId="47">
    <w:nsid w:val="76272110"/>
    <w:multiLevelType w:val="hybridMultilevel"/>
    <w:lvl w:ilvl="0">
      <w:lvlJc w:val="left"/>
      <w:lvlText w:val="8"/>
      <w:numFmt w:val="bullet"/>
      <w:start w:val="1"/>
    </w:lvl>
  </w:abstractNum>
  <w:abstractNum w:abstractNumId="48">
    <w:nsid w:val="4C04A8AF"/>
    <w:multiLevelType w:val="hybridMultilevel"/>
    <w:lvl w:ilvl="0">
      <w:lvlJc w:val="left"/>
      <w:lvlText w:val="9"/>
      <w:numFmt w:val="bullet"/>
      <w:start w:val="1"/>
    </w:lvl>
  </w:abstractNum>
  <w:abstractNum w:abstractNumId="49">
    <w:nsid w:val="1716703B"/>
    <w:multiLevelType w:val="hybridMultilevel"/>
    <w:lvl w:ilvl="0">
      <w:lvlJc w:val="left"/>
      <w:lvlText w:val="1"/>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1"/>
      <w:numFmt w:val="decimal"/>
      <w:start w:val="12"/>
    </w:lvl>
  </w:abstractNum>
  <w:abstractNum w:abstractNumId="53">
    <w:nsid w:val="68EBC550"/>
    <w:multiLevelType w:val="hybridMultilevel"/>
    <w:lvl w:ilvl="0">
      <w:lvlJc w:val="left"/>
      <w:lvlText w:val="%1"/>
      <w:numFmt w:val="decimal"/>
      <w:start w:val="21"/>
    </w:lvl>
  </w:abstractNum>
  <w:abstractNum w:abstractNumId="54">
    <w:nsid w:val="2DF6D648"/>
    <w:multiLevelType w:val="hybridMultilevel"/>
    <w:lvl w:ilvl="0">
      <w:lvlJc w:val="left"/>
      <w:lvlText w:val="%1"/>
      <w:numFmt w:val="decimal"/>
      <w:start w:val="23"/>
    </w:lvl>
  </w:abstractNum>
  <w:abstractNum w:abstractNumId="55">
    <w:nsid w:val="46B7D447"/>
    <w:multiLevelType w:val="hybridMultilevel"/>
    <w:lvl w:ilvl="0">
      <w:lvlJc w:val="left"/>
      <w:lvlText w:val="%1"/>
      <w:numFmt w:val="decimal"/>
      <w:start w:val="32"/>
    </w:lvl>
  </w:abstractNum>
  <w:abstractNum w:abstractNumId="56">
    <w:nsid w:val="4A2AC315"/>
    <w:multiLevelType w:val="hybridMultilevel"/>
    <w:lvl w:ilvl="0">
      <w:lvlJc w:val="left"/>
      <w:lvlText w:val="%1"/>
      <w:numFmt w:val="decimal"/>
      <w:start w:val="10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1."/>
      <w:numFmt w:val="decimal"/>
      <w:start w:val="2"/>
    </w:lvl>
  </w:abstractNum>
  <w:abstractNum w:abstractNumId="62">
    <w:nsid w:val="26F324BA"/>
    <w:multiLevelType w:val="hybridMultilevel"/>
    <w:lvl w:ilvl="0">
      <w:lvlJc w:val="left"/>
      <w:lvlText w:val="%1."/>
      <w:numFmt w:val="decimal"/>
      <w:start w:val="3"/>
    </w:lvl>
  </w:abstractNum>
  <w:abstractNum w:abstractNumId="63">
    <w:nsid w:val="7F01579B"/>
    <w:multiLevelType w:val="hybridMultilevel"/>
    <w:lvl w:ilvl="0">
      <w:lvlJc w:val="left"/>
      <w:lvlText w:val="%1."/>
      <w:numFmt w:val="decimal"/>
      <w:start w:val="2"/>
    </w:lvl>
    <w:lvl w:ilvl="1">
      <w:lvlJc w:val="left"/>
      <w:lvlText w:val="(%2)"/>
      <w:numFmt w:val="lowerLetter"/>
      <w:start w:val="1"/>
    </w:lvl>
  </w:abstractNum>
  <w:abstractNum w:abstractNumId="64">
    <w:nsid w:val="49DA307D"/>
    <w:multiLevelType w:val="hybridMultilevel"/>
    <w:lvl w:ilvl="0">
      <w:lvlJc w:val="left"/>
      <w:lvlText w:val="%1."/>
      <w:numFmt w:val="decimal"/>
      <w:start w:val="4"/>
    </w:lvl>
  </w:abstractNum>
  <w:abstractNum w:abstractNumId="65">
    <w:nsid w:val="7055A5F5"/>
    <w:multiLevelType w:val="hybridMultilevel"/>
    <w:lvl w:ilvl="0">
      <w:lvlJc w:val="left"/>
      <w:lvlText w:val="%1."/>
      <w:numFmt w:val="decimal"/>
      <w:start w:val="8"/>
    </w:lvl>
  </w:abstractNum>
  <w:abstractNum w:abstractNumId="66">
    <w:nsid w:val="5FB8370B"/>
    <w:multiLevelType w:val="hybridMultilevel"/>
    <w:lvl w:ilvl="0">
      <w:lvlJc w:val="left"/>
      <w:lvlText w:val="%1."/>
      <w:numFmt w:val="decimal"/>
      <w:start w:val="14"/>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6"/>
    </w:lvl>
  </w:abstractNum>
  <w:abstractNum w:abstractNumId="69">
    <w:nsid w:val="5FB8011C"/>
    <w:multiLevelType w:val="hybridMultilevel"/>
    <w:lvl w:ilvl="0">
      <w:lvlJc w:val="left"/>
      <w:lvlText w:val="(%1)"/>
      <w:numFmt w:val="lowerLetter"/>
      <w:start w:val="8"/>
    </w:lvl>
  </w:abstractNum>
  <w:abstractNum w:abstractNumId="70">
    <w:nsid w:val="6AA78F7F"/>
    <w:multiLevelType w:val="hybridMultilevel"/>
    <w:lvl w:ilvl="0">
      <w:lvlJc w:val="left"/>
      <w:lvlText w:val="%1."/>
      <w:numFmt w:val="decimal"/>
      <w:start w:val="2"/>
    </w:lvl>
  </w:abstractNum>
  <w:abstractNum w:abstractNumId="71">
    <w:nsid w:val="7672BD23"/>
    <w:multiLevelType w:val="hybridMultilevel"/>
    <w:lvl w:ilvl="0">
      <w:lvlJc w:val="left"/>
      <w:lvlText w:val="%1."/>
      <w:numFmt w:val="decimal"/>
      <w:start w:val="3"/>
    </w:lvl>
    <w:lvl w:ilvl="1">
      <w:lvlJc w:val="left"/>
      <w:lvlText w:val="(%2)"/>
      <w:numFmt w:val="lowerLetter"/>
      <w:start w:val="1"/>
    </w:lvl>
  </w:abstractNum>
  <w:abstractNum w:abstractNumId="72">
    <w:nsid w:val="6FC75AF8"/>
    <w:multiLevelType w:val="hybridMultilevel"/>
    <w:lvl w:ilvl="0">
      <w:lvlJc w:val="left"/>
      <w:lvlText w:val="%1"/>
      <w:numFmt w:val="decimal"/>
      <w:start w:val="1"/>
    </w:lvl>
    <w:lvl w:ilvl="1">
      <w:lvlJc w:val="left"/>
      <w:lvlText w:val="(%2)"/>
      <w:numFmt w:val="lowerLetter"/>
      <w:start w:val="4"/>
    </w:lvl>
  </w:abstractNum>
  <w:abstractNum w:abstractNumId="73">
    <w:nsid w:val="6A5F7029"/>
    <w:multiLevelType w:val="hybridMultilevel"/>
    <w:lvl w:ilvl="0">
      <w:lvlJc w:val="left"/>
      <w:lvlText w:val="%1."/>
      <w:numFmt w:val="decimal"/>
      <w:start w:val="4"/>
    </w:lvl>
    <w:lvl w:ilvl="1">
      <w:lvlJc w:val="left"/>
      <w:lvlText w:val="%2"/>
      <w:numFmt w:val="lowerLetter"/>
      <w:start w:val="1"/>
    </w:lvl>
  </w:abstractNum>
  <w:abstractNum w:abstractNumId="74">
    <w:nsid w:val="7D5E18F8"/>
    <w:multiLevelType w:val="hybridMultilevel"/>
    <w:lvl w:ilvl="0">
      <w:lvlJc w:val="left"/>
      <w:lvlText w:val="%1."/>
      <w:numFmt w:val="decimal"/>
      <w:start w:val="9"/>
    </w:lvl>
  </w:abstractNum>
  <w:abstractNum w:abstractNumId="75">
    <w:nsid w:val="5F3534A4"/>
    <w:multiLevelType w:val="hybridMultilevel"/>
    <w:lvl w:ilvl="0">
      <w:lvlJc w:val="left"/>
      <w:lvlText w:val="%1."/>
      <w:numFmt w:val="decimal"/>
      <w:start w:val="11"/>
    </w:lvl>
  </w:abstractNum>
  <w:abstractNum w:abstractNumId="76">
    <w:nsid w:val="73A1821B"/>
    <w:multiLevelType w:val="hybridMultilevel"/>
    <w:lvl w:ilvl="0">
      <w:lvlJc w:val="left"/>
      <w:lvlText w:val="%1."/>
      <w:numFmt w:val="decimal"/>
      <w:start w:val="15"/>
    </w:lvl>
  </w:abstractNum>
  <w:abstractNum w:abstractNumId="77">
    <w:nsid w:val="7DE67713"/>
    <w:multiLevelType w:val="hybridMultilevel"/>
    <w:lvl w:ilvl="0">
      <w:lvlJc w:val="left"/>
      <w:lvlText w:val="(%1)"/>
      <w:numFmt w:val="lowerLetter"/>
      <w:start w:val="1"/>
    </w:lvl>
  </w:abstractNum>
  <w:abstractNum w:abstractNumId="78">
    <w:nsid w:val="555C55B5"/>
    <w:multiLevelType w:val="hybridMultilevel"/>
    <w:lvl w:ilvl="0">
      <w:lvlJc w:val="left"/>
      <w:lvlText w:val="(%1)"/>
      <w:numFmt w:val="lowerLetter"/>
      <w:start w:val="9"/>
    </w:lvl>
    <w:lvl w:ilvl="1">
      <w:lvlJc w:val="left"/>
      <w:lvlText w:val="(%2)"/>
      <w:numFmt w:val="lowerLetter"/>
      <w:start w:val="10"/>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1."/>
      <w:numFmt w:val="decimal"/>
      <w:start w:val="3"/>
    </w:lvl>
    <w:lvl w:ilvl="1">
      <w:lvlJc w:val="left"/>
      <w:lvlText w:val="%2"/>
      <w:numFmt w:val="lowerLetter"/>
      <w:start w:val="1"/>
    </w:lvl>
  </w:abstractNum>
  <w:abstractNum w:abstractNumId="81">
    <w:nsid w:val="6A3DD3E8"/>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2">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3">
    <w:nsid w:val="9DAF6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4">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5">
    <w:nsid w:val="1FBFE8E0"/>
    <w:multiLevelType w:val="hybridMultilevel"/>
    <w:lvl w:ilvl="0">
      <w:lvlJc w:val="left"/>
      <w:lvlText w:val="%1."/>
      <w:numFmt w:val="decimal"/>
      <w:start w:val="5"/>
    </w:lvl>
    <w:lvl w:ilvl="1">
      <w:lvlJc w:val="left"/>
      <w:lvlText w:val="%2."/>
      <w:numFmt w:val="lowerLetter"/>
      <w:start w:val="1"/>
    </w:lvl>
  </w:abstractNum>
  <w:abstractNum w:abstractNumId="86">
    <w:nsid w:val="5092CA79"/>
    <w:multiLevelType w:val="hybridMultilevel"/>
    <w:lvl w:ilvl="0">
      <w:lvlJc w:val="left"/>
      <w:lvlText w:val="%1."/>
      <w:numFmt w:val="decimal"/>
      <w:start w:val="9"/>
    </w:lvl>
  </w:abstractNum>
  <w:abstractNum w:abstractNumId="87">
    <w:nsid w:val="1D545C4D"/>
    <w:multiLevelType w:val="hybridMultilevel"/>
    <w:lvl w:ilvl="0">
      <w:lvlJc w:val="left"/>
      <w:lvlText w:val="%1."/>
      <w:numFmt w:val="decimal"/>
      <w:start w:val="15"/>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9"/>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1."/>
      <w:numFmt w:val="decimal"/>
      <w:start w:val="2"/>
    </w:lvl>
    <w:lvl w:ilvl="1">
      <w:lvlJc w:val="left"/>
      <w:lvlText w:val="%2"/>
      <w:numFmt w:val="lowerLetter"/>
      <w:start w:val="1"/>
    </w:lvl>
  </w:abstractNum>
  <w:abstractNum w:abstractNumId="94">
    <w:nsid w:val="1CA0C5FA"/>
    <w:multiLevelType w:val="hybridMultilevel"/>
    <w:lvl w:ilvl="0">
      <w:lvlJc w:val="left"/>
      <w:lvlText w:val="%1."/>
      <w:numFmt w:val="lowerLetter"/>
      <w:start w:val="2"/>
    </w:lvl>
    <w:lvl w:ilvl="1">
      <w:lvlJc w:val="left"/>
      <w:lvlText w:val="%2."/>
      <w:numFmt w:val="lowerRoman"/>
      <w:start w:val="1"/>
    </w:lvl>
  </w:abstractNum>
  <w:abstractNum w:abstractNumId="95">
    <w:nsid w:val="53584BCB"/>
    <w:multiLevelType w:val="hybridMultilevel"/>
    <w:lvl w:ilvl="0">
      <w:lvlJc w:val="left"/>
      <w:lvlText w:val="%1."/>
      <w:numFmt w:val="lowerRoman"/>
      <w:start w:val="3"/>
    </w:lvl>
  </w:abstractNum>
  <w:abstractNum w:abstractNumId="96">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97">
    <w:nsid w:val="7C58FD0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8">
    <w:nsid w:val="23D86AAC"/>
    <w:multiLevelType w:val="hybridMultilevel"/>
    <w:lvl w:ilvl="0">
      <w:lvlJc w:val="left"/>
      <w:lvlText w:val="%1"/>
      <w:numFmt w:val="decimal"/>
      <w:start w:val="1"/>
    </w:lvl>
    <w:lvl w:ilvl="1">
      <w:lvlJc w:val="left"/>
      <w:lvlText w:val="%2."/>
      <w:numFmt w:val="lowerLetter"/>
      <w:start w:val="3"/>
    </w:lvl>
  </w:abstractNum>
  <w:abstractNum w:abstractNumId="99">
    <w:nsid w:val="45E6D486"/>
    <w:multiLevelType w:val="hybridMultilevel"/>
    <w:lvl w:ilvl="0">
      <w:lvlJc w:val="left"/>
      <w:lvlText w:val="%1."/>
      <w:numFmt w:val="decimal"/>
      <w:start w:val="6"/>
    </w:lvl>
    <w:lvl w:ilvl="1">
      <w:lvlJc w:val="left"/>
      <w:lvlText w:val="%2"/>
      <w:numFmt w:val="lowerLetter"/>
      <w:start w:val="1"/>
    </w:lvl>
  </w:abstractNum>
  <w:abstractNum w:abstractNumId="100">
    <w:nsid w:val="5C10FE21"/>
    <w:multiLevelType w:val="hybridMultilevel"/>
    <w:lvl w:ilvl="0">
      <w:lvlJc w:val="left"/>
      <w:lvlText w:val="%1."/>
      <w:numFmt w:val="decimal"/>
      <w:start w:val="11"/>
    </w:lvl>
  </w:abstractNum>
  <w:abstractNum w:abstractNumId="101">
    <w:nsid w:val="E7FFA2B"/>
    <w:multiLevelType w:val="hybridMultilevel"/>
    <w:lvl w:ilvl="0">
      <w:lvlJc w:val="left"/>
      <w:lvlText w:val="%1."/>
      <w:numFmt w:val="decimal"/>
      <w:start w:val="19"/>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1)"/>
      <w:numFmt w:val="lowerLetter"/>
      <w:start w:val="1"/>
    </w:lvl>
  </w:abstractNum>
  <w:abstractNum w:abstractNumId="104">
    <w:nsid w:val="78DF6A55"/>
    <w:multiLevelType w:val="hybridMultilevel"/>
    <w:lvl w:ilvl="0">
      <w:lvlJc w:val="left"/>
      <w:lvlText w:val="(%1)"/>
      <w:numFmt w:val="lowerLetter"/>
      <w:start w:val="3"/>
    </w:lvl>
  </w:abstractNum>
  <w:abstractNum w:abstractNumId="105">
    <w:nsid w:val="39B7AAA2"/>
    <w:multiLevelType w:val="hybridMultilevel"/>
    <w:lvl w:ilvl="0">
      <w:lvlJc w:val="left"/>
      <w:lvlText w:val="(%1)"/>
      <w:numFmt w:val="lowerLetter"/>
      <w:start w:val="9"/>
    </w:lvl>
  </w:abstractNum>
  <w:abstractNum w:abstractNumId="106">
    <w:nsid w:val="2B0D8DBE"/>
    <w:multiLevelType w:val="hybridMultilevel"/>
    <w:lvl w:ilvl="0">
      <w:lvlJc w:val="left"/>
      <w:lvlText w:val="%1."/>
      <w:numFmt w:val="decimal"/>
      <w:start w:val="1"/>
    </w:lvl>
    <w:lvl w:ilvl="1">
      <w:lvlJc w:val="left"/>
      <w:lvlText w:val="(%2)"/>
      <w:numFmt w:val="lowerLetter"/>
      <w:start w:val="1"/>
    </w:lvl>
  </w:abstractNum>
  <w:abstractNum w:abstractNumId="107">
    <w:nsid w:val="6C80EC70"/>
    <w:multiLevelType w:val="hybridMultilevel"/>
    <w:lvl w:ilvl="0">
      <w:lvlJc w:val="left"/>
      <w:lvlText w:val="(%1)"/>
      <w:numFmt w:val="lowerLetter"/>
      <w:start w:val="2"/>
    </w:lvl>
  </w:abstractNum>
  <w:abstractNum w:abstractNumId="108">
    <w:nsid w:val="379E21B5"/>
    <w:multiLevelType w:val="hybridMultilevel"/>
    <w:lvl w:ilvl="0">
      <w:lvlJc w:val="left"/>
      <w:lvlText w:val="%1."/>
      <w:numFmt w:val="decimal"/>
      <w:start w:val="2"/>
    </w:lvl>
  </w:abstractNum>
  <w:abstractNum w:abstractNumId="109">
    <w:nsid w:val="69E373"/>
    <w:multiLevelType w:val="hybridMultilevel"/>
    <w:lvl w:ilvl="0">
      <w:lvlJc w:val="left"/>
      <w:lvlText w:val="%1."/>
      <w:numFmt w:val="decimal"/>
      <w:start w:val="6"/>
    </w:lvl>
  </w:abstractNum>
  <w:abstractNum w:abstractNumId="110">
    <w:nsid w:val="2C27173B"/>
    <w:multiLevelType w:val="hybridMultilevel"/>
    <w:lvl w:ilvl="0">
      <w:lvlJc w:val="left"/>
      <w:lvlText w:val="%1."/>
      <w:numFmt w:val="decimal"/>
      <w:start w:val="12"/>
    </w:lvl>
  </w:abstractNum>
  <w:abstractNum w:abstractNumId="111">
    <w:nsid w:val="4C9B0904"/>
    <w:multiLevelType w:val="hybridMultilevel"/>
    <w:lvl w:ilvl="0">
      <w:lvlJc w:val="left"/>
      <w:lvlText w:val="%1."/>
      <w:numFmt w:val="decimal"/>
      <w:start w:val="16"/>
    </w:lvl>
  </w:abstractNum>
  <w:abstractNum w:abstractNumId="112">
    <w:nsid w:val="6AA7B75C"/>
    <w:multiLevelType w:val="hybridMultilevel"/>
    <w:lvl w:ilvl="0">
      <w:lvlJc w:val="left"/>
      <w:lvlText w:val="(%1)"/>
      <w:numFmt w:val="lowerLetter"/>
      <w:start w:val="1"/>
    </w:lvl>
  </w:abstractNum>
  <w:abstractNum w:abstractNumId="113">
    <w:nsid w:val="1DF029D3"/>
    <w:multiLevelType w:val="hybridMultilevel"/>
    <w:lvl w:ilvl="0">
      <w:lvlJc w:val="left"/>
      <w:lvlText w:val="(%1)"/>
      <w:numFmt w:val="lowerLetter"/>
      <w:start w:val="9"/>
    </w:lvl>
  </w:abstractNum>
  <w:abstractNum w:abstractNumId="114">
    <w:nsid w:val="5675FF36"/>
    <w:multiLevelType w:val="hybridMultilevel"/>
    <w:lvl w:ilvl="0">
      <w:lvlJc w:val="left"/>
      <w:lvlText w:val="%1."/>
      <w:numFmt w:val="decimal"/>
      <w:start w:val="1"/>
    </w:lvl>
    <w:lvl w:ilvl="1">
      <w:lvlJc w:val="left"/>
      <w:lvlText w:val="(%2)"/>
      <w:numFmt w:val="lowerLetter"/>
      <w:start w:val="1"/>
    </w:lvl>
  </w:abstractNum>
  <w:abstractNum w:abstractNumId="115">
    <w:nsid w:val="3DD15094"/>
    <w:multiLevelType w:val="hybridMultilevel"/>
    <w:lvl w:ilvl="0">
      <w:lvlJc w:val="left"/>
      <w:lvlText w:val="(%1)"/>
      <w:numFmt w:val="lowerLetter"/>
      <w:start w:val="2"/>
    </w:lvl>
  </w:abstractNum>
  <w:abstractNum w:abstractNumId="116">
    <w:nsid w:val="3DB012B3"/>
    <w:multiLevelType w:val="hybridMultilevel"/>
    <w:lvl w:ilvl="0">
      <w:lvlJc w:val="left"/>
      <w:lvlText w:val="%1"/>
      <w:numFmt w:val="decimal"/>
      <w:start w:val="1"/>
    </w:lvl>
    <w:lvl w:ilvl="1">
      <w:lvlJc w:val="left"/>
      <w:lvlText w:val="(%2)"/>
      <w:numFmt w:val="lowerLetter"/>
      <w:start w:val="3"/>
    </w:lvl>
  </w:abstractNum>
  <w:abstractNum w:abstractNumId="117">
    <w:nsid w:val="2708C9AF"/>
    <w:multiLevelType w:val="hybridMultilevel"/>
    <w:lvl w:ilvl="0">
      <w:lvlJc w:val="left"/>
      <w:lvlText w:val="%1."/>
      <w:numFmt w:val="decimal"/>
      <w:start w:val="2"/>
    </w:lvl>
    <w:lvl w:ilvl="1">
      <w:lvlJc w:val="left"/>
      <w:lvlText w:val="%2"/>
      <w:numFmt w:val="lowerLetter"/>
      <w:start w:val="1"/>
    </w:lvl>
  </w:abstractNum>
  <w:abstractNum w:abstractNumId="118">
    <w:nsid w:val="5B25ACE2"/>
    <w:multiLevelType w:val="hybridMultilevel"/>
    <w:lvl w:ilvl="0">
      <w:lvlJc w:val="left"/>
      <w:lvlText w:val="%1."/>
      <w:numFmt w:val="decimal"/>
      <w:start w:val="6"/>
    </w:lvl>
  </w:abstractNum>
  <w:abstractNum w:abstractNumId="119">
    <w:nsid w:val="175DFCF0"/>
    <w:multiLevelType w:val="hybridMultilevel"/>
    <w:lvl w:ilvl="0">
      <w:lvlJc w:val="left"/>
      <w:lvlText w:val="%1"/>
      <w:numFmt w:val="decimal"/>
      <w:start w:val="14"/>
    </w:lvl>
  </w:abstractNum>
  <w:abstractNum w:abstractNumId="120">
    <w:nsid w:val="4F97E3E4"/>
    <w:multiLevelType w:val="hybridMultilevel"/>
    <w:lvl w:ilvl="0">
      <w:lvlJc w:val="left"/>
      <w:lvlText w:val="%1."/>
      <w:numFmt w:val="decimal"/>
      <w:start w:val="15"/>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10"/>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2019-12-05T19:36:54Z</dcterms:created>
  <dcterms:modified xsi:type="dcterms:W3CDTF">2019-12-05T19:36:54Z</dcterms:modified>
</cp:coreProperties>
</file>