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24, 2004</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THE TORO COMPANY</w:t>
      </w:r>
    </w:p>
    <w:p>
      <w:pPr>
        <w:spacing w:after="0" w:line="200" w:lineRule="exact"/>
        <w:rPr>
          <w:sz w:val="20"/>
          <w:szCs w:val="20"/>
          <w:color w:val="auto"/>
        </w:rPr>
      </w:pP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3820" w:type="dxa"/>
            <w:vAlign w:val="bottom"/>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240" w:type="dxa"/>
            <w:vAlign w:val="bottom"/>
          </w:tcPr>
          <w:p>
            <w:pPr>
              <w:spacing w:after="0"/>
              <w:rPr>
                <w:sz w:val="20"/>
                <w:szCs w:val="20"/>
                <w:color w:val="auto"/>
              </w:rPr>
            </w:pPr>
          </w:p>
        </w:tc>
      </w:tr>
      <w:tr>
        <w:trPr>
          <w:trHeight w:val="439"/>
        </w:trPr>
        <w:tc>
          <w:tcPr>
            <w:tcW w:w="32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52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92"/>
              </w:rPr>
              <w:t>1-8649</w:t>
            </w:r>
          </w:p>
        </w:tc>
        <w:tc>
          <w:tcPr>
            <w:tcW w:w="300" w:type="dxa"/>
            <w:vAlign w:val="bottom"/>
          </w:tcPr>
          <w:p>
            <w:pPr>
              <w:spacing w:after="0"/>
              <w:rPr>
                <w:sz w:val="24"/>
                <w:szCs w:val="24"/>
                <w:color w:val="auto"/>
              </w:rPr>
            </w:pPr>
          </w:p>
        </w:tc>
        <w:tc>
          <w:tcPr>
            <w:tcW w:w="3240" w:type="dxa"/>
            <w:vAlign w:val="bottom"/>
          </w:tcPr>
          <w:p>
            <w:pPr>
              <w:jc w:val="right"/>
              <w:ind w:right="111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32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2"/>
              </w:rPr>
              <w:t>(State of Incorporation)</w:t>
            </w:r>
          </w:p>
        </w:tc>
        <w:tc>
          <w:tcPr>
            <w:tcW w:w="300" w:type="dxa"/>
            <w:vAlign w:val="bottom"/>
          </w:tcPr>
          <w:p>
            <w:pPr>
              <w:spacing w:after="0"/>
              <w:rPr>
                <w:sz w:val="20"/>
                <w:szCs w:val="20"/>
                <w:color w:val="auto"/>
              </w:rPr>
            </w:pPr>
          </w:p>
        </w:tc>
        <w:tc>
          <w:tcPr>
            <w:tcW w:w="32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3"/>
              </w:rPr>
              <w:t>(Commission File Number)</w:t>
            </w:r>
          </w:p>
        </w:tc>
        <w:tc>
          <w:tcPr>
            <w:tcW w:w="300" w:type="dxa"/>
            <w:vAlign w:val="bottom"/>
          </w:tcPr>
          <w:p>
            <w:pPr>
              <w:spacing w:after="0"/>
              <w:rPr>
                <w:sz w:val="20"/>
                <w:szCs w:val="20"/>
                <w:color w:val="auto"/>
              </w:rPr>
            </w:pPr>
          </w:p>
        </w:tc>
        <w:tc>
          <w:tcPr>
            <w:tcW w:w="324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13"/>
        </w:trPr>
        <w:tc>
          <w:tcPr>
            <w:tcW w:w="70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8111 Lyndale Avenue South</w:t>
            </w:r>
          </w:p>
        </w:tc>
        <w:tc>
          <w:tcPr>
            <w:tcW w:w="3240" w:type="dxa"/>
            <w:vAlign w:val="bottom"/>
          </w:tcPr>
          <w:p>
            <w:pPr>
              <w:spacing w:after="0"/>
              <w:rPr>
                <w:sz w:val="24"/>
                <w:szCs w:val="24"/>
                <w:color w:val="auto"/>
              </w:rPr>
            </w:pPr>
          </w:p>
        </w:tc>
      </w:tr>
      <w:tr>
        <w:trPr>
          <w:trHeight w:val="241"/>
        </w:trPr>
        <w:tc>
          <w:tcPr>
            <w:tcW w:w="70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Bloomington, Minnesota</w:t>
            </w:r>
          </w:p>
        </w:tc>
        <w:tc>
          <w:tcPr>
            <w:tcW w:w="3240" w:type="dxa"/>
            <w:vAlign w:val="bottom"/>
          </w:tcPr>
          <w:p>
            <w:pPr>
              <w:jc w:val="right"/>
              <w:ind w:right="1310"/>
              <w:spacing w:after="0"/>
              <w:rPr>
                <w:sz w:val="20"/>
                <w:szCs w:val="20"/>
                <w:color w:val="auto"/>
              </w:rPr>
            </w:pPr>
            <w:r>
              <w:rPr>
                <w:rFonts w:ascii="Arial" w:cs="Arial" w:eastAsia="Arial" w:hAnsi="Arial"/>
                <w:sz w:val="18"/>
                <w:szCs w:val="18"/>
                <w:b w:val="1"/>
                <w:bCs w:val="1"/>
                <w:color w:val="auto"/>
              </w:rPr>
              <w:t>55420</w:t>
            </w:r>
          </w:p>
        </w:tc>
      </w:tr>
      <w:tr>
        <w:trPr>
          <w:trHeight w:val="230"/>
        </w:trPr>
        <w:tc>
          <w:tcPr>
            <w:tcW w:w="6740" w:type="dxa"/>
            <w:vAlign w:val="bottom"/>
            <w:tcBorders>
              <w:top w:val="single" w:sz="8" w:color="808080"/>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00" w:type="dxa"/>
            <w:vAlign w:val="bottom"/>
          </w:tcPr>
          <w:p>
            <w:pPr>
              <w:spacing w:after="0"/>
              <w:rPr>
                <w:sz w:val="20"/>
                <w:szCs w:val="20"/>
                <w:color w:val="auto"/>
              </w:rPr>
            </w:pPr>
          </w:p>
        </w:tc>
        <w:tc>
          <w:tcPr>
            <w:tcW w:w="324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14605</wp:posOffset>
            </wp:positionV>
            <wp:extent cx="3910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6" w:lineRule="exact"/>
        <w:rPr>
          <w:sz w:val="20"/>
          <w:szCs w:val="20"/>
          <w:color w:val="auto"/>
        </w:rPr>
      </w:pPr>
    </w:p>
    <w:p>
      <w:pPr>
        <w:ind w:left="1100" w:hanging="518"/>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100" w:hanging="518"/>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100" w:hanging="518"/>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100" w:hanging="518"/>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0"/>
        <w:spacing w:after="0"/>
        <w:tabs>
          <w:tab w:leader="none" w:pos="2780" w:val="left"/>
        </w:tabs>
        <w:rPr>
          <w:rFonts w:ascii="Arial" w:cs="Arial" w:eastAsia="Arial" w:hAnsi="Arial"/>
          <w:sz w:val="16"/>
          <w:szCs w:val="16"/>
          <w:u w:val="single" w:color="auto"/>
          <w:color w:val="0000EE"/>
        </w:rPr>
      </w:pPr>
      <w:hyperlink w:anchor="page3">
        <w:r>
          <w:rPr>
            <w:rFonts w:ascii="Arial" w:cs="Arial" w:eastAsia="Arial" w:hAnsi="Arial"/>
            <w:sz w:val="18"/>
            <w:szCs w:val="18"/>
            <w:u w:val="single" w:color="auto"/>
            <w:color w:val="0000EE"/>
          </w:rPr>
          <w:t>Item 2.02</w:t>
        </w:r>
      </w:hyperlink>
      <w:r>
        <w:rPr>
          <w:rFonts w:ascii="Arial" w:cs="Arial" w:eastAsia="Arial" w:hAnsi="Arial"/>
          <w:sz w:val="18"/>
          <w:szCs w:val="18"/>
          <w:u w:val="single" w:color="auto"/>
          <w:color w:val="0000EE"/>
        </w:rPr>
        <w:tab/>
      </w:r>
      <w:hyperlink w:anchor="page3">
        <w:r>
          <w:rPr>
            <w:rFonts w:ascii="Arial" w:cs="Arial" w:eastAsia="Arial" w:hAnsi="Arial"/>
            <w:sz w:val="16"/>
            <w:szCs w:val="16"/>
            <w:u w:val="single" w:color="auto"/>
            <w:color w:val="0000EE"/>
          </w:rPr>
          <w:t>Results of Operations and Financial Condition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ind w:left="1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EXHIBIT 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u w:val="single" w:color="auto"/>
          <w:color w:val="0000EE"/>
        </w:rPr>
        <w:t>Press Release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ind w:left="360" w:firstLine="225"/>
        <w:spacing w:after="0" w:line="255" w:lineRule="auto"/>
        <w:rPr>
          <w:sz w:val="20"/>
          <w:szCs w:val="20"/>
          <w:color w:val="auto"/>
        </w:rPr>
      </w:pPr>
      <w:r>
        <w:rPr>
          <w:rFonts w:ascii="Arial" w:cs="Arial" w:eastAsia="Arial" w:hAnsi="Arial"/>
          <w:sz w:val="18"/>
          <w:szCs w:val="18"/>
          <w:color w:val="auto"/>
        </w:rPr>
        <w:t>On August 24, 2004, The Toro Company announced its earnings for the three and nine months ended July 30, 2004. Attached to this Current Report on Form 8-K as Exhibit 99 is a copy of The Toro Company’s press release in connection with the announcement. The information in this report is being furnished and shall not be deemed to be filed for purposes of Section 18 of the Securities Exchange Act of 1934, or otherwise subject to the liability of that section, and shall not be deemed to be incorporated by reference by any general statements by The Toro Company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THE TORO COMPANY</w:t>
            </w:r>
          </w:p>
        </w:tc>
        <w:tc>
          <w:tcPr>
            <w:tcW w:w="1700" w:type="dxa"/>
            <w:vAlign w:val="bottom"/>
          </w:tcPr>
          <w:p>
            <w:pPr>
              <w:spacing w:after="0"/>
              <w:rPr>
                <w:sz w:val="18"/>
                <w:szCs w:val="18"/>
                <w:color w:val="auto"/>
              </w:rPr>
            </w:pPr>
          </w:p>
        </w:tc>
      </w:tr>
      <w:tr>
        <w:trPr>
          <w:trHeight w:val="230"/>
        </w:trPr>
        <w:tc>
          <w:tcPr>
            <w:tcW w:w="52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(Registrant)</w:t>
            </w:r>
          </w:p>
        </w:tc>
        <w:tc>
          <w:tcPr>
            <w:tcW w:w="1700" w:type="dxa"/>
            <w:vAlign w:val="bottom"/>
          </w:tcPr>
          <w:p>
            <w:pPr>
              <w:spacing w:after="0"/>
              <w:rPr>
                <w:sz w:val="20"/>
                <w:szCs w:val="20"/>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Date: August 24, 2004</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Stephen P. Wolfe</w:t>
            </w:r>
          </w:p>
        </w:tc>
        <w:tc>
          <w:tcPr>
            <w:tcW w:w="1700" w:type="dxa"/>
            <w:vAlign w:val="bottom"/>
          </w:tcPr>
          <w:p>
            <w:pPr>
              <w:spacing w:after="0"/>
              <w:rPr>
                <w:sz w:val="24"/>
                <w:szCs w:val="24"/>
                <w:color w:val="auto"/>
              </w:rPr>
            </w:pPr>
          </w:p>
        </w:tc>
      </w:tr>
      <w:tr>
        <w:trPr>
          <w:trHeight w:val="195"/>
        </w:trPr>
        <w:tc>
          <w:tcPr>
            <w:tcW w:w="52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Stephen P. Wolfe</w:t>
            </w:r>
          </w:p>
        </w:tc>
        <w:tc>
          <w:tcPr>
            <w:tcW w:w="1700" w:type="dxa"/>
            <w:vAlign w:val="bottom"/>
          </w:tcPr>
          <w:p>
            <w:pPr>
              <w:spacing w:after="0"/>
              <w:rPr>
                <w:sz w:val="16"/>
                <w:szCs w:val="16"/>
                <w:color w:val="auto"/>
              </w:rPr>
            </w:pPr>
          </w:p>
        </w:tc>
      </w:tr>
      <w:tr>
        <w:trPr>
          <w:trHeight w:val="216"/>
        </w:trPr>
        <w:tc>
          <w:tcPr>
            <w:tcW w:w="52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Vice President Finance,</w:t>
            </w:r>
          </w:p>
        </w:tc>
        <w:tc>
          <w:tcPr>
            <w:tcW w:w="170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Treasurer and Chief Financial Officer</w:t>
            </w:r>
          </w:p>
        </w:tc>
        <w:tc>
          <w:tcPr>
            <w:tcW w:w="1700" w:type="dxa"/>
            <w:vAlign w:val="bottom"/>
          </w:tcPr>
          <w:p>
            <w:pPr>
              <w:spacing w:after="0"/>
              <w:rPr>
                <w:sz w:val="18"/>
                <w:szCs w:val="18"/>
                <w:color w:val="auto"/>
              </w:rPr>
            </w:pPr>
          </w:p>
        </w:tc>
      </w:tr>
      <w:tr>
        <w:trPr>
          <w:trHeight w:val="230"/>
        </w:trPr>
        <w:tc>
          <w:tcPr>
            <w:tcW w:w="52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(duly authorized officer and principal financial officer)</w:t>
            </w:r>
          </w:p>
        </w:tc>
        <w:tc>
          <w:tcPr>
            <w:tcW w:w="1700" w:type="dxa"/>
            <w:vAlign w:val="bottom"/>
          </w:tcPr>
          <w:p>
            <w:pPr>
              <w:spacing w:after="0"/>
              <w:rPr>
                <w:sz w:val="20"/>
                <w:szCs w:val="20"/>
                <w:color w:val="auto"/>
              </w:rPr>
            </w:pPr>
          </w:p>
        </w:tc>
      </w:tr>
      <w:tr>
        <w:trPr>
          <w:trHeight w:val="834"/>
        </w:trPr>
        <w:tc>
          <w:tcPr>
            <w:tcW w:w="5260" w:type="dxa"/>
            <w:vAlign w:val="bottom"/>
            <w:tcBorders>
              <w:bottom w:val="single" w:sz="8" w:color="808080"/>
            </w:tcBorders>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0"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40"/>
        <w:spacing w:after="0"/>
        <w:tabs>
          <w:tab w:leader="none" w:pos="26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39370</wp:posOffset>
            </wp:positionV>
            <wp:extent cx="54286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122" w:lineRule="exact"/>
        <w:rPr>
          <w:sz w:val="20"/>
          <w:szCs w:val="20"/>
          <w:color w:val="auto"/>
        </w:rPr>
      </w:pPr>
    </w:p>
    <w:p>
      <w:pPr>
        <w:ind w:left="2640" w:hanging="1200"/>
        <w:spacing w:after="0"/>
        <w:tabs>
          <w:tab w:leader="none" w:pos="2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w:t>
      </w:r>
    </w:p>
    <w:p>
      <w:pPr>
        <w:spacing w:after="0" w:line="225" w:lineRule="exact"/>
        <w:rPr>
          <w:rFonts w:ascii="Arial" w:cs="Arial" w:eastAsia="Arial" w:hAnsi="Arial"/>
          <w:sz w:val="18"/>
          <w:szCs w:val="18"/>
          <w:color w:val="auto"/>
        </w:rPr>
      </w:pPr>
    </w:p>
    <w:p>
      <w:pPr>
        <w:ind w:left="2640"/>
        <w:spacing w:after="0"/>
        <w:rPr>
          <w:rFonts w:ascii="Arial" w:cs="Arial" w:eastAsia="Arial" w:hAnsi="Arial"/>
          <w:sz w:val="18"/>
          <w:szCs w:val="18"/>
          <w:color w:val="auto"/>
        </w:rPr>
      </w:pPr>
      <w:r>
        <w:rPr>
          <w:rFonts w:ascii="Arial" w:cs="Arial" w:eastAsia="Arial" w:hAnsi="Arial"/>
          <w:sz w:val="16"/>
          <w:szCs w:val="16"/>
          <w:color w:val="auto"/>
        </w:rPr>
        <w:t>Registrant’s press release dated August 24, 2004 (</w:t>
      </w:r>
      <w:r>
        <w:rPr>
          <w:rFonts w:ascii="Arial" w:cs="Arial" w:eastAsia="Arial" w:hAnsi="Arial"/>
          <w:sz w:val="16"/>
          <w:szCs w:val="16"/>
          <w:i w:val="1"/>
          <w:iCs w:val="1"/>
          <w:color w:val="auto"/>
        </w:rPr>
        <w:t>furnished herewith</w:t>
      </w:r>
      <w:r>
        <w:rPr>
          <w:rFonts w:ascii="Arial" w:cs="Arial" w:eastAsia="Arial" w:hAnsi="Arial"/>
          <w:sz w:val="16"/>
          <w:szCs w:val="16"/>
          <w:color w:val="auto"/>
        </w:rPr>
        <w:t>).</w:t>
      </w:r>
    </w:p>
    <w:p>
      <w:pPr>
        <w:sectPr>
          <w:pgSz w:w="11900" w:h="16838" w:orient="portrait"/>
          <w:cols w:equalWidth="0" w:num="1">
            <w:col w:w="10219"/>
          </w:cols>
          <w:pgMar w:left="240" w:top="4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920" w:type="dxa"/>
            <w:vAlign w:val="bottom"/>
          </w:tcPr>
          <w:p>
            <w:pPr>
              <w:ind w:left="2120"/>
              <w:spacing w:after="0"/>
              <w:rPr>
                <w:sz w:val="20"/>
                <w:szCs w:val="20"/>
                <w:color w:val="auto"/>
              </w:rPr>
            </w:pPr>
            <w:r>
              <w:rPr>
                <w:rFonts w:ascii="Arial" w:cs="Arial" w:eastAsia="Arial" w:hAnsi="Arial"/>
                <w:sz w:val="18"/>
                <w:szCs w:val="18"/>
                <w:b w:val="1"/>
                <w:bCs w:val="1"/>
                <w:color w:val="auto"/>
                <w:w w:val="91"/>
              </w:rPr>
              <w:t>Exhibit 99</w:t>
            </w:r>
          </w:p>
        </w:tc>
      </w:tr>
      <w:tr>
        <w:trPr>
          <w:trHeight w:val="646"/>
        </w:trPr>
        <w:tc>
          <w:tcPr>
            <w:tcW w:w="2400" w:type="dxa"/>
            <w:vAlign w:val="bottom"/>
          </w:tcPr>
          <w:p>
            <w:pPr>
              <w:spacing w:after="0"/>
              <w:rPr>
                <w:sz w:val="24"/>
                <w:szCs w:val="24"/>
                <w:color w:val="auto"/>
              </w:rPr>
            </w:pPr>
          </w:p>
        </w:tc>
        <w:tc>
          <w:tcPr>
            <w:tcW w:w="2420" w:type="dxa"/>
            <w:vAlign w:val="bottom"/>
          </w:tcPr>
          <w:p>
            <w:pPr>
              <w:spacing w:after="0"/>
              <w:rPr>
                <w:sz w:val="20"/>
                <w:szCs w:val="20"/>
                <w:color w:val="auto"/>
              </w:rPr>
            </w:pPr>
            <w:r>
              <w:rPr>
                <w:rFonts w:ascii="Arial" w:cs="Arial" w:eastAsia="Arial" w:hAnsi="Arial"/>
                <w:sz w:val="18"/>
                <w:szCs w:val="18"/>
                <w:b w:val="1"/>
                <w:bCs w:val="1"/>
                <w:color w:val="auto"/>
              </w:rPr>
              <w:t>The Toro Company</w:t>
            </w:r>
          </w:p>
        </w:tc>
        <w:tc>
          <w:tcPr>
            <w:tcW w:w="3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83"/>
        </w:trPr>
        <w:tc>
          <w:tcPr>
            <w:tcW w:w="2400" w:type="dxa"/>
            <w:vAlign w:val="bottom"/>
          </w:tcPr>
          <w:p>
            <w:pPr>
              <w:spacing w:after="0"/>
              <w:rPr>
                <w:sz w:val="7"/>
                <w:szCs w:val="7"/>
                <w:color w:val="auto"/>
              </w:rPr>
            </w:pPr>
          </w:p>
        </w:tc>
        <w:tc>
          <w:tcPr>
            <w:tcW w:w="6100" w:type="dxa"/>
            <w:vAlign w:val="bottom"/>
            <w:tcBorders>
              <w:bottom w:val="single" w:sz="8" w:color="808080"/>
            </w:tcBorders>
            <w:gridSpan w:val="2"/>
          </w:tcPr>
          <w:p>
            <w:pPr>
              <w:spacing w:after="0"/>
              <w:rPr>
                <w:sz w:val="7"/>
                <w:szCs w:val="7"/>
                <w:color w:val="auto"/>
              </w:rPr>
            </w:pPr>
          </w:p>
        </w:tc>
        <w:tc>
          <w:tcPr>
            <w:tcW w:w="2920" w:type="dxa"/>
            <w:vAlign w:val="bottom"/>
            <w:tcBorders>
              <w:bottom w:val="single" w:sz="8" w:color="808080"/>
            </w:tcBorders>
          </w:tcPr>
          <w:p>
            <w:pPr>
              <w:spacing w:after="0"/>
              <w:rPr>
                <w:sz w:val="7"/>
                <w:szCs w:val="7"/>
                <w:color w:val="auto"/>
              </w:rPr>
            </w:pPr>
          </w:p>
        </w:tc>
      </w:tr>
      <w:tr>
        <w:trPr>
          <w:trHeight w:val="296"/>
        </w:trPr>
        <w:tc>
          <w:tcPr>
            <w:tcW w:w="2400" w:type="dxa"/>
            <w:vAlign w:val="bottom"/>
          </w:tcPr>
          <w:p>
            <w:pPr>
              <w:spacing w:after="0"/>
              <w:rPr>
                <w:sz w:val="24"/>
                <w:szCs w:val="24"/>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8111 Lyndale Avenue South, Bloomington, Minnesota 55420-1196</w:t>
            </w:r>
          </w:p>
        </w:tc>
        <w:tc>
          <w:tcPr>
            <w:tcW w:w="2920" w:type="dxa"/>
            <w:vAlign w:val="bottom"/>
          </w:tcPr>
          <w:p>
            <w:pPr>
              <w:spacing w:after="0"/>
              <w:rPr>
                <w:sz w:val="24"/>
                <w:szCs w:val="24"/>
                <w:color w:val="auto"/>
              </w:rPr>
            </w:pPr>
          </w:p>
        </w:tc>
      </w:tr>
      <w:tr>
        <w:trPr>
          <w:trHeight w:val="222"/>
        </w:trPr>
        <w:tc>
          <w:tcPr>
            <w:tcW w:w="240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#952/888-8801</w:t>
            </w:r>
          </w:p>
        </w:tc>
        <w:tc>
          <w:tcPr>
            <w:tcW w:w="3680" w:type="dxa"/>
            <w:vAlign w:val="bottom"/>
          </w:tcPr>
          <w:p>
            <w:pPr>
              <w:ind w:left="940"/>
              <w:spacing w:after="0"/>
              <w:rPr>
                <w:sz w:val="20"/>
                <w:szCs w:val="20"/>
                <w:color w:val="auto"/>
              </w:rPr>
            </w:pPr>
            <w:r>
              <w:rPr>
                <w:rFonts w:ascii="Arial" w:cs="Arial" w:eastAsia="Arial" w:hAnsi="Arial"/>
                <w:sz w:val="18"/>
                <w:szCs w:val="18"/>
                <w:color w:val="auto"/>
              </w:rPr>
              <w:t>#FAX 952/887-8258</w:t>
            </w:r>
          </w:p>
        </w:tc>
        <w:tc>
          <w:tcPr>
            <w:tcW w:w="2920" w:type="dxa"/>
            <w:vAlign w:val="bottom"/>
          </w:tcPr>
          <w:p>
            <w:pPr>
              <w:spacing w:after="0"/>
              <w:rPr>
                <w:sz w:val="19"/>
                <w:szCs w:val="19"/>
                <w:color w:val="auto"/>
              </w:rPr>
            </w:pPr>
          </w:p>
        </w:tc>
      </w:tr>
      <w:tr>
        <w:trPr>
          <w:trHeight w:val="858"/>
        </w:trPr>
        <w:tc>
          <w:tcPr>
            <w:tcW w:w="2400" w:type="dxa"/>
            <w:vAlign w:val="bottom"/>
          </w:tcPr>
          <w:p>
            <w:pPr>
              <w:spacing w:after="0"/>
              <w:rPr>
                <w:sz w:val="20"/>
                <w:szCs w:val="20"/>
                <w:color w:val="auto"/>
              </w:rPr>
            </w:pPr>
            <w:r>
              <w:rPr>
                <w:rFonts w:ascii="Arial" w:cs="Arial" w:eastAsia="Arial" w:hAnsi="Arial"/>
                <w:sz w:val="18"/>
                <w:szCs w:val="18"/>
                <w:b w:val="1"/>
                <w:bCs w:val="1"/>
                <w:color w:val="auto"/>
              </w:rPr>
              <w:t>Investor Relations</w:t>
            </w:r>
          </w:p>
        </w:tc>
        <w:tc>
          <w:tcPr>
            <w:tcW w:w="2420" w:type="dxa"/>
            <w:vAlign w:val="bottom"/>
          </w:tcPr>
          <w:p>
            <w:pPr>
              <w:spacing w:after="0"/>
              <w:rPr>
                <w:sz w:val="24"/>
                <w:szCs w:val="24"/>
                <w:color w:val="auto"/>
              </w:rPr>
            </w:pPr>
          </w:p>
        </w:tc>
        <w:tc>
          <w:tcPr>
            <w:tcW w:w="3680" w:type="dxa"/>
            <w:vAlign w:val="bottom"/>
          </w:tcPr>
          <w:p>
            <w:pPr>
              <w:ind w:left="1020"/>
              <w:spacing w:after="0"/>
              <w:rPr>
                <w:sz w:val="20"/>
                <w:szCs w:val="20"/>
                <w:color w:val="auto"/>
              </w:rPr>
            </w:pPr>
            <w:r>
              <w:rPr>
                <w:rFonts w:ascii="Arial" w:cs="Arial" w:eastAsia="Arial" w:hAnsi="Arial"/>
                <w:sz w:val="18"/>
                <w:szCs w:val="18"/>
                <w:b w:val="1"/>
                <w:bCs w:val="1"/>
                <w:color w:val="auto"/>
              </w:rPr>
              <w:t>Media Relations</w:t>
            </w:r>
          </w:p>
        </w:tc>
        <w:tc>
          <w:tcPr>
            <w:tcW w:w="2920" w:type="dxa"/>
            <w:vAlign w:val="bottom"/>
          </w:tcPr>
          <w:p>
            <w:pPr>
              <w:ind w:left="520"/>
              <w:spacing w:after="0"/>
              <w:rPr>
                <w:sz w:val="20"/>
                <w:szCs w:val="20"/>
                <w:color w:val="auto"/>
              </w:rPr>
            </w:pPr>
            <w:r>
              <w:rPr>
                <w:rFonts w:ascii="Arial" w:cs="Arial" w:eastAsia="Arial" w:hAnsi="Arial"/>
                <w:sz w:val="18"/>
                <w:szCs w:val="18"/>
                <w:b w:val="1"/>
                <w:bCs w:val="1"/>
                <w:color w:val="auto"/>
              </w:rPr>
              <w:t>Web Site</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Stephen P. Wolfe</w:t>
            </w:r>
          </w:p>
        </w:tc>
        <w:tc>
          <w:tcPr>
            <w:tcW w:w="2420" w:type="dxa"/>
            <w:vAlign w:val="bottom"/>
          </w:tcPr>
          <w:p>
            <w:pPr>
              <w:ind w:left="140"/>
              <w:spacing w:after="0"/>
              <w:rPr>
                <w:sz w:val="20"/>
                <w:szCs w:val="20"/>
                <w:color w:val="auto"/>
              </w:rPr>
            </w:pPr>
            <w:r>
              <w:rPr>
                <w:rFonts w:ascii="Arial" w:cs="Arial" w:eastAsia="Arial" w:hAnsi="Arial"/>
                <w:sz w:val="18"/>
                <w:szCs w:val="18"/>
                <w:color w:val="auto"/>
              </w:rPr>
              <w:t>Tom Larson</w:t>
            </w:r>
          </w:p>
        </w:tc>
        <w:tc>
          <w:tcPr>
            <w:tcW w:w="3680" w:type="dxa"/>
            <w:vAlign w:val="bottom"/>
          </w:tcPr>
          <w:p>
            <w:pPr>
              <w:ind w:left="1020"/>
              <w:spacing w:after="0"/>
              <w:rPr>
                <w:sz w:val="20"/>
                <w:szCs w:val="20"/>
                <w:color w:val="auto"/>
              </w:rPr>
            </w:pPr>
            <w:r>
              <w:rPr>
                <w:rFonts w:ascii="Arial" w:cs="Arial" w:eastAsia="Arial" w:hAnsi="Arial"/>
                <w:sz w:val="18"/>
                <w:szCs w:val="18"/>
                <w:color w:val="auto"/>
              </w:rPr>
              <w:t>Connie Hawkinson</w:t>
            </w:r>
          </w:p>
        </w:tc>
        <w:tc>
          <w:tcPr>
            <w:tcW w:w="2920" w:type="dxa"/>
            <w:vAlign w:val="bottom"/>
          </w:tcPr>
          <w:p>
            <w:pPr>
              <w:ind w:left="520"/>
              <w:spacing w:after="0"/>
              <w:rPr>
                <w:sz w:val="20"/>
                <w:szCs w:val="20"/>
                <w:color w:val="auto"/>
              </w:rPr>
            </w:pPr>
            <w:r>
              <w:rPr>
                <w:rFonts w:ascii="Arial" w:cs="Arial" w:eastAsia="Arial" w:hAnsi="Arial"/>
                <w:sz w:val="18"/>
                <w:szCs w:val="18"/>
                <w:color w:val="auto"/>
              </w:rPr>
              <w:t>www.thetorocompany.com</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Vice President, CFO</w:t>
            </w:r>
          </w:p>
        </w:tc>
        <w:tc>
          <w:tcPr>
            <w:tcW w:w="2420" w:type="dxa"/>
            <w:vAlign w:val="bottom"/>
          </w:tcPr>
          <w:p>
            <w:pPr>
              <w:ind w:left="140"/>
              <w:spacing w:after="0"/>
              <w:rPr>
                <w:sz w:val="20"/>
                <w:szCs w:val="20"/>
                <w:color w:val="auto"/>
              </w:rPr>
            </w:pPr>
            <w:r>
              <w:rPr>
                <w:rFonts w:ascii="Arial" w:cs="Arial" w:eastAsia="Arial" w:hAnsi="Arial"/>
                <w:sz w:val="18"/>
                <w:szCs w:val="18"/>
                <w:color w:val="auto"/>
              </w:rPr>
              <w:t>Assistant Treasurer</w:t>
            </w:r>
          </w:p>
        </w:tc>
        <w:tc>
          <w:tcPr>
            <w:tcW w:w="3680" w:type="dxa"/>
            <w:vAlign w:val="bottom"/>
          </w:tcPr>
          <w:p>
            <w:pPr>
              <w:ind w:left="1020"/>
              <w:spacing w:after="0"/>
              <w:rPr>
                <w:sz w:val="20"/>
                <w:szCs w:val="20"/>
                <w:color w:val="auto"/>
              </w:rPr>
            </w:pPr>
            <w:r>
              <w:rPr>
                <w:rFonts w:ascii="Arial" w:cs="Arial" w:eastAsia="Arial" w:hAnsi="Arial"/>
                <w:sz w:val="18"/>
                <w:szCs w:val="18"/>
                <w:color w:val="auto"/>
              </w:rPr>
              <w:t>Toro Media Relations</w:t>
            </w:r>
          </w:p>
        </w:tc>
        <w:tc>
          <w:tcPr>
            <w:tcW w:w="2920" w:type="dxa"/>
            <w:vAlign w:val="bottom"/>
          </w:tcPr>
          <w:p>
            <w:pPr>
              <w:spacing w:after="0"/>
              <w:rPr>
                <w:sz w:val="18"/>
                <w:szCs w:val="18"/>
                <w:color w:val="auto"/>
              </w:rPr>
            </w:pPr>
          </w:p>
        </w:tc>
      </w:tr>
      <w:tr>
        <w:trPr>
          <w:trHeight w:val="222"/>
        </w:trPr>
        <w:tc>
          <w:tcPr>
            <w:tcW w:w="2400" w:type="dxa"/>
            <w:vAlign w:val="bottom"/>
          </w:tcPr>
          <w:p>
            <w:pPr>
              <w:spacing w:after="0"/>
              <w:rPr>
                <w:sz w:val="20"/>
                <w:szCs w:val="20"/>
                <w:color w:val="auto"/>
              </w:rPr>
            </w:pPr>
            <w:r>
              <w:rPr>
                <w:rFonts w:ascii="Arial" w:cs="Arial" w:eastAsia="Arial" w:hAnsi="Arial"/>
                <w:sz w:val="18"/>
                <w:szCs w:val="18"/>
                <w:color w:val="auto"/>
              </w:rPr>
              <w:t>(952) 887-8076</w:t>
            </w:r>
          </w:p>
        </w:tc>
        <w:tc>
          <w:tcPr>
            <w:tcW w:w="2420" w:type="dxa"/>
            <w:vAlign w:val="bottom"/>
          </w:tcPr>
          <w:p>
            <w:pPr>
              <w:ind w:left="140"/>
              <w:spacing w:after="0"/>
              <w:rPr>
                <w:sz w:val="20"/>
                <w:szCs w:val="20"/>
                <w:color w:val="auto"/>
              </w:rPr>
            </w:pPr>
            <w:r>
              <w:rPr>
                <w:rFonts w:ascii="Arial" w:cs="Arial" w:eastAsia="Arial" w:hAnsi="Arial"/>
                <w:sz w:val="18"/>
                <w:szCs w:val="18"/>
                <w:color w:val="auto"/>
              </w:rPr>
              <w:t>(952) 887-8449</w:t>
            </w:r>
          </w:p>
        </w:tc>
        <w:tc>
          <w:tcPr>
            <w:tcW w:w="3680" w:type="dxa"/>
            <w:vAlign w:val="bottom"/>
          </w:tcPr>
          <w:p>
            <w:pPr>
              <w:ind w:left="1020"/>
              <w:spacing w:after="0"/>
              <w:rPr>
                <w:sz w:val="20"/>
                <w:szCs w:val="20"/>
                <w:color w:val="auto"/>
              </w:rPr>
            </w:pPr>
            <w:r>
              <w:rPr>
                <w:rFonts w:ascii="Arial" w:cs="Arial" w:eastAsia="Arial" w:hAnsi="Arial"/>
                <w:sz w:val="18"/>
                <w:szCs w:val="18"/>
                <w:color w:val="auto"/>
              </w:rPr>
              <w:t>(952) 887-8984, pr@toro.com</w:t>
            </w:r>
          </w:p>
        </w:tc>
        <w:tc>
          <w:tcPr>
            <w:tcW w:w="2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-1490345</wp:posOffset>
            </wp:positionV>
            <wp:extent cx="1191895" cy="788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91895" cy="788670"/>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TORO THIRD QUARTER NET EARNINGS UP 26.5%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ON 15.1% NET SALES GROWTH</w:t>
      </w:r>
    </w:p>
    <w:p>
      <w:pPr>
        <w:spacing w:after="0" w:line="19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Company on Track for Record Full Year Net Sales and Earnings</w:t>
      </w:r>
    </w:p>
    <w:p>
      <w:pPr>
        <w:spacing w:after="0" w:line="18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24, 10:00 a.m. 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www.thetorocompany.com/invest</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BLOOMINGTON, Minn. (August 24, 2004) — The Toro Company (NYSE: TTC) today reported record net earnings of $34.2 million, or $1.33 per diluted share, on net sales of $454.0 million for its fiscal 2004 third quarter ended July 30, 2004. In its fiscal 2003 third quarter, Toro reported net earnings of $27.0 million, or $1.03 per diluted share on net sales of $394.5 million.</w:t>
      </w:r>
    </w:p>
    <w:p>
      <w:pPr>
        <w:spacing w:after="0" w:line="154" w:lineRule="exact"/>
        <w:rPr>
          <w:sz w:val="20"/>
          <w:szCs w:val="20"/>
          <w:color w:val="auto"/>
        </w:rPr>
      </w:pPr>
    </w:p>
    <w:p>
      <w:pPr>
        <w:ind w:right="240" w:firstLine="225"/>
        <w:spacing w:after="0" w:line="308" w:lineRule="auto"/>
        <w:rPr>
          <w:sz w:val="20"/>
          <w:szCs w:val="20"/>
          <w:color w:val="auto"/>
        </w:rPr>
      </w:pPr>
      <w:r>
        <w:rPr>
          <w:rFonts w:ascii="Arial" w:cs="Arial" w:eastAsia="Arial" w:hAnsi="Arial"/>
          <w:sz w:val="17"/>
          <w:szCs w:val="17"/>
          <w:color w:val="auto"/>
        </w:rPr>
        <w:t>For the nine months ended July 30, 2004, Toro reported net earnings of $95.7 million, or $3.68 per diluted share, on net sales of $1,315.6 million. In the comparable fiscal 2003 period, Toro reported net earnings of $76.0 million, or $2.92 per diluted share, on net sales of $1,186.3 million.</w:t>
      </w:r>
    </w:p>
    <w:p>
      <w:pPr>
        <w:spacing w:after="0" w:line="106"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Kendrick B. Melrose, The Toro Company Chairman and Chief Executive officer, said the strong third quarter results keep the company on track to deliver the best full year financial performance in its history. “During our third quarter, we continued to generate healthy sales growth in all segments,” said Melrose. “And, as in our second quarter, we converted strong volume growth into even stronger earnings growth by continuing to focus on overall operating effectiveness, productivity improvement through lean manufacturing initiatives, expense reductions through our ‘no waste’ programs and focused asset management. Our year-to-date gross margin remained above last year’s rate despite continued increases in steel and rising transportation and other commodity costs.”</w:t>
      </w:r>
    </w:p>
    <w:p>
      <w:pPr>
        <w:spacing w:after="0" w:line="153"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Melrose said third quarter sales exceeded expectations in most business categories, reflecting increased demand in a recovering economy and brand strength in Toro’s principal markets. “During the third quarter, shipments were particularly strong in our landscape contractor, commercial, and international businesses,” said Melrose. “In addition, our lean manufacturing and no-waste initiatives are clearly boosting profitability.”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2 — Toro Third Quarter Net Earnings Up 26.5% on 15.1% Sales Growth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Segment data is provided in the table following the “Condensed Consolidated Statement of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For the third quarter, professional segment sales increased 17.9% to $287.9 million. As in the prior quarter, segment sales increased in nearly all product categories, although irrigation product sales fell short of the company’s expectations.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International sales for the third quarter increased 16.4% compared with the fiscal 2003 period.</w:t>
      </w:r>
    </w:p>
    <w:p>
      <w:pPr>
        <w:spacing w:after="0" w:line="185"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Professional segment earnings for the third quarter were $54.3 million, up 28.6% from the fiscal 2003 third quarter which benefited from leveraging of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189"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Residential segment sales for the third quarter totaled $144.2 million, up 11.8% from the prior year third quarter. Product categories with the strongest period-over-period sales growth included snow throwers and electric products.</w:t>
      </w:r>
    </w:p>
    <w:p>
      <w:pPr>
        <w:spacing w:after="0" w:line="130"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International sales for the third quarter increased 20.7% compared with last year’s third quarter. Most of the increase was attributable to strong snow thrower and electric product demand.</w:t>
      </w:r>
    </w:p>
    <w:p>
      <w:pPr>
        <w:spacing w:after="0" w:line="143"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Residential segment earnings for the third quarter totaled $17.6 million, up 33.5% from $13.2 million in the prior year period. The improvement in third quarter profitability in this segment was largely due to reduced expenses and a prior year restructuring charge of $1.7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Worldwide distribution segment sales for the third quarter totaled $47.1 million, up 9.4% compared with last year’s third quarter.</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5"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3 — Toro Third Quarter Net Earnings Up 26.5% on 15.1% Sales Growth</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Distribution segment earnings for the third quarter were $2.3 million, flat with the comparable prior-year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89" w:lineRule="exact"/>
        <w:rPr>
          <w:sz w:val="20"/>
          <w:szCs w:val="20"/>
          <w:color w:val="auto"/>
        </w:rPr>
      </w:pPr>
    </w:p>
    <w:p>
      <w:pPr>
        <w:ind w:right="460" w:firstLine="225"/>
        <w:spacing w:after="0" w:line="264" w:lineRule="auto"/>
        <w:rPr>
          <w:sz w:val="20"/>
          <w:szCs w:val="20"/>
          <w:color w:val="auto"/>
        </w:rPr>
      </w:pPr>
      <w:r>
        <w:rPr>
          <w:rFonts w:ascii="Arial" w:cs="Arial" w:eastAsia="Arial" w:hAnsi="Arial"/>
          <w:sz w:val="18"/>
          <w:szCs w:val="18"/>
          <w:color w:val="auto"/>
        </w:rPr>
        <w:t>Gross margin for the third quarter was 36.2% compared with 37.2% in the prior year’s third quarter. “The margin decline was primarily the result of increases in costs for steel, other commodities and transportation, which were partially offset through our ongoing cost management and productivity improvement efforts,” said Melrose.</w:t>
      </w:r>
    </w:p>
    <w:p>
      <w:pPr>
        <w:spacing w:after="0" w:line="154" w:lineRule="exact"/>
        <w:rPr>
          <w:sz w:val="20"/>
          <w:szCs w:val="20"/>
          <w:color w:val="auto"/>
        </w:rPr>
      </w:pPr>
    </w:p>
    <w:p>
      <w:pPr>
        <w:jc w:val="both"/>
        <w:ind w:right="360" w:firstLine="225"/>
        <w:spacing w:after="0" w:line="264" w:lineRule="auto"/>
        <w:rPr>
          <w:sz w:val="20"/>
          <w:szCs w:val="20"/>
          <w:color w:val="auto"/>
        </w:rPr>
      </w:pPr>
      <w:r>
        <w:rPr>
          <w:rFonts w:ascii="Arial" w:cs="Arial" w:eastAsia="Arial" w:hAnsi="Arial"/>
          <w:sz w:val="18"/>
          <w:szCs w:val="18"/>
          <w:color w:val="auto"/>
        </w:rPr>
        <w:t>Selling, general and administrative (SG&amp;A) expenses for the third quarter were 24.6% of net sales, down from 25.8% in the fiscal 2003 third quarter. Continued expense leveraging and reductions more than countered increases in incentive expenses as well as additional expenses related to ongoing new product development and other growth initiatives.</w:t>
      </w:r>
    </w:p>
    <w:p>
      <w:pPr>
        <w:spacing w:after="0" w:line="141"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Interest expense for the third quarter was $3.9 million, down from $4.2 million in the comparable year-ago period as a result of lower average debt and improved asset management.</w:t>
      </w:r>
    </w:p>
    <w:p>
      <w:pPr>
        <w:spacing w:after="0" w:line="130"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company’s balance sheet continued to strengthen from increased earnings and effective working capital management. Net inventories at the end of the third quarter were $217.4 million, down nearly 7.9% from the end of the fiscal 2003 third quarter. Accounts receivable at the end of the third quarter totaled $381.3 million, up only 2.2%, significantly less than the consolidated net sales increase of 15.1%.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89"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“Our strong performance through the first nine months of fiscal 2004 should continue through the year’s final quarter and into fiscal 2005,” said Melrose. “We expect our lean/no waste initiatives to yield strong profitability improvement for this year as well as fiscal 2005. Moreover, we believe continued investments in key growth initiatives will help ensure our sales growth outperforms the market. Lastly, we fully expect to complete the year with a solid balance sheet, strong operating cash flow, and low inventories in the field.” The company expects to report fiscal 2004 net earnings per diluted share in the range of $3.82 to $3.90, excluding the effects of the previously announced share repurchase program, on sales growth of 9 to 10%.</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The Toro Company is a leading worldwide provider of outdoor maintenance and beautification products for home, recreation and commercial landscapes.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4 — Toro Third Quarter Net Earnings Up 26.5% on 15.1% Sales Growth</w:t>
      </w:r>
    </w:p>
    <w:p>
      <w:pPr>
        <w:spacing w:after="0" w:line="198"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i w:val="1"/>
          <w:iCs w:val="1"/>
          <w:color w:val="auto"/>
        </w:rPr>
        <w:t xml:space="preserve">The Toro Company will conduct a conference call and webcast for investors beginning at 10:00 a.m. Central Time (CST) on August 24, 2004. The webcast will be available at </w:t>
      </w:r>
      <w:r>
        <w:rPr>
          <w:rFonts w:ascii="Arial" w:cs="Arial" w:eastAsia="Arial" w:hAnsi="Arial"/>
          <w:sz w:val="17"/>
          <w:szCs w:val="17"/>
          <w:i w:val="1"/>
          <w:iCs w:val="1"/>
          <w:u w:val="single" w:color="auto"/>
          <w:color w:val="auto"/>
        </w:rPr>
        <w:t>www.streetevents.com</w:t>
      </w:r>
      <w:r>
        <w:rPr>
          <w:rFonts w:ascii="Arial" w:cs="Arial" w:eastAsia="Arial" w:hAnsi="Arial"/>
          <w:sz w:val="17"/>
          <w:szCs w:val="17"/>
          <w:i w:val="1"/>
          <w:iCs w:val="1"/>
          <w:color w:val="auto"/>
        </w:rPr>
        <w:t xml:space="preserve"> or at </w:t>
      </w:r>
      <w:r>
        <w:rPr>
          <w:rFonts w:ascii="Arial" w:cs="Arial" w:eastAsia="Arial" w:hAnsi="Arial"/>
          <w:sz w:val="17"/>
          <w:szCs w:val="17"/>
          <w:i w:val="1"/>
          <w:iCs w:val="1"/>
          <w:u w:val="single" w:color="auto"/>
          <w:color w:val="auto"/>
        </w:rPr>
        <w:t>www.thetorocompany.com/invest</w:t>
      </w:r>
      <w:r>
        <w:rPr>
          <w:rFonts w:ascii="Arial" w:cs="Arial" w:eastAsia="Arial" w:hAnsi="Arial"/>
          <w:sz w:val="17"/>
          <w:szCs w:val="17"/>
          <w:i w:val="1"/>
          <w:iCs w:val="1"/>
          <w:color w:val="auto"/>
        </w:rPr>
        <w:t>. Webcast participants will need to complete a brief registration form and should allocate extra time before the webcast begins to register and, if necessary, download and install audio software.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Safe Harbor</w:t>
      </w:r>
    </w:p>
    <w:p>
      <w:pPr>
        <w:spacing w:after="0" w:line="26" w:lineRule="exact"/>
        <w:rPr>
          <w:sz w:val="20"/>
          <w:szCs w:val="20"/>
          <w:color w:val="auto"/>
        </w:rPr>
      </w:pPr>
    </w:p>
    <w:p>
      <w:pPr>
        <w:ind w:firstLine="203"/>
        <w:spacing w:after="0" w:line="306" w:lineRule="auto"/>
        <w:rPr>
          <w:sz w:val="20"/>
          <w:szCs w:val="20"/>
          <w:color w:val="auto"/>
        </w:rPr>
      </w:pPr>
      <w:r>
        <w:rPr>
          <w:rFonts w:ascii="Arial" w:cs="Arial" w:eastAsia="Arial" w:hAnsi="Arial"/>
          <w:sz w:val="14"/>
          <w:szCs w:val="14"/>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higher interest rates; slow growth rate in global and domestic economies, resulting in rising unemployment and weakened consumer confidence; our ability to achieve the goals for the “6+8” profit improvement and growth initiative which is intended to improve our revenue growth and after-tax return on sales; the company’s ability to implement lean manufacturing; our ability to manage assets, such as reducing inventories and receivables; the company’s ability to achieve sales growth and double-digit diluted earnings per share growth in fiscal 2004; unforeseen product quality problems in the development and production of new and existing products; potential issues with moving production between facilities; continued slow growth in the rate of new golf course construction or existing golf course renovations; increased dependence on The Home Depot as a customer for the residential segment; reduced government spending for grounds maintenance equipment due to reduced tax revenue and tighter government budgets; elimination of shelf space for our products at retailers; changes in raw material costs, including higher oil, steel, aluminum and other commodity prices; financial viability of distributors and dealers; governmental restriction on water usage and water availability; market acceptance of existing and new products; and increased and adverse changes in currency exchange rates or raw material commodity prices and the costs we incur in providing price support to international customers and suppliers.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5 — Toro Third Quarter Net Earnings Up 26.5% on 15.1% Sales Growth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11"/>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gridSpan w:val="8"/>
          </w:tcPr>
          <w:p>
            <w:pPr>
              <w:jc w:val="right"/>
              <w:spacing w:after="0"/>
              <w:rPr>
                <w:sz w:val="20"/>
                <w:szCs w:val="20"/>
                <w:color w:val="auto"/>
              </w:rPr>
            </w:pPr>
            <w:r>
              <w:rPr>
                <w:rFonts w:ascii="Arial" w:cs="Arial" w:eastAsia="Arial" w:hAnsi="Arial"/>
                <w:sz w:val="14"/>
                <w:szCs w:val="14"/>
                <w:b w:val="1"/>
                <w:bCs w:val="1"/>
                <w:color w:val="auto"/>
                <w:w w:val="97"/>
              </w:rPr>
              <w:t>Nine Months Ended</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gridSpan w:val="2"/>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July 30,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August 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July 30,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August 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gridSpan w:val="2"/>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300" w:type="dxa"/>
            <w:vAlign w:val="bottom"/>
            <w:vMerge w:val="restart"/>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22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Net sales</w:t>
            </w:r>
          </w:p>
        </w:tc>
        <w:tc>
          <w:tcPr>
            <w:tcW w:w="1400" w:type="dxa"/>
            <w:vAlign w:val="bottom"/>
            <w:tcBorders>
              <w:right w:val="single" w:sz="8" w:color="EEEEEE"/>
            </w:tcBorders>
            <w:gridSpan w:val="6"/>
            <w:shd w:val="clear" w:color="auto" w:fill="EEEEEE"/>
          </w:tcPr>
          <w:p>
            <w:pPr>
              <w:jc w:val="right"/>
              <w:spacing w:after="0"/>
              <w:rPr>
                <w:sz w:val="20"/>
                <w:szCs w:val="20"/>
                <w:color w:val="auto"/>
              </w:rPr>
            </w:pPr>
            <w:r>
              <w:rPr>
                <w:rFonts w:ascii="Arial" w:cs="Arial" w:eastAsia="Arial" w:hAnsi="Arial"/>
                <w:sz w:val="18"/>
                <w:szCs w:val="18"/>
                <w:color w:val="auto"/>
              </w:rPr>
              <w:t>$454,044</w:t>
            </w:r>
          </w:p>
        </w:tc>
        <w:tc>
          <w:tcPr>
            <w:tcW w:w="160" w:type="dxa"/>
            <w:vAlign w:val="bottom"/>
            <w:shd w:val="clear" w:color="auto" w:fill="EEEEEE"/>
          </w:tcPr>
          <w:p>
            <w:pPr>
              <w:spacing w:after="0"/>
              <w:rPr>
                <w:sz w:val="18"/>
                <w:szCs w:val="18"/>
                <w:color w:val="auto"/>
              </w:rPr>
            </w:pPr>
          </w:p>
        </w:tc>
        <w:tc>
          <w:tcPr>
            <w:tcW w:w="1260" w:type="dxa"/>
            <w:vAlign w:val="bottom"/>
            <w:tcBorders>
              <w:right w:val="single" w:sz="8" w:color="EEEEEE"/>
            </w:tcBorders>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$394,524</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6"/>
            <w:shd w:val="clear" w:color="auto" w:fill="EEEEEE"/>
          </w:tcPr>
          <w:p>
            <w:pPr>
              <w:jc w:val="right"/>
              <w:spacing w:after="0"/>
              <w:rPr>
                <w:sz w:val="20"/>
                <w:szCs w:val="20"/>
                <w:color w:val="auto"/>
              </w:rPr>
            </w:pPr>
            <w:r>
              <w:rPr>
                <w:rFonts w:ascii="Arial" w:cs="Arial" w:eastAsia="Arial" w:hAnsi="Arial"/>
                <w:sz w:val="18"/>
                <w:szCs w:val="18"/>
                <w:color w:val="auto"/>
              </w:rPr>
              <w:t>$1,315,644</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320" w:type="dxa"/>
            <w:vAlign w:val="bottom"/>
            <w:tcBorders>
              <w:right w:val="single" w:sz="8" w:color="EEEEEE"/>
            </w:tcBorders>
            <w:gridSpan w:val="6"/>
            <w:shd w:val="clear" w:color="auto" w:fill="EEEEEE"/>
          </w:tcPr>
          <w:p>
            <w:pPr>
              <w:jc w:val="right"/>
              <w:ind w:right="40"/>
              <w:spacing w:after="0"/>
              <w:rPr>
                <w:sz w:val="20"/>
                <w:szCs w:val="20"/>
                <w:color w:val="auto"/>
              </w:rPr>
            </w:pPr>
            <w:r>
              <w:rPr>
                <w:rFonts w:ascii="Arial" w:cs="Arial" w:eastAsia="Arial" w:hAnsi="Arial"/>
                <w:sz w:val="18"/>
                <w:szCs w:val="18"/>
                <w:color w:val="auto"/>
              </w:rPr>
              <w:t>$1,186,326</w:t>
            </w:r>
          </w:p>
        </w:tc>
        <w:tc>
          <w:tcPr>
            <w:tcW w:w="4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1400" w:type="dxa"/>
            <w:vAlign w:val="bottom"/>
            <w:gridSpan w:val="6"/>
          </w:tcPr>
          <w:p>
            <w:pPr>
              <w:jc w:val="right"/>
              <w:spacing w:after="0"/>
              <w:rPr>
                <w:sz w:val="20"/>
                <w:szCs w:val="20"/>
                <w:color w:val="auto"/>
              </w:rPr>
            </w:pPr>
            <w:r>
              <w:rPr>
                <w:rFonts w:ascii="Arial" w:cs="Arial" w:eastAsia="Arial" w:hAnsi="Arial"/>
                <w:sz w:val="18"/>
                <w:szCs w:val="18"/>
                <w:color w:val="auto"/>
              </w:rPr>
              <w:t>164,202</w:t>
            </w:r>
          </w:p>
        </w:tc>
        <w:tc>
          <w:tcPr>
            <w:tcW w:w="160" w:type="dxa"/>
            <w:vAlign w:val="bottom"/>
          </w:tcPr>
          <w:p>
            <w:pPr>
              <w:spacing w:after="0"/>
              <w:rPr>
                <w:sz w:val="18"/>
                <w:szCs w:val="18"/>
                <w:color w:val="auto"/>
              </w:rPr>
            </w:pPr>
          </w:p>
        </w:tc>
        <w:tc>
          <w:tcPr>
            <w:tcW w:w="1260" w:type="dxa"/>
            <w:vAlign w:val="bottom"/>
            <w:gridSpan w:val="7"/>
          </w:tcPr>
          <w:p>
            <w:pPr>
              <w:jc w:val="right"/>
              <w:ind w:right="20"/>
              <w:spacing w:after="0"/>
              <w:rPr>
                <w:sz w:val="20"/>
                <w:szCs w:val="20"/>
                <w:color w:val="auto"/>
              </w:rPr>
            </w:pPr>
            <w:r>
              <w:rPr>
                <w:rFonts w:ascii="Arial" w:cs="Arial" w:eastAsia="Arial" w:hAnsi="Arial"/>
                <w:sz w:val="18"/>
                <w:szCs w:val="18"/>
                <w:color w:val="auto"/>
              </w:rPr>
              <w:t>146,950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2"/>
              </w:rPr>
              <w:t>475,691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6"/>
          </w:tcPr>
          <w:p>
            <w:pPr>
              <w:jc w:val="right"/>
              <w:ind w:right="40"/>
              <w:spacing w:after="0"/>
              <w:rPr>
                <w:sz w:val="20"/>
                <w:szCs w:val="20"/>
                <w:color w:val="auto"/>
              </w:rPr>
            </w:pPr>
            <w:r>
              <w:rPr>
                <w:rFonts w:ascii="Arial" w:cs="Arial" w:eastAsia="Arial" w:hAnsi="Arial"/>
                <w:sz w:val="18"/>
                <w:szCs w:val="18"/>
                <w:color w:val="auto"/>
              </w:rPr>
              <w:t>428,163</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22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Gross profit percent</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tcBorders>
              <w:left w:val="single" w:sz="8" w:color="EEEEEE"/>
            </w:tcBorders>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gridSpan w:val="5"/>
            <w:shd w:val="clear" w:color="auto" w:fill="EEEEEE"/>
          </w:tcPr>
          <w:p>
            <w:pPr>
              <w:jc w:val="right"/>
              <w:ind w:right="120"/>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w:t>
            </w:r>
          </w:p>
        </w:tc>
        <w:tc>
          <w:tcPr>
            <w:tcW w:w="1400" w:type="dxa"/>
            <w:vAlign w:val="bottom"/>
            <w:gridSpan w:val="6"/>
          </w:tcPr>
          <w:p>
            <w:pPr>
              <w:jc w:val="right"/>
              <w:spacing w:after="0"/>
              <w:rPr>
                <w:sz w:val="20"/>
                <w:szCs w:val="20"/>
                <w:color w:val="auto"/>
              </w:rPr>
            </w:pPr>
            <w:r>
              <w:rPr>
                <w:rFonts w:ascii="Arial" w:cs="Arial" w:eastAsia="Arial" w:hAnsi="Arial"/>
                <w:sz w:val="18"/>
                <w:szCs w:val="18"/>
                <w:color w:val="auto"/>
              </w:rPr>
              <w:t>111,696</w:t>
            </w:r>
          </w:p>
        </w:tc>
        <w:tc>
          <w:tcPr>
            <w:tcW w:w="160" w:type="dxa"/>
            <w:vAlign w:val="bottom"/>
          </w:tcPr>
          <w:p>
            <w:pPr>
              <w:spacing w:after="0"/>
              <w:rPr>
                <w:sz w:val="18"/>
                <w:szCs w:val="18"/>
                <w:color w:val="auto"/>
              </w:rPr>
            </w:pPr>
          </w:p>
        </w:tc>
        <w:tc>
          <w:tcPr>
            <w:tcW w:w="1260" w:type="dxa"/>
            <w:vAlign w:val="bottom"/>
            <w:gridSpan w:val="7"/>
          </w:tcPr>
          <w:p>
            <w:pPr>
              <w:jc w:val="right"/>
              <w:ind w:right="20"/>
              <w:spacing w:after="0"/>
              <w:rPr>
                <w:sz w:val="20"/>
                <w:szCs w:val="20"/>
                <w:color w:val="auto"/>
              </w:rPr>
            </w:pPr>
            <w:r>
              <w:rPr>
                <w:rFonts w:ascii="Arial" w:cs="Arial" w:eastAsia="Arial" w:hAnsi="Arial"/>
                <w:sz w:val="18"/>
                <w:szCs w:val="18"/>
                <w:color w:val="auto"/>
              </w:rPr>
              <w:t>101,735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2"/>
              </w:rPr>
              <w:t>324,944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6"/>
          </w:tcPr>
          <w:p>
            <w:pPr>
              <w:jc w:val="right"/>
              <w:ind w:right="40"/>
              <w:spacing w:after="0"/>
              <w:rPr>
                <w:sz w:val="20"/>
                <w:szCs w:val="20"/>
                <w:color w:val="auto"/>
              </w:rPr>
            </w:pPr>
            <w:r>
              <w:rPr>
                <w:rFonts w:ascii="Arial" w:cs="Arial" w:eastAsia="Arial" w:hAnsi="Arial"/>
                <w:sz w:val="18"/>
                <w:szCs w:val="18"/>
                <w:color w:val="auto"/>
              </w:rPr>
              <w:t>309,344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22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Restructuring and other (income) expense</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left w:val="single" w:sz="8" w:color="EEEEEE"/>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1,655</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1,476</w:t>
            </w:r>
          </w:p>
        </w:tc>
        <w:tc>
          <w:tcPr>
            <w:tcW w:w="4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20" w:type="dxa"/>
            <w:vAlign w:val="bottom"/>
            <w:gridSpan w:val="4"/>
            <w:vMerge w:val="restart"/>
          </w:tcPr>
          <w:p>
            <w:pPr>
              <w:ind w:left="140"/>
              <w:spacing w:after="0"/>
              <w:rPr>
                <w:sz w:val="20"/>
                <w:szCs w:val="20"/>
                <w:color w:val="auto"/>
              </w:rPr>
            </w:pPr>
            <w:r>
              <w:rPr>
                <w:rFonts w:ascii="Arial" w:cs="Arial" w:eastAsia="Arial" w:hAnsi="Arial"/>
                <w:sz w:val="18"/>
                <w:szCs w:val="18"/>
                <w:color w:val="auto"/>
              </w:rPr>
              <w:t>Earnings from operations</w:t>
            </w: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42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Borders>
              <w:bottom w:val="single" w:sz="8" w:color="808080"/>
            </w:tcBorders>
            <w:gridSpan w:val="2"/>
          </w:tcPr>
          <w:p>
            <w:pPr>
              <w:spacing w:after="0" w:line="20" w:lineRule="exact"/>
              <w:rPr>
                <w:sz w:val="1"/>
                <w:szCs w:val="1"/>
                <w:color w:val="auto"/>
              </w:rPr>
            </w:pPr>
          </w:p>
        </w:tc>
        <w:tc>
          <w:tcPr>
            <w:tcW w:w="420" w:type="dxa"/>
            <w:vAlign w:val="bottom"/>
            <w:tcBorders>
              <w:bottom w:val="single" w:sz="8" w:color="808080"/>
            </w:tcBorders>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 w:type="dxa"/>
            <w:vAlign w:val="bottom"/>
          </w:tcPr>
          <w:p>
            <w:pPr>
              <w:spacing w:after="0"/>
              <w:rPr>
                <w:sz w:val="18"/>
                <w:szCs w:val="18"/>
                <w:color w:val="auto"/>
              </w:rPr>
            </w:pPr>
          </w:p>
        </w:tc>
        <w:tc>
          <w:tcPr>
            <w:tcW w:w="422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52,734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43,560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2"/>
              </w:rPr>
              <w:t>151,061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117,343</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22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w w:val="94"/>
              </w:rPr>
              <w:t>(3,893)</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tcBorders>
              <w:left w:val="single" w:sz="8" w:color="EEEEEE"/>
            </w:tcBorders>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(4,152)</w:t>
            </w: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w w:val="98"/>
              </w:rPr>
              <w:t>(11,477)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102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w w:val="89"/>
              </w:rPr>
              <w:t>(12,564)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gridSpan w:val="2"/>
          </w:tcPr>
          <w:p>
            <w:pPr>
              <w:jc w:val="right"/>
              <w:spacing w:after="0"/>
              <w:rPr>
                <w:sz w:val="20"/>
                <w:szCs w:val="20"/>
                <w:color w:val="auto"/>
              </w:rPr>
            </w:pPr>
            <w:r>
              <w:rPr>
                <w:rFonts w:ascii="Arial" w:cs="Arial" w:eastAsia="Arial" w:hAnsi="Arial"/>
                <w:sz w:val="18"/>
                <w:szCs w:val="18"/>
                <w:color w:val="auto"/>
              </w:rPr>
              <w:t>1,533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Borders>
              <w:bottom w:val="single" w:sz="8" w:color="808080"/>
            </w:tcBorders>
            <w:gridSpan w:val="3"/>
          </w:tcPr>
          <w:p>
            <w:pPr>
              <w:jc w:val="right"/>
              <w:ind w:right="20"/>
              <w:spacing w:after="0"/>
              <w:rPr>
                <w:sz w:val="20"/>
                <w:szCs w:val="20"/>
                <w:color w:val="auto"/>
              </w:rPr>
            </w:pPr>
            <w:r>
              <w:rPr>
                <w:rFonts w:ascii="Arial" w:cs="Arial" w:eastAsia="Arial" w:hAnsi="Arial"/>
                <w:sz w:val="18"/>
                <w:szCs w:val="18"/>
                <w:color w:val="auto"/>
              </w:rPr>
              <w:t>956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660" w:type="dxa"/>
            <w:vAlign w:val="bottom"/>
            <w:tcBorders>
              <w:bottom w:val="single" w:sz="8" w:color="808080"/>
            </w:tcBorders>
            <w:gridSpan w:val="3"/>
          </w:tcPr>
          <w:p>
            <w:pPr>
              <w:jc w:val="right"/>
              <w:spacing w:after="0"/>
              <w:rPr>
                <w:sz w:val="20"/>
                <w:szCs w:val="20"/>
                <w:color w:val="auto"/>
              </w:rPr>
            </w:pPr>
            <w:r>
              <w:rPr>
                <w:rFonts w:ascii="Arial" w:cs="Arial" w:eastAsia="Arial" w:hAnsi="Arial"/>
                <w:sz w:val="18"/>
                <w:szCs w:val="18"/>
                <w:color w:val="auto"/>
              </w:rPr>
              <w:t>3,307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gridSpan w:val="3"/>
          </w:tcPr>
          <w:p>
            <w:pPr>
              <w:jc w:val="right"/>
              <w:ind w:right="40"/>
              <w:spacing w:after="0"/>
              <w:rPr>
                <w:sz w:val="20"/>
                <w:szCs w:val="20"/>
                <w:color w:val="auto"/>
              </w:rPr>
            </w:pPr>
            <w:r>
              <w:rPr>
                <w:rFonts w:ascii="Arial" w:cs="Arial" w:eastAsia="Arial" w:hAnsi="Arial"/>
                <w:sz w:val="18"/>
                <w:szCs w:val="18"/>
                <w:color w:val="auto"/>
              </w:rPr>
              <w:t>8,647</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22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Earnings before income taxes</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7"/>
              </w:rPr>
              <w:t>50,374</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left w:val="single" w:sz="8" w:color="EEEEEE"/>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40,364</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w w:val="92"/>
              </w:rPr>
              <w:t>142,891</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320" w:type="dxa"/>
            <w:vAlign w:val="bottom"/>
            <w:tcBorders>
              <w:right w:val="single" w:sz="8" w:color="EEEEEE"/>
            </w:tcBorders>
            <w:gridSpan w:val="6"/>
            <w:shd w:val="clear" w:color="auto" w:fill="EEEEEE"/>
          </w:tcPr>
          <w:p>
            <w:pPr>
              <w:jc w:val="right"/>
              <w:ind w:right="40"/>
              <w:spacing w:after="0"/>
              <w:rPr>
                <w:sz w:val="20"/>
                <w:szCs w:val="20"/>
                <w:color w:val="auto"/>
              </w:rPr>
            </w:pPr>
            <w:r>
              <w:rPr>
                <w:rFonts w:ascii="Arial" w:cs="Arial" w:eastAsia="Arial" w:hAnsi="Arial"/>
                <w:sz w:val="18"/>
                <w:szCs w:val="18"/>
                <w:color w:val="auto"/>
              </w:rPr>
              <w:t>113,426</w:t>
            </w:r>
          </w:p>
        </w:tc>
        <w:tc>
          <w:tcPr>
            <w:tcW w:w="4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4220" w:type="dxa"/>
            <w:vAlign w:val="bottom"/>
            <w:gridSpan w:val="4"/>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gridSpan w:val="2"/>
          </w:tcPr>
          <w:p>
            <w:pPr>
              <w:jc w:val="right"/>
              <w:spacing w:after="0"/>
              <w:rPr>
                <w:sz w:val="20"/>
                <w:szCs w:val="20"/>
                <w:color w:val="auto"/>
              </w:rPr>
            </w:pPr>
            <w:r>
              <w:rPr>
                <w:rFonts w:ascii="Arial" w:cs="Arial" w:eastAsia="Arial" w:hAnsi="Arial"/>
                <w:sz w:val="18"/>
                <w:szCs w:val="18"/>
                <w:color w:val="auto"/>
                <w:w w:val="87"/>
              </w:rPr>
              <w:t>16,161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Borders>
              <w:bottom w:val="single" w:sz="8" w:color="808080"/>
            </w:tcBorders>
            <w:gridSpan w:val="3"/>
          </w:tcPr>
          <w:p>
            <w:pPr>
              <w:jc w:val="right"/>
              <w:ind w:right="20"/>
              <w:spacing w:after="0"/>
              <w:rPr>
                <w:sz w:val="20"/>
                <w:szCs w:val="20"/>
                <w:color w:val="auto"/>
              </w:rPr>
            </w:pPr>
            <w:r>
              <w:rPr>
                <w:rFonts w:ascii="Arial" w:cs="Arial" w:eastAsia="Arial" w:hAnsi="Arial"/>
                <w:sz w:val="18"/>
                <w:szCs w:val="18"/>
                <w:color w:val="auto"/>
              </w:rPr>
              <w:t>13,320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660" w:type="dxa"/>
            <w:vAlign w:val="bottom"/>
            <w:tcBorders>
              <w:bottom w:val="single" w:sz="8" w:color="808080"/>
            </w:tcBorders>
            <w:gridSpan w:val="3"/>
          </w:tcPr>
          <w:p>
            <w:pPr>
              <w:jc w:val="right"/>
              <w:spacing w:after="0"/>
              <w:rPr>
                <w:sz w:val="20"/>
                <w:szCs w:val="20"/>
                <w:color w:val="auto"/>
              </w:rPr>
            </w:pPr>
            <w:r>
              <w:rPr>
                <w:rFonts w:ascii="Arial" w:cs="Arial" w:eastAsia="Arial" w:hAnsi="Arial"/>
                <w:sz w:val="18"/>
                <w:szCs w:val="18"/>
                <w:color w:val="auto"/>
              </w:rPr>
              <w:t>47,154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gridSpan w:val="3"/>
          </w:tcPr>
          <w:p>
            <w:pPr>
              <w:jc w:val="right"/>
              <w:ind w:right="40"/>
              <w:spacing w:after="0"/>
              <w:rPr>
                <w:sz w:val="20"/>
                <w:szCs w:val="20"/>
                <w:color w:val="auto"/>
              </w:rPr>
            </w:pPr>
            <w:r>
              <w:rPr>
                <w:rFonts w:ascii="Arial" w:cs="Arial" w:eastAsia="Arial" w:hAnsi="Arial"/>
                <w:sz w:val="18"/>
                <w:szCs w:val="18"/>
                <w:color w:val="auto"/>
                <w:w w:val="98"/>
              </w:rPr>
              <w:t>37,430</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22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Net earnings</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7"/>
              </w:rPr>
              <w:t>34,213</w:t>
            </w:r>
          </w:p>
        </w:tc>
        <w:tc>
          <w:tcPr>
            <w:tcW w:w="160" w:type="dxa"/>
            <w:vAlign w:val="bottom"/>
            <w:shd w:val="clear" w:color="auto" w:fill="EEEEEE"/>
          </w:tcPr>
          <w:p>
            <w:pPr>
              <w:spacing w:after="0"/>
              <w:rPr>
                <w:sz w:val="18"/>
                <w:szCs w:val="18"/>
                <w:color w:val="auto"/>
              </w:rPr>
            </w:pPr>
          </w:p>
        </w:tc>
        <w:tc>
          <w:tcPr>
            <w:tcW w:w="6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left w:val="single" w:sz="8" w:color="EEEEEE"/>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27,044</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95,737</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gridSpan w:val="3"/>
            <w:shd w:val="clear" w:color="auto" w:fill="EEEEEE"/>
          </w:tcPr>
          <w:p>
            <w:pPr>
              <w:jc w:val="right"/>
              <w:ind w:right="40"/>
              <w:spacing w:after="0"/>
              <w:rPr>
                <w:sz w:val="20"/>
                <w:szCs w:val="20"/>
                <w:color w:val="auto"/>
              </w:rPr>
            </w:pPr>
            <w:r>
              <w:rPr>
                <w:rFonts w:ascii="Arial" w:cs="Arial" w:eastAsia="Arial" w:hAnsi="Arial"/>
                <w:sz w:val="18"/>
                <w:szCs w:val="18"/>
                <w:color w:val="auto"/>
                <w:w w:val="98"/>
              </w:rPr>
              <w:t>75,996</w:t>
            </w:r>
          </w:p>
        </w:tc>
        <w:tc>
          <w:tcPr>
            <w:tcW w:w="42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4520" w:type="dxa"/>
            <w:vAlign w:val="bottom"/>
            <w:gridSpan w:val="5"/>
            <w:vMerge w:val="restart"/>
          </w:tcPr>
          <w:p>
            <w:pPr>
              <w:ind w:left="300"/>
              <w:spacing w:after="0"/>
              <w:rPr>
                <w:sz w:val="20"/>
                <w:szCs w:val="20"/>
                <w:color w:val="auto"/>
              </w:rPr>
            </w:pPr>
            <w:r>
              <w:rPr>
                <w:rFonts w:ascii="Arial" w:cs="Arial" w:eastAsia="Arial" w:hAnsi="Arial"/>
                <w:sz w:val="18"/>
                <w:szCs w:val="18"/>
                <w:color w:val="auto"/>
              </w:rPr>
              <w:t>Basic net earnings per share</w:t>
            </w:r>
          </w:p>
        </w:tc>
        <w:tc>
          <w:tcPr>
            <w:tcW w:w="80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808080"/>
          </w:tcPr>
          <w:p>
            <w:pPr>
              <w:spacing w:after="0"/>
              <w:rPr>
                <w:sz w:val="6"/>
                <w:szCs w:val="6"/>
                <w:color w:val="auto"/>
              </w:rPr>
            </w:pPr>
          </w:p>
        </w:tc>
        <w:tc>
          <w:tcPr>
            <w:tcW w:w="280" w:type="dxa"/>
            <w:vAlign w:val="bottom"/>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808080"/>
            </w:tcBorders>
            <w:shd w:val="clear" w:color="auto" w:fill="808080"/>
          </w:tcPr>
          <w:p>
            <w:pPr>
              <w:spacing w:after="0"/>
              <w:rPr>
                <w:sz w:val="6"/>
                <w:szCs w:val="6"/>
                <w:color w:val="auto"/>
              </w:rPr>
            </w:pPr>
          </w:p>
        </w:tc>
        <w:tc>
          <w:tcPr>
            <w:tcW w:w="220" w:type="dxa"/>
            <w:vAlign w:val="bottom"/>
            <w:shd w:val="clear" w:color="auto" w:fill="808080"/>
          </w:tcPr>
          <w:p>
            <w:pPr>
              <w:spacing w:after="0"/>
              <w:rPr>
                <w:sz w:val="6"/>
                <w:szCs w:val="6"/>
                <w:color w:val="auto"/>
              </w:rPr>
            </w:pPr>
          </w:p>
        </w:tc>
        <w:tc>
          <w:tcPr>
            <w:tcW w:w="40" w:type="dxa"/>
            <w:vAlign w:val="bottom"/>
            <w:tcBorders>
              <w:right w:val="single" w:sz="8" w:color="808080"/>
            </w:tcBorders>
            <w:shd w:val="clear" w:color="auto" w:fill="808080"/>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140" w:type="dxa"/>
            <w:vAlign w:val="bottom"/>
            <w:tcBorders>
              <w:right w:val="single" w:sz="8" w:color="808080"/>
            </w:tcBorders>
            <w:shd w:val="clear" w:color="auto" w:fill="808080"/>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808080"/>
            </w:tcBorders>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160" w:type="dxa"/>
            <w:vAlign w:val="bottom"/>
            <w:tcBorders>
              <w:right w:val="single" w:sz="8" w:color="808080"/>
            </w:tcBorders>
            <w:shd w:val="clear" w:color="auto" w:fill="808080"/>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4520" w:type="dxa"/>
            <w:vAlign w:val="bottom"/>
            <w:gridSpan w:val="5"/>
            <w:vMerge w:val="continue"/>
          </w:tcPr>
          <w:p>
            <w:pPr>
              <w:spacing w:after="0"/>
              <w:rPr>
                <w:sz w:val="20"/>
                <w:szCs w:val="20"/>
                <w:color w:val="auto"/>
              </w:rPr>
            </w:pPr>
          </w:p>
        </w:tc>
        <w:tc>
          <w:tcPr>
            <w:tcW w:w="80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20"/>
                <w:szCs w:val="20"/>
                <w:color w:val="auto"/>
              </w:rPr>
            </w:pPr>
          </w:p>
        </w:tc>
        <w:tc>
          <w:tcPr>
            <w:tcW w:w="660" w:type="dxa"/>
            <w:vAlign w:val="bottom"/>
            <w:gridSpan w:val="4"/>
            <w:vMerge w:val="continue"/>
          </w:tcPr>
          <w:p>
            <w:pPr>
              <w:spacing w:after="0"/>
              <w:rPr>
                <w:sz w:val="20"/>
                <w:szCs w:val="20"/>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3.04</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lef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Borders>
              <w:left w:val="single" w:sz="8" w:color="808080"/>
            </w:tcBorders>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422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Diluted net earnings per share</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EEEEEE"/>
          </w:tcPr>
          <w:p>
            <w:pPr>
              <w:spacing w:after="0"/>
              <w:rPr>
                <w:sz w:val="19"/>
                <w:szCs w:val="19"/>
                <w:color w:val="auto"/>
              </w:rPr>
            </w:pPr>
          </w:p>
        </w:tc>
        <w:tc>
          <w:tcPr>
            <w:tcW w:w="6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left w:val="single" w:sz="8" w:color="EEEEEE"/>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6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2.92</w:t>
            </w:r>
          </w:p>
        </w:tc>
        <w:tc>
          <w:tcPr>
            <w:tcW w:w="420" w:type="dxa"/>
            <w:vAlign w:val="bottom"/>
            <w:shd w:val="clear" w:color="auto" w:fill="EEEEEE"/>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520" w:type="dxa"/>
            <w:vAlign w:val="bottom"/>
            <w:gridSpan w:val="5"/>
            <w:vMerge w:val="restart"/>
          </w:tcPr>
          <w:p>
            <w:pPr>
              <w:ind w:left="300"/>
              <w:spacing w:after="0"/>
              <w:rPr>
                <w:sz w:val="20"/>
                <w:szCs w:val="20"/>
                <w:color w:val="auto"/>
              </w:rPr>
            </w:pPr>
            <w:r>
              <w:rPr>
                <w:rFonts w:ascii="Arial" w:cs="Arial" w:eastAsia="Arial" w:hAnsi="Arial"/>
                <w:sz w:val="18"/>
                <w:szCs w:val="18"/>
                <w:color w:val="auto"/>
                <w:w w:val="97"/>
              </w:rPr>
              <w:t>Weighted average number of shares of common stock</w:t>
            </w: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280" w:type="dxa"/>
            <w:vAlign w:val="bottom"/>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Borders>
              <w:left w:val="single" w:sz="8" w:color="808080"/>
            </w:tcBorders>
            <w:shd w:val="clear" w:color="auto" w:fill="808080"/>
          </w:tcPr>
          <w:p>
            <w:pPr>
              <w:spacing w:after="0"/>
              <w:rPr>
                <w:sz w:val="6"/>
                <w:szCs w:val="6"/>
                <w:color w:val="auto"/>
              </w:rPr>
            </w:pPr>
          </w:p>
        </w:tc>
        <w:tc>
          <w:tcPr>
            <w:tcW w:w="220" w:type="dxa"/>
            <w:vAlign w:val="bottom"/>
            <w:shd w:val="clear" w:color="auto" w:fill="808080"/>
          </w:tcPr>
          <w:p>
            <w:pPr>
              <w:spacing w:after="0"/>
              <w:rPr>
                <w:sz w:val="6"/>
                <w:szCs w:val="6"/>
                <w:color w:val="auto"/>
              </w:rPr>
            </w:pPr>
          </w:p>
        </w:tc>
        <w:tc>
          <w:tcPr>
            <w:tcW w:w="40" w:type="dxa"/>
            <w:vAlign w:val="bottom"/>
            <w:tcBorders>
              <w:right w:val="single" w:sz="8" w:color="808080"/>
            </w:tcBorders>
            <w:shd w:val="clear" w:color="auto" w:fill="808080"/>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140" w:type="dxa"/>
            <w:vAlign w:val="bottom"/>
            <w:tcBorders>
              <w:right w:val="single" w:sz="8" w:color="808080"/>
            </w:tcBorders>
            <w:shd w:val="clear" w:color="auto" w:fill="808080"/>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Borders>
              <w:left w:val="single" w:sz="8" w:color="808080"/>
            </w:tcBorders>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20" w:type="dxa"/>
            <w:vAlign w:val="bottom"/>
            <w:shd w:val="clear" w:color="auto" w:fill="808080"/>
          </w:tcPr>
          <w:p>
            <w:pPr>
              <w:spacing w:after="0"/>
              <w:rPr>
                <w:sz w:val="6"/>
                <w:szCs w:val="6"/>
                <w:color w:val="auto"/>
              </w:rPr>
            </w:pPr>
          </w:p>
        </w:tc>
        <w:tc>
          <w:tcPr>
            <w:tcW w:w="160" w:type="dxa"/>
            <w:vAlign w:val="bottom"/>
            <w:tcBorders>
              <w:right w:val="single" w:sz="8" w:color="808080"/>
            </w:tcBorders>
            <w:shd w:val="clear" w:color="auto" w:fill="808080"/>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4520" w:type="dxa"/>
            <w:vAlign w:val="bottom"/>
            <w:gridSpan w:val="5"/>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220" w:type="dxa"/>
            <w:vAlign w:val="bottom"/>
            <w:gridSpan w:val="4"/>
          </w:tcPr>
          <w:p>
            <w:pPr>
              <w:ind w:left="140"/>
              <w:spacing w:after="0"/>
              <w:rPr>
                <w:sz w:val="20"/>
                <w:szCs w:val="20"/>
                <w:color w:val="auto"/>
              </w:rPr>
            </w:pPr>
            <w:r>
              <w:rPr>
                <w:rFonts w:ascii="Arial" w:cs="Arial" w:eastAsia="Arial" w:hAnsi="Arial"/>
                <w:sz w:val="18"/>
                <w:szCs w:val="18"/>
                <w:color w:val="auto"/>
              </w:rPr>
              <w:t>outstanding — Basic</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24,369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25,070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24,698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24,999</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220" w:type="dxa"/>
            <w:vAlign w:val="bottom"/>
            <w:gridSpan w:val="4"/>
            <w:shd w:val="clear" w:color="auto" w:fill="EEEEEE"/>
          </w:tcPr>
          <w:p>
            <w:pPr>
              <w:spacing w:after="0" w:line="201" w:lineRule="exact"/>
              <w:rPr>
                <w:sz w:val="20"/>
                <w:szCs w:val="20"/>
                <w:color w:val="auto"/>
              </w:rPr>
            </w:pPr>
            <w:r>
              <w:rPr>
                <w:rFonts w:ascii="Arial" w:cs="Arial" w:eastAsia="Arial" w:hAnsi="Arial"/>
                <w:sz w:val="18"/>
                <w:szCs w:val="18"/>
                <w:color w:val="auto"/>
                <w:w w:val="97"/>
              </w:rPr>
              <w:t>Weighted average number of shares of common stock</w:t>
            </w:r>
          </w:p>
        </w:tc>
        <w:tc>
          <w:tcPr>
            <w:tcW w:w="3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40" w:type="dxa"/>
            <w:vAlign w:val="bottom"/>
            <w:tcBorders>
              <w:lef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40" w:type="dxa"/>
            <w:vAlign w:val="bottom"/>
            <w:tcBorders>
              <w:right w:val="single" w:sz="8" w:color="EEEEEE"/>
            </w:tcBorders>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60" w:type="dxa"/>
            <w:vAlign w:val="bottom"/>
            <w:tcBorders>
              <w:left w:val="single" w:sz="8" w:color="EEEEEE"/>
            </w:tcBorders>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22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outstanding — Dilutive</w:t>
            </w:r>
          </w:p>
        </w:tc>
        <w:tc>
          <w:tcPr>
            <w:tcW w:w="3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87"/>
              </w:rPr>
              <w:t>25,794</w:t>
            </w:r>
          </w:p>
        </w:tc>
        <w:tc>
          <w:tcPr>
            <w:tcW w:w="1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600" w:type="dxa"/>
            <w:vAlign w:val="bottom"/>
            <w:tcBorders>
              <w:left w:val="single" w:sz="8" w:color="EEEEEE"/>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26,305</w:t>
            </w:r>
          </w:p>
        </w:tc>
        <w:tc>
          <w:tcPr>
            <w:tcW w:w="1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6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26,022</w:t>
            </w:r>
          </w:p>
        </w:tc>
        <w:tc>
          <w:tcPr>
            <w:tcW w:w="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60" w:type="dxa"/>
            <w:vAlign w:val="bottom"/>
            <w:tcBorders>
              <w:left w:val="single" w:sz="8" w:color="EEEEEE"/>
            </w:tcBorders>
            <w:shd w:val="clear" w:color="auto" w:fill="EEEEEE"/>
          </w:tcPr>
          <w:p>
            <w:pPr>
              <w:spacing w:after="0"/>
              <w:rPr>
                <w:sz w:val="20"/>
                <w:szCs w:val="20"/>
                <w:color w:val="auto"/>
              </w:rPr>
            </w:pPr>
          </w:p>
        </w:tc>
        <w:tc>
          <w:tcPr>
            <w:tcW w:w="600" w:type="dxa"/>
            <w:vAlign w:val="bottom"/>
            <w:tcBorders>
              <w:right w:val="single" w:sz="8" w:color="EEEEEE"/>
            </w:tcBorders>
            <w:gridSpan w:val="3"/>
            <w:shd w:val="clear" w:color="auto" w:fill="EEEEEE"/>
          </w:tcPr>
          <w:p>
            <w:pPr>
              <w:jc w:val="right"/>
              <w:ind w:right="40"/>
              <w:spacing w:after="0"/>
              <w:rPr>
                <w:sz w:val="20"/>
                <w:szCs w:val="20"/>
                <w:color w:val="auto"/>
              </w:rPr>
            </w:pPr>
            <w:r>
              <w:rPr>
                <w:rFonts w:ascii="Arial" w:cs="Arial" w:eastAsia="Arial" w:hAnsi="Arial"/>
                <w:sz w:val="18"/>
                <w:szCs w:val="18"/>
                <w:color w:val="auto"/>
                <w:w w:val="98"/>
              </w:rPr>
              <w:t>26,062</w:t>
            </w:r>
          </w:p>
        </w:tc>
        <w:tc>
          <w:tcPr>
            <w:tcW w:w="420" w:type="dxa"/>
            <w:vAlign w:val="bottom"/>
            <w:shd w:val="clear" w:color="auto" w:fill="EEEEEE"/>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20" w:type="dxa"/>
            <w:vAlign w:val="bottom"/>
            <w:gridSpan w:val="11"/>
          </w:tcPr>
          <w:p>
            <w:pPr>
              <w:jc w:val="center"/>
              <w:ind w:left="71"/>
              <w:spacing w:after="0"/>
              <w:rPr>
                <w:sz w:val="20"/>
                <w:szCs w:val="20"/>
                <w:color w:val="auto"/>
              </w:rPr>
            </w:pPr>
            <w:r>
              <w:rPr>
                <w:rFonts w:ascii="Arial" w:cs="Arial" w:eastAsia="Arial" w:hAnsi="Arial"/>
                <w:sz w:val="18"/>
                <w:szCs w:val="18"/>
                <w:b w:val="1"/>
                <w:bCs w:val="1"/>
                <w:color w:val="auto"/>
                <w:w w:val="91"/>
              </w:rPr>
              <w:t>Segment Data (Unaudited)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10"/>
          </w:tcPr>
          <w:p>
            <w:pPr>
              <w:jc w:val="center"/>
              <w:ind w:right="140"/>
              <w:spacing w:after="0"/>
              <w:rPr>
                <w:sz w:val="20"/>
                <w:szCs w:val="20"/>
                <w:color w:val="auto"/>
              </w:rPr>
            </w:pPr>
            <w:r>
              <w:rPr>
                <w:rFonts w:ascii="Arial" w:cs="Arial" w:eastAsia="Arial" w:hAnsi="Arial"/>
                <w:sz w:val="18"/>
                <w:szCs w:val="18"/>
                <w:b w:val="1"/>
                <w:bCs w:val="1"/>
                <w:color w:val="auto"/>
                <w:w w:val="89"/>
              </w:rPr>
              <w:t>(Dollars in thousands)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9"/>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9"/>
          </w:tcPr>
          <w:p>
            <w:pPr>
              <w:jc w:val="right"/>
              <w:ind w:right="300"/>
              <w:spacing w:after="0"/>
              <w:rPr>
                <w:sz w:val="20"/>
                <w:szCs w:val="20"/>
                <w:color w:val="auto"/>
              </w:rPr>
            </w:pPr>
            <w:r>
              <w:rPr>
                <w:rFonts w:ascii="Arial" w:cs="Arial" w:eastAsia="Arial" w:hAnsi="Arial"/>
                <w:sz w:val="14"/>
                <w:szCs w:val="14"/>
                <w:b w:val="1"/>
                <w:bCs w:val="1"/>
                <w:color w:val="auto"/>
                <w:w w:val="96"/>
              </w:rPr>
              <w:t>Three Months Ended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10"/>
          </w:tcPr>
          <w:p>
            <w:pPr>
              <w:jc w:val="right"/>
              <w:ind w:right="499"/>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gridSpan w:val="2"/>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gridSpan w:val="2"/>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gridSpan w:val="3"/>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gridSpan w:val="2"/>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97"/>
              </w:rPr>
              <w:t>July 30,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b w:val="1"/>
                <w:bCs w:val="1"/>
                <w:color w:val="auto"/>
              </w:rPr>
              <w:t>August 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3"/>
          </w:tcPr>
          <w:p>
            <w:pPr>
              <w:ind w:left="160"/>
              <w:spacing w:after="0"/>
              <w:rPr>
                <w:sz w:val="20"/>
                <w:szCs w:val="20"/>
                <w:color w:val="auto"/>
              </w:rPr>
            </w:pPr>
            <w:r>
              <w:rPr>
                <w:rFonts w:ascii="Arial" w:cs="Arial" w:eastAsia="Arial" w:hAnsi="Arial"/>
                <w:sz w:val="14"/>
                <w:szCs w:val="14"/>
                <w:b w:val="1"/>
                <w:bCs w:val="1"/>
                <w:color w:val="auto"/>
                <w:w w:val="89"/>
              </w:rPr>
              <w:t>July 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August 1,</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560" w:type="dxa"/>
            <w:vAlign w:val="bottom"/>
            <w:vMerge w:val="restart"/>
          </w:tcPr>
          <w:p>
            <w:pPr>
              <w:spacing w:after="0"/>
              <w:rPr>
                <w:sz w:val="16"/>
                <w:szCs w:val="1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Segment Net Sales</w:t>
            </w:r>
          </w:p>
        </w:tc>
        <w:tc>
          <w:tcPr>
            <w:tcW w:w="2520" w:type="dxa"/>
            <w:vAlign w:val="bottom"/>
            <w:vMerge w:val="restart"/>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2520" w:type="dxa"/>
            <w:vAlign w:val="bottom"/>
            <w:vMerge w:val="continue"/>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140" w:type="dxa"/>
            <w:vAlign w:val="bottom"/>
            <w:tcBorders>
              <w:bottom w:val="single" w:sz="8" w:color="auto"/>
            </w:tcBorders>
            <w:gridSpan w:val="2"/>
            <w:vMerge w:val="continue"/>
          </w:tcPr>
          <w:p>
            <w:pPr>
              <w:spacing w:after="0"/>
              <w:rPr>
                <w:sz w:val="5"/>
                <w:szCs w:val="5"/>
                <w:color w:val="auto"/>
              </w:rPr>
            </w:pPr>
          </w:p>
        </w:tc>
        <w:tc>
          <w:tcPr>
            <w:tcW w:w="2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Professional</w:t>
            </w:r>
          </w:p>
        </w:tc>
        <w:tc>
          <w:tcPr>
            <w:tcW w:w="9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$287,928</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w w:val="87"/>
              </w:rPr>
              <w:t>$ 244,111</w:t>
            </w:r>
          </w:p>
        </w:tc>
        <w:tc>
          <w:tcPr>
            <w:tcW w:w="3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834,130</w:t>
            </w: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751,671</w:t>
            </w: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144,227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129,043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436,952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396,177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Distribution</w:t>
            </w:r>
          </w:p>
        </w:tc>
        <w:tc>
          <w:tcPr>
            <w:tcW w:w="9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47,074</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43,039</w:t>
            </w:r>
          </w:p>
        </w:tc>
        <w:tc>
          <w:tcPr>
            <w:tcW w:w="3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111,607</w:t>
            </w: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96,987</w:t>
            </w: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80" w:type="dxa"/>
            <w:vAlign w:val="bottom"/>
            <w:gridSpan w:val="5"/>
          </w:tcPr>
          <w:p>
            <w:pPr>
              <w:jc w:val="right"/>
              <w:ind w:right="153"/>
              <w:spacing w:after="0"/>
              <w:rPr>
                <w:sz w:val="20"/>
                <w:szCs w:val="20"/>
                <w:color w:val="auto"/>
              </w:rPr>
            </w:pPr>
            <w:r>
              <w:rPr>
                <w:rFonts w:ascii="Arial" w:cs="Arial" w:eastAsia="Arial" w:hAnsi="Arial"/>
                <w:sz w:val="18"/>
                <w:szCs w:val="18"/>
                <w:color w:val="auto"/>
              </w:rPr>
              <w:t>(25,185)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5"/>
          </w:tcPr>
          <w:p>
            <w:pPr>
              <w:jc w:val="right"/>
              <w:ind w:right="133"/>
              <w:spacing w:after="0"/>
              <w:rPr>
                <w:sz w:val="20"/>
                <w:szCs w:val="20"/>
                <w:color w:val="auto"/>
              </w:rPr>
            </w:pPr>
            <w:r>
              <w:rPr>
                <w:rFonts w:ascii="Arial" w:cs="Arial" w:eastAsia="Arial" w:hAnsi="Arial"/>
                <w:sz w:val="18"/>
                <w:szCs w:val="18"/>
                <w:color w:val="auto"/>
              </w:rPr>
              <w:t>(21,669)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5"/>
          </w:tcPr>
          <w:p>
            <w:pPr>
              <w:jc w:val="right"/>
              <w:ind w:right="380"/>
              <w:spacing w:after="0"/>
              <w:rPr>
                <w:sz w:val="20"/>
                <w:szCs w:val="20"/>
                <w:color w:val="auto"/>
              </w:rPr>
            </w:pPr>
            <w:r>
              <w:rPr>
                <w:rFonts w:ascii="Arial" w:cs="Arial" w:eastAsia="Arial" w:hAnsi="Arial"/>
                <w:sz w:val="18"/>
                <w:szCs w:val="18"/>
                <w:color w:val="auto"/>
              </w:rPr>
              <w:t>(67,045)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5"/>
          </w:tcPr>
          <w:p>
            <w:pPr>
              <w:jc w:val="right"/>
              <w:ind w:right="360"/>
              <w:spacing w:after="0"/>
              <w:rPr>
                <w:sz w:val="20"/>
                <w:szCs w:val="20"/>
                <w:color w:val="auto"/>
              </w:rPr>
            </w:pPr>
            <w:r>
              <w:rPr>
                <w:rFonts w:ascii="Arial" w:cs="Arial" w:eastAsia="Arial" w:hAnsi="Arial"/>
                <w:sz w:val="18"/>
                <w:szCs w:val="18"/>
                <w:color w:val="auto"/>
              </w:rPr>
              <w:t>(58,509)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808080"/>
            </w:tcBorders>
          </w:tcPr>
          <w:p>
            <w:pPr>
              <w:spacing w:after="0" w:line="20" w:lineRule="exact"/>
              <w:rPr>
                <w:sz w:val="1"/>
                <w:szCs w:val="1"/>
                <w:color w:val="auto"/>
              </w:rPr>
            </w:pPr>
          </w:p>
        </w:tc>
        <w:tc>
          <w:tcPr>
            <w:tcW w:w="24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40" w:type="dxa"/>
            <w:vAlign w:val="bottom"/>
            <w:tcBorders>
              <w:top w:val="single" w:sz="8" w:color="808080"/>
            </w:tcBorders>
          </w:tcPr>
          <w:p>
            <w:pPr>
              <w:spacing w:after="0" w:line="20" w:lineRule="exact"/>
              <w:rPr>
                <w:sz w:val="1"/>
                <w:szCs w:val="1"/>
                <w:color w:val="auto"/>
              </w:rPr>
            </w:pPr>
          </w:p>
        </w:tc>
        <w:tc>
          <w:tcPr>
            <w:tcW w:w="28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808080"/>
            </w:tcBorders>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808080"/>
            </w:tcBorders>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160" w:type="dxa"/>
            <w:vAlign w:val="bottom"/>
            <w:tcBorders>
              <w:top w:val="single" w:sz="8" w:color="808080"/>
            </w:tcBorders>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Total *</w:t>
            </w:r>
          </w:p>
        </w:tc>
        <w:tc>
          <w:tcPr>
            <w:tcW w:w="9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$454,044</w:t>
            </w:r>
          </w:p>
        </w:tc>
        <w:tc>
          <w:tcPr>
            <w:tcW w:w="280" w:type="dxa"/>
            <w:vAlign w:val="bottom"/>
            <w:shd w:val="clear" w:color="auto" w:fill="EEEEEE"/>
          </w:tcPr>
          <w:p>
            <w:pPr>
              <w:spacing w:after="0"/>
              <w:rPr>
                <w:sz w:val="22"/>
                <w:szCs w:val="22"/>
                <w:color w:val="auto"/>
              </w:rPr>
            </w:pPr>
          </w:p>
        </w:tc>
        <w:tc>
          <w:tcPr>
            <w:tcW w:w="220" w:type="dxa"/>
            <w:vAlign w:val="bottom"/>
            <w:tcBorders>
              <w:right w:val="single" w:sz="8" w:color="EEEEEE"/>
            </w:tcBorders>
            <w:shd w:val="clear" w:color="auto" w:fill="EEEEEE"/>
          </w:tcPr>
          <w:p>
            <w:pPr>
              <w:spacing w:after="0"/>
              <w:rPr>
                <w:sz w:val="22"/>
                <w:szCs w:val="22"/>
                <w:color w:val="auto"/>
              </w:rPr>
            </w:pPr>
          </w:p>
        </w:tc>
        <w:tc>
          <w:tcPr>
            <w:tcW w:w="160" w:type="dxa"/>
            <w:vAlign w:val="bottom"/>
            <w:shd w:val="clear" w:color="auto" w:fill="EEEEEE"/>
          </w:tcPr>
          <w:p>
            <w:pPr>
              <w:spacing w:after="0"/>
              <w:rPr>
                <w:sz w:val="22"/>
                <w:szCs w:val="22"/>
                <w:color w:val="auto"/>
              </w:rPr>
            </w:pP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w w:val="93"/>
              </w:rPr>
              <w:t>$394,524</w:t>
            </w:r>
          </w:p>
        </w:tc>
        <w:tc>
          <w:tcPr>
            <w:tcW w:w="340" w:type="dxa"/>
            <w:vAlign w:val="bottom"/>
            <w:tcBorders>
              <w:left w:val="single" w:sz="8" w:color="EEEEEE"/>
            </w:tcBorders>
            <w:shd w:val="clear" w:color="auto" w:fill="EEEEEE"/>
          </w:tcPr>
          <w:p>
            <w:pPr>
              <w:spacing w:after="0"/>
              <w:rPr>
                <w:sz w:val="22"/>
                <w:szCs w:val="22"/>
                <w:color w:val="auto"/>
              </w:rPr>
            </w:pPr>
          </w:p>
        </w:tc>
        <w:tc>
          <w:tcPr>
            <w:tcW w:w="220" w:type="dxa"/>
            <w:vAlign w:val="bottom"/>
            <w:shd w:val="clear" w:color="auto" w:fill="EEEEEE"/>
          </w:tcPr>
          <w:p>
            <w:pPr>
              <w:spacing w:after="0"/>
              <w:rPr>
                <w:sz w:val="22"/>
                <w:szCs w:val="22"/>
                <w:color w:val="auto"/>
              </w:rPr>
            </w:pPr>
          </w:p>
        </w:tc>
        <w:tc>
          <w:tcPr>
            <w:tcW w:w="40" w:type="dxa"/>
            <w:vAlign w:val="bottom"/>
            <w:tcBorders>
              <w:right w:val="single" w:sz="8" w:color="EEEEEE"/>
            </w:tcBorders>
            <w:shd w:val="clear" w:color="auto" w:fill="EEEEEE"/>
          </w:tcPr>
          <w:p>
            <w:pPr>
              <w:spacing w:after="0"/>
              <w:rPr>
                <w:sz w:val="22"/>
                <w:szCs w:val="22"/>
                <w:color w:val="auto"/>
              </w:rPr>
            </w:pPr>
          </w:p>
        </w:tc>
        <w:tc>
          <w:tcPr>
            <w:tcW w:w="180" w:type="dxa"/>
            <w:vAlign w:val="bottom"/>
            <w:shd w:val="clear" w:color="auto" w:fill="EEEEEE"/>
          </w:tcPr>
          <w:p>
            <w:pPr>
              <w:spacing w:after="0"/>
              <w:rPr>
                <w:sz w:val="22"/>
                <w:szCs w:val="22"/>
                <w:color w:val="auto"/>
              </w:rPr>
            </w:pPr>
          </w:p>
        </w:tc>
        <w:tc>
          <w:tcPr>
            <w:tcW w:w="8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w w:val="93"/>
              </w:rPr>
              <w:t>$1,315,644</w:t>
            </w:r>
          </w:p>
        </w:tc>
        <w:tc>
          <w:tcPr>
            <w:tcW w:w="420" w:type="dxa"/>
            <w:vAlign w:val="bottom"/>
            <w:shd w:val="clear" w:color="auto" w:fill="EEEEEE"/>
          </w:tcPr>
          <w:p>
            <w:pPr>
              <w:spacing w:after="0"/>
              <w:rPr>
                <w:sz w:val="22"/>
                <w:szCs w:val="22"/>
                <w:color w:val="auto"/>
              </w:rPr>
            </w:pPr>
          </w:p>
        </w:tc>
        <w:tc>
          <w:tcPr>
            <w:tcW w:w="140" w:type="dxa"/>
            <w:vAlign w:val="bottom"/>
            <w:tcBorders>
              <w:right w:val="single" w:sz="8" w:color="EEEEEE"/>
            </w:tcBorders>
            <w:shd w:val="clear" w:color="auto" w:fill="EEEEEE"/>
          </w:tcPr>
          <w:p>
            <w:pPr>
              <w:spacing w:after="0"/>
              <w:rPr>
                <w:sz w:val="22"/>
                <w:szCs w:val="22"/>
                <w:color w:val="auto"/>
              </w:rPr>
            </w:pPr>
          </w:p>
        </w:tc>
        <w:tc>
          <w:tcPr>
            <w:tcW w:w="80" w:type="dxa"/>
            <w:vAlign w:val="bottom"/>
            <w:shd w:val="clear" w:color="auto" w:fill="EEEEEE"/>
          </w:tcPr>
          <w:p>
            <w:pPr>
              <w:spacing w:after="0"/>
              <w:rPr>
                <w:sz w:val="22"/>
                <w:szCs w:val="22"/>
                <w:color w:val="auto"/>
              </w:rPr>
            </w:pPr>
          </w:p>
        </w:tc>
        <w:tc>
          <w:tcPr>
            <w:tcW w:w="160" w:type="dxa"/>
            <w:vAlign w:val="bottom"/>
            <w:shd w:val="clear" w:color="auto" w:fill="EEEEEE"/>
          </w:tcPr>
          <w:p>
            <w:pPr>
              <w:spacing w:after="0"/>
              <w:rPr>
                <w:sz w:val="22"/>
                <w:szCs w:val="22"/>
                <w:color w:val="auto"/>
              </w:rPr>
            </w:pPr>
          </w:p>
        </w:tc>
        <w:tc>
          <w:tcPr>
            <w:tcW w:w="9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w w:val="99"/>
              </w:rPr>
              <w:t>$1,186,326</w:t>
            </w:r>
          </w:p>
        </w:tc>
        <w:tc>
          <w:tcPr>
            <w:tcW w:w="20" w:type="dxa"/>
            <w:vAlign w:val="bottom"/>
            <w:shd w:val="clear" w:color="auto" w:fill="EEEEEE"/>
          </w:tcPr>
          <w:p>
            <w:pPr>
              <w:spacing w:after="0"/>
              <w:rPr>
                <w:sz w:val="22"/>
                <w:szCs w:val="22"/>
                <w:color w:val="auto"/>
              </w:rPr>
            </w:pPr>
          </w:p>
        </w:tc>
        <w:tc>
          <w:tcPr>
            <w:tcW w:w="420" w:type="dxa"/>
            <w:vAlign w:val="bottom"/>
            <w:shd w:val="clear" w:color="auto" w:fill="EEEEEE"/>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00" w:type="dxa"/>
            <w:vAlign w:val="bottom"/>
          </w:tcPr>
          <w:p>
            <w:pPr>
              <w:spacing w:after="0"/>
              <w:rPr>
                <w:sz w:val="20"/>
                <w:szCs w:val="20"/>
                <w:color w:val="auto"/>
              </w:rPr>
            </w:pPr>
          </w:p>
        </w:tc>
        <w:tc>
          <w:tcPr>
            <w:tcW w:w="5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120" w:type="dxa"/>
            <w:vAlign w:val="bottom"/>
            <w:tcBorders>
              <w:top w:val="single" w:sz="8" w:color="EEEEEE"/>
            </w:tcBorders>
          </w:tcPr>
          <w:p>
            <w:pPr>
              <w:spacing w:after="0"/>
              <w:rPr>
                <w:sz w:val="20"/>
                <w:szCs w:val="20"/>
                <w:color w:val="auto"/>
              </w:rPr>
            </w:pPr>
          </w:p>
        </w:tc>
        <w:tc>
          <w:tcPr>
            <w:tcW w:w="2520" w:type="dxa"/>
            <w:vAlign w:val="bottom"/>
            <w:tcBorders>
              <w:top w:val="single" w:sz="8" w:color="EEEEEE"/>
            </w:tcBorders>
          </w:tcPr>
          <w:p>
            <w:pPr>
              <w:spacing w:after="0"/>
              <w:rPr>
                <w:sz w:val="20"/>
                <w:szCs w:val="20"/>
                <w:color w:val="auto"/>
              </w:rPr>
            </w:pPr>
          </w:p>
        </w:tc>
        <w:tc>
          <w:tcPr>
            <w:tcW w:w="300" w:type="dxa"/>
            <w:vAlign w:val="bottom"/>
            <w:tcBorders>
              <w:top w:val="single" w:sz="8" w:color="EEEEEE"/>
            </w:tcBorders>
          </w:tcPr>
          <w:p>
            <w:pPr>
              <w:spacing w:after="0"/>
              <w:rPr>
                <w:sz w:val="20"/>
                <w:szCs w:val="20"/>
                <w:color w:val="auto"/>
              </w:rPr>
            </w:pPr>
          </w:p>
        </w:tc>
        <w:tc>
          <w:tcPr>
            <w:tcW w:w="260" w:type="dxa"/>
            <w:vAlign w:val="bottom"/>
            <w:tcBorders>
              <w:top w:val="single" w:sz="8" w:color="808080"/>
            </w:tcBorders>
          </w:tcPr>
          <w:p>
            <w:pPr>
              <w:spacing w:after="0"/>
              <w:rPr>
                <w:sz w:val="20"/>
                <w:szCs w:val="20"/>
                <w:color w:val="auto"/>
              </w:rPr>
            </w:pPr>
          </w:p>
        </w:tc>
        <w:tc>
          <w:tcPr>
            <w:tcW w:w="240" w:type="dxa"/>
            <w:vAlign w:val="bottom"/>
            <w:tcBorders>
              <w:top w:val="single" w:sz="8" w:color="808080"/>
            </w:tcBorders>
          </w:tcPr>
          <w:p>
            <w:pPr>
              <w:spacing w:after="0"/>
              <w:rPr>
                <w:sz w:val="20"/>
                <w:szCs w:val="20"/>
                <w:color w:val="auto"/>
              </w:rPr>
            </w:pPr>
          </w:p>
        </w:tc>
        <w:tc>
          <w:tcPr>
            <w:tcW w:w="100" w:type="dxa"/>
            <w:vAlign w:val="bottom"/>
            <w:tcBorders>
              <w:top w:val="single" w:sz="8" w:color="808080"/>
            </w:tcBorders>
          </w:tcPr>
          <w:p>
            <w:pPr>
              <w:spacing w:after="0"/>
              <w:rPr>
                <w:sz w:val="20"/>
                <w:szCs w:val="20"/>
                <w:color w:val="auto"/>
              </w:rPr>
            </w:pPr>
          </w:p>
        </w:tc>
        <w:tc>
          <w:tcPr>
            <w:tcW w:w="280" w:type="dxa"/>
            <w:vAlign w:val="bottom"/>
            <w:tcBorders>
              <w:top w:val="single" w:sz="8" w:color="EEEEEE"/>
            </w:tcBorders>
          </w:tcPr>
          <w:p>
            <w:pPr>
              <w:spacing w:after="0"/>
              <w:rPr>
                <w:sz w:val="20"/>
                <w:szCs w:val="20"/>
                <w:color w:val="auto"/>
              </w:rPr>
            </w:pPr>
          </w:p>
        </w:tc>
        <w:tc>
          <w:tcPr>
            <w:tcW w:w="220" w:type="dxa"/>
            <w:vAlign w:val="bottom"/>
            <w:tcBorders>
              <w:top w:val="single" w:sz="8" w:color="EEEEEE"/>
            </w:tcBorders>
          </w:tcPr>
          <w:p>
            <w:pPr>
              <w:spacing w:after="0"/>
              <w:rPr>
                <w:sz w:val="20"/>
                <w:szCs w:val="20"/>
                <w:color w:val="auto"/>
              </w:rPr>
            </w:pPr>
          </w:p>
        </w:tc>
        <w:tc>
          <w:tcPr>
            <w:tcW w:w="160" w:type="dxa"/>
            <w:vAlign w:val="bottom"/>
            <w:tcBorders>
              <w:top w:val="single" w:sz="8" w:color="EEEEEE"/>
            </w:tcBorders>
          </w:tcPr>
          <w:p>
            <w:pPr>
              <w:spacing w:after="0"/>
              <w:rPr>
                <w:sz w:val="20"/>
                <w:szCs w:val="20"/>
                <w:color w:val="auto"/>
              </w:rPr>
            </w:pPr>
          </w:p>
        </w:tc>
        <w:tc>
          <w:tcPr>
            <w:tcW w:w="120" w:type="dxa"/>
            <w:vAlign w:val="bottom"/>
            <w:tcBorders>
              <w:top w:val="single" w:sz="8" w:color="EEEEEE"/>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Borders>
              <w:top w:val="single" w:sz="8" w:color="808080"/>
            </w:tcBorders>
          </w:tcPr>
          <w:p>
            <w:pPr>
              <w:spacing w:after="0"/>
              <w:rPr>
                <w:sz w:val="20"/>
                <w:szCs w:val="20"/>
                <w:color w:val="auto"/>
              </w:rPr>
            </w:pPr>
          </w:p>
        </w:tc>
        <w:tc>
          <w:tcPr>
            <w:tcW w:w="280" w:type="dxa"/>
            <w:vAlign w:val="bottom"/>
            <w:tcBorders>
              <w:top w:val="single" w:sz="8" w:color="808080"/>
            </w:tcBorders>
          </w:tcPr>
          <w:p>
            <w:pPr>
              <w:spacing w:after="0"/>
              <w:rPr>
                <w:sz w:val="20"/>
                <w:szCs w:val="20"/>
                <w:color w:val="auto"/>
              </w:rPr>
            </w:pPr>
          </w:p>
        </w:tc>
        <w:tc>
          <w:tcPr>
            <w:tcW w:w="340" w:type="dxa"/>
            <w:vAlign w:val="bottom"/>
            <w:tcBorders>
              <w:top w:val="single" w:sz="8" w:color="EEEEEE"/>
            </w:tcBorders>
          </w:tcPr>
          <w:p>
            <w:pPr>
              <w:spacing w:after="0"/>
              <w:rPr>
                <w:sz w:val="20"/>
                <w:szCs w:val="20"/>
                <w:color w:val="auto"/>
              </w:rPr>
            </w:pPr>
          </w:p>
        </w:tc>
        <w:tc>
          <w:tcPr>
            <w:tcW w:w="220" w:type="dxa"/>
            <w:vAlign w:val="bottom"/>
            <w:tcBorders>
              <w:top w:val="single" w:sz="8" w:color="EEEEEE"/>
            </w:tcBorders>
          </w:tcPr>
          <w:p>
            <w:pPr>
              <w:spacing w:after="0"/>
              <w:rPr>
                <w:sz w:val="20"/>
                <w:szCs w:val="20"/>
                <w:color w:val="auto"/>
              </w:rPr>
            </w:pPr>
          </w:p>
        </w:tc>
        <w:tc>
          <w:tcPr>
            <w:tcW w:w="40" w:type="dxa"/>
            <w:vAlign w:val="bottom"/>
            <w:tcBorders>
              <w:top w:val="single" w:sz="8" w:color="EEEEEE"/>
            </w:tcBorders>
          </w:tcPr>
          <w:p>
            <w:pPr>
              <w:spacing w:after="0"/>
              <w:rPr>
                <w:sz w:val="20"/>
                <w:szCs w:val="20"/>
                <w:color w:val="auto"/>
              </w:rPr>
            </w:pPr>
          </w:p>
        </w:tc>
        <w:tc>
          <w:tcPr>
            <w:tcW w:w="180" w:type="dxa"/>
            <w:vAlign w:val="bottom"/>
            <w:tcBorders>
              <w:top w:val="single" w:sz="8" w:color="EEEEEE"/>
            </w:tcBorders>
          </w:tcPr>
          <w:p>
            <w:pPr>
              <w:spacing w:after="0"/>
              <w:rPr>
                <w:sz w:val="20"/>
                <w:szCs w:val="20"/>
                <w:color w:val="auto"/>
              </w:rPr>
            </w:pPr>
          </w:p>
        </w:tc>
        <w:tc>
          <w:tcPr>
            <w:tcW w:w="100" w:type="dxa"/>
            <w:vAlign w:val="bottom"/>
            <w:tcBorders>
              <w:top w:val="single" w:sz="8" w:color="EEEEEE"/>
            </w:tcBorders>
          </w:tcPr>
          <w:p>
            <w:pPr>
              <w:spacing w:after="0"/>
              <w:rPr>
                <w:sz w:val="20"/>
                <w:szCs w:val="20"/>
                <w:color w:val="auto"/>
              </w:rPr>
            </w:pPr>
          </w:p>
        </w:tc>
        <w:tc>
          <w:tcPr>
            <w:tcW w:w="40" w:type="dxa"/>
            <w:vAlign w:val="bottom"/>
            <w:tcBorders>
              <w:top w:val="single" w:sz="8" w:color="EEEEEE"/>
            </w:tcBorders>
          </w:tcPr>
          <w:p>
            <w:pPr>
              <w:spacing w:after="0"/>
              <w:rPr>
                <w:sz w:val="20"/>
                <w:szCs w:val="20"/>
                <w:color w:val="auto"/>
              </w:rPr>
            </w:pPr>
          </w:p>
        </w:tc>
        <w:tc>
          <w:tcPr>
            <w:tcW w:w="200" w:type="dxa"/>
            <w:vAlign w:val="bottom"/>
            <w:tcBorders>
              <w:top w:val="single" w:sz="8" w:color="808080"/>
            </w:tcBorders>
          </w:tcPr>
          <w:p>
            <w:pPr>
              <w:spacing w:after="0"/>
              <w:rPr>
                <w:sz w:val="20"/>
                <w:szCs w:val="20"/>
                <w:color w:val="auto"/>
              </w:rPr>
            </w:pPr>
          </w:p>
        </w:tc>
        <w:tc>
          <w:tcPr>
            <w:tcW w:w="340" w:type="dxa"/>
            <w:vAlign w:val="bottom"/>
            <w:tcBorders>
              <w:top w:val="single" w:sz="8" w:color="808080"/>
            </w:tcBorders>
          </w:tcPr>
          <w:p>
            <w:pPr>
              <w:spacing w:after="0"/>
              <w:rPr>
                <w:sz w:val="20"/>
                <w:szCs w:val="20"/>
                <w:color w:val="auto"/>
              </w:rPr>
            </w:pPr>
          </w:p>
        </w:tc>
        <w:tc>
          <w:tcPr>
            <w:tcW w:w="100" w:type="dxa"/>
            <w:vAlign w:val="bottom"/>
            <w:tcBorders>
              <w:top w:val="single" w:sz="8" w:color="808080"/>
            </w:tcBorders>
          </w:tcPr>
          <w:p>
            <w:pPr>
              <w:spacing w:after="0"/>
              <w:rPr>
                <w:sz w:val="20"/>
                <w:szCs w:val="20"/>
                <w:color w:val="auto"/>
              </w:rPr>
            </w:pPr>
          </w:p>
        </w:tc>
        <w:tc>
          <w:tcPr>
            <w:tcW w:w="100" w:type="dxa"/>
            <w:vAlign w:val="bottom"/>
            <w:tcBorders>
              <w:top w:val="single" w:sz="8" w:color="808080"/>
            </w:tcBorders>
          </w:tcPr>
          <w:p>
            <w:pPr>
              <w:spacing w:after="0"/>
              <w:rPr>
                <w:sz w:val="20"/>
                <w:szCs w:val="20"/>
                <w:color w:val="auto"/>
              </w:rPr>
            </w:pPr>
          </w:p>
        </w:tc>
        <w:tc>
          <w:tcPr>
            <w:tcW w:w="420" w:type="dxa"/>
            <w:vAlign w:val="bottom"/>
            <w:tcBorders>
              <w:top w:val="single" w:sz="8" w:color="EEEEEE"/>
            </w:tcBorders>
          </w:tcPr>
          <w:p>
            <w:pPr>
              <w:spacing w:after="0"/>
              <w:rPr>
                <w:sz w:val="20"/>
                <w:szCs w:val="20"/>
                <w:color w:val="auto"/>
              </w:rPr>
            </w:pPr>
          </w:p>
        </w:tc>
        <w:tc>
          <w:tcPr>
            <w:tcW w:w="140" w:type="dxa"/>
            <w:vAlign w:val="bottom"/>
            <w:tcBorders>
              <w:top w:val="single" w:sz="8" w:color="EEEEEE"/>
            </w:tcBorders>
          </w:tcPr>
          <w:p>
            <w:pPr>
              <w:spacing w:after="0"/>
              <w:rPr>
                <w:sz w:val="20"/>
                <w:szCs w:val="20"/>
                <w:color w:val="auto"/>
              </w:rPr>
            </w:pPr>
          </w:p>
        </w:tc>
        <w:tc>
          <w:tcPr>
            <w:tcW w:w="80" w:type="dxa"/>
            <w:vAlign w:val="bottom"/>
            <w:tcBorders>
              <w:top w:val="single" w:sz="8" w:color="EEEEEE"/>
            </w:tcBorders>
          </w:tcPr>
          <w:p>
            <w:pPr>
              <w:spacing w:after="0"/>
              <w:rPr>
                <w:sz w:val="20"/>
                <w:szCs w:val="20"/>
                <w:color w:val="auto"/>
              </w:rPr>
            </w:pPr>
          </w:p>
        </w:tc>
        <w:tc>
          <w:tcPr>
            <w:tcW w:w="160" w:type="dxa"/>
            <w:vAlign w:val="bottom"/>
            <w:tcBorders>
              <w:top w:val="single" w:sz="8" w:color="EEEEEE"/>
            </w:tcBorders>
          </w:tcPr>
          <w:p>
            <w:pPr>
              <w:spacing w:after="0"/>
              <w:rPr>
                <w:sz w:val="20"/>
                <w:szCs w:val="20"/>
                <w:color w:val="auto"/>
              </w:rPr>
            </w:pPr>
          </w:p>
        </w:tc>
        <w:tc>
          <w:tcPr>
            <w:tcW w:w="160" w:type="dxa"/>
            <w:vAlign w:val="bottom"/>
            <w:tcBorders>
              <w:top w:val="single" w:sz="8" w:color="EEEEEE"/>
            </w:tcBorders>
          </w:tcPr>
          <w:p>
            <w:pPr>
              <w:spacing w:after="0"/>
              <w:rPr>
                <w:sz w:val="20"/>
                <w:szCs w:val="20"/>
                <w:color w:val="auto"/>
              </w:rPr>
            </w:pPr>
          </w:p>
        </w:tc>
        <w:tc>
          <w:tcPr>
            <w:tcW w:w="40" w:type="dxa"/>
            <w:vAlign w:val="bottom"/>
            <w:tcBorders>
              <w:top w:val="single" w:sz="8" w:color="EEEEEE"/>
            </w:tcBorders>
          </w:tcPr>
          <w:p>
            <w:pPr>
              <w:spacing w:after="0"/>
              <w:rPr>
                <w:sz w:val="20"/>
                <w:szCs w:val="20"/>
                <w:color w:val="auto"/>
              </w:rPr>
            </w:pPr>
          </w:p>
        </w:tc>
        <w:tc>
          <w:tcPr>
            <w:tcW w:w="220" w:type="dxa"/>
            <w:vAlign w:val="bottom"/>
            <w:tcBorders>
              <w:top w:val="single" w:sz="8" w:color="808080"/>
            </w:tcBorders>
          </w:tcPr>
          <w:p>
            <w:pPr>
              <w:spacing w:after="0"/>
              <w:rPr>
                <w:sz w:val="20"/>
                <w:szCs w:val="20"/>
                <w:color w:val="auto"/>
              </w:rPr>
            </w:pPr>
          </w:p>
        </w:tc>
        <w:tc>
          <w:tcPr>
            <w:tcW w:w="340" w:type="dxa"/>
            <w:vAlign w:val="bottom"/>
            <w:tcBorders>
              <w:top w:val="single" w:sz="8" w:color="808080"/>
            </w:tcBorders>
          </w:tcPr>
          <w:p>
            <w:pPr>
              <w:spacing w:after="0"/>
              <w:rPr>
                <w:sz w:val="20"/>
                <w:szCs w:val="20"/>
                <w:color w:val="auto"/>
              </w:rPr>
            </w:pPr>
          </w:p>
        </w:tc>
        <w:tc>
          <w:tcPr>
            <w:tcW w:w="160" w:type="dxa"/>
            <w:vAlign w:val="bottom"/>
            <w:tcBorders>
              <w:top w:val="single" w:sz="8" w:color="808080"/>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420" w:type="dxa"/>
            <w:vAlign w:val="bottom"/>
            <w:tcBorders>
              <w:top w:val="single" w:sz="8" w:color="EEEEEE"/>
            </w:tcBorders>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 Includes international sales of</w:t>
            </w:r>
          </w:p>
        </w:tc>
        <w:tc>
          <w:tcPr>
            <w:tcW w:w="9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$ 81,135</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w w:val="99"/>
              </w:rPr>
              <w:t>$ 69,140</w:t>
            </w:r>
          </w:p>
        </w:tc>
        <w:tc>
          <w:tcPr>
            <w:tcW w:w="3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268,286</w:t>
            </w: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230,151</w:t>
            </w: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9"/>
          </w:tcPr>
          <w:p>
            <w:pPr>
              <w:jc w:val="center"/>
              <w:ind w:right="400"/>
              <w:spacing w:after="0"/>
              <w:rPr>
                <w:sz w:val="20"/>
                <w:szCs w:val="20"/>
                <w:color w:val="auto"/>
              </w:rPr>
            </w:pPr>
            <w:r>
              <w:rPr>
                <w:rFonts w:ascii="Arial" w:cs="Arial" w:eastAsia="Arial" w:hAnsi="Arial"/>
                <w:sz w:val="18"/>
                <w:szCs w:val="18"/>
                <w:color w:val="auto"/>
                <w:w w:val="94"/>
              </w:rPr>
              <w:t>— more —</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3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6 — Toro Third Quarter Net Earnings Up 26.5% on 15.1% Sales Growth</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Earnings (Loss) Before Income Taxes by Segment (Unaudited)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July 30,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August 1,</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July 30,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August 1,</w:t>
            </w: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Segment Earnings (Loss)</w:t>
            </w:r>
          </w:p>
        </w:tc>
        <w:tc>
          <w:tcPr>
            <w:tcW w:w="860" w:type="dxa"/>
            <w:vAlign w:val="bottom"/>
            <w:vMerge w:val="restart"/>
          </w:tcPr>
          <w:p>
            <w:pPr>
              <w:spacing w:after="0"/>
              <w:rPr>
                <w:sz w:val="16"/>
                <w:szCs w:val="16"/>
                <w:color w:val="auto"/>
              </w:rPr>
            </w:pPr>
          </w:p>
        </w:tc>
        <w:tc>
          <w:tcPr>
            <w:tcW w:w="92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6"/>
                <w:szCs w:val="16"/>
                <w:color w:val="auto"/>
              </w:rPr>
            </w:pPr>
          </w:p>
        </w:tc>
        <w:tc>
          <w:tcPr>
            <w:tcW w:w="12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6"/>
                <w:szCs w:val="16"/>
                <w:color w:val="auto"/>
              </w:rPr>
            </w:pPr>
          </w:p>
        </w:tc>
        <w:tc>
          <w:tcPr>
            <w:tcW w:w="122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6"/>
                <w:szCs w:val="16"/>
                <w:color w:val="auto"/>
              </w:rPr>
            </w:pPr>
          </w:p>
        </w:tc>
        <w:tc>
          <w:tcPr>
            <w:tcW w:w="12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1540" w:type="dxa"/>
            <w:vAlign w:val="bottom"/>
            <w:tcBorders>
              <w:bottom w:val="single" w:sz="8" w:color="auto"/>
            </w:tcBorders>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440" w:type="dxa"/>
            <w:vAlign w:val="bottom"/>
          </w:tcPr>
          <w:p>
            <w:pPr>
              <w:spacing w:after="0"/>
              <w:rPr>
                <w:sz w:val="21"/>
                <w:szCs w:val="21"/>
                <w:color w:val="auto"/>
              </w:rPr>
            </w:pPr>
          </w:p>
        </w:tc>
        <w:tc>
          <w:tcPr>
            <w:tcW w:w="2400" w:type="dxa"/>
            <w:vAlign w:val="bottom"/>
            <w:gridSpan w:val="3"/>
            <w:shd w:val="clear" w:color="auto" w:fill="EEEEEE"/>
          </w:tcPr>
          <w:p>
            <w:pPr>
              <w:spacing w:after="0" w:line="250" w:lineRule="exact"/>
              <w:rPr>
                <w:sz w:val="20"/>
                <w:szCs w:val="20"/>
                <w:color w:val="auto"/>
              </w:rPr>
            </w:pPr>
            <w:r>
              <w:rPr>
                <w:rFonts w:ascii="Arial" w:cs="Arial" w:eastAsia="Arial" w:hAnsi="Arial"/>
                <w:sz w:val="17"/>
                <w:szCs w:val="17"/>
                <w:color w:val="auto"/>
              </w:rPr>
              <w:t>Professional</w:t>
            </w:r>
            <w:r>
              <w:rPr>
                <w:rFonts w:ascii="Arial" w:cs="Arial" w:eastAsia="Arial" w:hAnsi="Arial"/>
                <w:sz w:val="28"/>
                <w:szCs w:val="28"/>
                <w:color w:val="auto"/>
                <w:vertAlign w:val="superscript"/>
              </w:rPr>
              <w:t>1</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$ 54,326</w:t>
            </w:r>
          </w:p>
        </w:tc>
        <w:tc>
          <w:tcPr>
            <w:tcW w:w="420" w:type="dxa"/>
            <w:vAlign w:val="bottom"/>
            <w:shd w:val="clear" w:color="auto" w:fill="EEEEEE"/>
          </w:tcPr>
          <w:p>
            <w:pPr>
              <w:spacing w:after="0"/>
              <w:rPr>
                <w:sz w:val="21"/>
                <w:szCs w:val="21"/>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$ 42,235</w:t>
            </w:r>
          </w:p>
        </w:tc>
        <w:tc>
          <w:tcPr>
            <w:tcW w:w="420" w:type="dxa"/>
            <w:vAlign w:val="bottom"/>
            <w:tcBorders>
              <w:left w:val="single" w:sz="8" w:color="EEEEEE"/>
            </w:tcBorders>
            <w:shd w:val="clear" w:color="auto" w:fill="EEEEEE"/>
          </w:tcPr>
          <w:p>
            <w:pPr>
              <w:spacing w:after="0"/>
              <w:rPr>
                <w:sz w:val="21"/>
                <w:szCs w:val="21"/>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$154,479</w:t>
            </w:r>
          </w:p>
        </w:tc>
        <w:tc>
          <w:tcPr>
            <w:tcW w:w="360" w:type="dxa"/>
            <w:vAlign w:val="bottom"/>
            <w:shd w:val="clear" w:color="auto" w:fill="EEEEEE"/>
          </w:tcPr>
          <w:p>
            <w:pPr>
              <w:spacing w:after="0"/>
              <w:rPr>
                <w:sz w:val="21"/>
                <w:szCs w:val="21"/>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$133,415</w:t>
            </w:r>
          </w:p>
        </w:tc>
        <w:tc>
          <w:tcPr>
            <w:tcW w:w="36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2"/>
                <w:szCs w:val="22"/>
                <w:color w:val="auto"/>
              </w:rPr>
            </w:pPr>
          </w:p>
        </w:tc>
        <w:tc>
          <w:tcPr>
            <w:tcW w:w="2400" w:type="dxa"/>
            <w:vAlign w:val="bottom"/>
            <w:gridSpan w:val="3"/>
          </w:tcPr>
          <w:p>
            <w:pPr>
              <w:spacing w:after="0" w:line="256" w:lineRule="exact"/>
              <w:rPr>
                <w:sz w:val="20"/>
                <w:szCs w:val="20"/>
                <w:color w:val="auto"/>
              </w:rPr>
            </w:pPr>
            <w:r>
              <w:rPr>
                <w:rFonts w:ascii="Arial" w:cs="Arial" w:eastAsia="Arial" w:hAnsi="Arial"/>
                <w:sz w:val="18"/>
                <w:szCs w:val="18"/>
                <w:color w:val="auto"/>
              </w:rPr>
              <w:t>Residential</w:t>
            </w:r>
            <w:r>
              <w:rPr>
                <w:rFonts w:ascii="Arial" w:cs="Arial" w:eastAsia="Arial" w:hAnsi="Arial"/>
                <w:sz w:val="29"/>
                <w:szCs w:val="29"/>
                <w:color w:val="auto"/>
                <w:vertAlign w:val="superscript"/>
              </w:rPr>
              <w:t>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17,635</w:t>
            </w:r>
          </w:p>
        </w:tc>
        <w:tc>
          <w:tcPr>
            <w:tcW w:w="42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13,205</w:t>
            </w:r>
          </w:p>
        </w:tc>
        <w:tc>
          <w:tcPr>
            <w:tcW w:w="42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52,691</w:t>
            </w:r>
          </w:p>
        </w:tc>
        <w:tc>
          <w:tcPr>
            <w:tcW w:w="360" w:type="dxa"/>
            <w:vAlign w:val="bottom"/>
          </w:tcPr>
          <w:p>
            <w:pPr>
              <w:spacing w:after="0"/>
              <w:rPr>
                <w:sz w:val="22"/>
                <w:szCs w:val="22"/>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46,215</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4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Distribution</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2,255</w:t>
            </w:r>
          </w:p>
        </w:tc>
        <w:tc>
          <w:tcPr>
            <w:tcW w:w="42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2,327</w:t>
            </w:r>
          </w:p>
        </w:tc>
        <w:tc>
          <w:tcPr>
            <w:tcW w:w="42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1,685</w:t>
            </w:r>
          </w:p>
        </w:tc>
        <w:tc>
          <w:tcPr>
            <w:tcW w:w="360" w:type="dxa"/>
            <w:vAlign w:val="bottom"/>
            <w:shd w:val="clear" w:color="auto" w:fill="EEEEEE"/>
          </w:tcPr>
          <w:p>
            <w:pPr>
              <w:spacing w:after="0"/>
              <w:rPr>
                <w:sz w:val="18"/>
                <w:szCs w:val="18"/>
                <w:color w:val="auto"/>
              </w:rPr>
            </w:pPr>
          </w:p>
        </w:tc>
        <w:tc>
          <w:tcPr>
            <w:tcW w:w="158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2400" w:type="dxa"/>
            <w:vAlign w:val="bottom"/>
            <w:gridSpan w:val="3"/>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(23,842)</w:t>
            </w:r>
          </w:p>
        </w:tc>
        <w:tc>
          <w:tcPr>
            <w:tcW w:w="1640" w:type="dxa"/>
            <w:vAlign w:val="bottom"/>
            <w:gridSpan w:val="4"/>
          </w:tcPr>
          <w:p>
            <w:pPr>
              <w:jc w:val="right"/>
              <w:ind w:right="360"/>
              <w:spacing w:after="0"/>
              <w:rPr>
                <w:sz w:val="20"/>
                <w:szCs w:val="20"/>
                <w:color w:val="auto"/>
              </w:rPr>
            </w:pPr>
            <w:r>
              <w:rPr>
                <w:rFonts w:ascii="Arial" w:cs="Arial" w:eastAsia="Arial" w:hAnsi="Arial"/>
                <w:sz w:val="18"/>
                <w:szCs w:val="18"/>
                <w:color w:val="auto"/>
              </w:rPr>
              <w:t>(17,403)</w:t>
            </w:r>
          </w:p>
        </w:tc>
        <w:tc>
          <w:tcPr>
            <w:tcW w:w="1580" w:type="dxa"/>
            <w:vAlign w:val="bottom"/>
            <w:gridSpan w:val="4"/>
          </w:tcPr>
          <w:p>
            <w:pPr>
              <w:jc w:val="right"/>
              <w:ind w:right="300"/>
              <w:spacing w:after="0"/>
              <w:rPr>
                <w:sz w:val="20"/>
                <w:szCs w:val="20"/>
                <w:color w:val="auto"/>
              </w:rPr>
            </w:pPr>
            <w:r>
              <w:rPr>
                <w:rFonts w:ascii="Arial" w:cs="Arial" w:eastAsia="Arial" w:hAnsi="Arial"/>
                <w:sz w:val="18"/>
                <w:szCs w:val="18"/>
                <w:color w:val="auto"/>
              </w:rPr>
              <w:t>(65,964)</w:t>
            </w:r>
          </w:p>
        </w:tc>
        <w:tc>
          <w:tcPr>
            <w:tcW w:w="1580" w:type="dxa"/>
            <w:vAlign w:val="bottom"/>
            <w:gridSpan w:val="4"/>
          </w:tcPr>
          <w:p>
            <w:pPr>
              <w:jc w:val="right"/>
              <w:ind w:right="300"/>
              <w:spacing w:after="0"/>
              <w:rPr>
                <w:sz w:val="20"/>
                <w:szCs w:val="20"/>
                <w:color w:val="auto"/>
              </w:rPr>
            </w:pPr>
            <w:r>
              <w:rPr>
                <w:rFonts w:ascii="Arial" w:cs="Arial" w:eastAsia="Arial" w:hAnsi="Arial"/>
                <w:sz w:val="18"/>
                <w:szCs w:val="18"/>
                <w:color w:val="auto"/>
              </w:rPr>
              <w:t>(65,781)</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1440" w:type="dxa"/>
            <w:vAlign w:val="bottom"/>
          </w:tcPr>
          <w:p>
            <w:pPr>
              <w:spacing w:after="0"/>
              <w:rPr>
                <w:sz w:val="19"/>
                <w:szCs w:val="19"/>
                <w:color w:val="auto"/>
              </w:rPr>
            </w:pPr>
          </w:p>
        </w:tc>
        <w:tc>
          <w:tcPr>
            <w:tcW w:w="240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Total</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$ 50,374</w:t>
            </w:r>
          </w:p>
        </w:tc>
        <w:tc>
          <w:tcPr>
            <w:tcW w:w="420" w:type="dxa"/>
            <w:vAlign w:val="bottom"/>
            <w:shd w:val="clear" w:color="auto" w:fill="EEEEEE"/>
          </w:tcPr>
          <w:p>
            <w:pPr>
              <w:spacing w:after="0"/>
              <w:rPr>
                <w:sz w:val="19"/>
                <w:szCs w:val="19"/>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$ 40,364</w:t>
            </w:r>
          </w:p>
        </w:tc>
        <w:tc>
          <w:tcPr>
            <w:tcW w:w="420" w:type="dxa"/>
            <w:vAlign w:val="bottom"/>
            <w:tcBorders>
              <w:left w:val="single" w:sz="8" w:color="EEEEEE"/>
            </w:tcBorders>
            <w:shd w:val="clear" w:color="auto" w:fill="EEEEEE"/>
          </w:tcPr>
          <w:p>
            <w:pPr>
              <w:spacing w:after="0"/>
              <w:rPr>
                <w:sz w:val="19"/>
                <w:szCs w:val="19"/>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$142,891</w:t>
            </w:r>
          </w:p>
        </w:tc>
        <w:tc>
          <w:tcPr>
            <w:tcW w:w="360" w:type="dxa"/>
            <w:vAlign w:val="bottom"/>
            <w:shd w:val="clear" w:color="auto" w:fill="EEEEEE"/>
          </w:tcPr>
          <w:p>
            <w:pPr>
              <w:spacing w:after="0"/>
              <w:rPr>
                <w:sz w:val="19"/>
                <w:szCs w:val="19"/>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$113,426</w:t>
            </w:r>
          </w:p>
        </w:tc>
        <w:tc>
          <w:tcPr>
            <w:tcW w:w="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320" w:firstLine="7"/>
        <w:spacing w:after="0" w:line="194" w:lineRule="auto"/>
        <w:tabs>
          <w:tab w:leader="none" w:pos="58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Includes restructuring and other income of $52 thousand for the nine-month period in fiscal 2004. Includes restructuring and other income of $14 thousand and $86 thousand for the three-month and nine-month periods in fiscal 2003, respectively.</w:t>
      </w:r>
    </w:p>
    <w:p>
      <w:pPr>
        <w:spacing w:after="0" w:line="243" w:lineRule="exact"/>
        <w:rPr>
          <w:sz w:val="20"/>
          <w:szCs w:val="20"/>
          <w:color w:val="auto"/>
        </w:rPr>
      </w:pPr>
    </w:p>
    <w:p>
      <w:pPr>
        <w:ind w:left="460" w:firstLine="7"/>
        <w:spacing w:after="0" w:line="209" w:lineRule="auto"/>
        <w:tabs>
          <w:tab w:leader="none" w:pos="58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Includes restructuring and other income of $228 thousand and $262 thousand for the three-month and nine-month periods in fiscal 2004, respectively. Includes restructuring and other expense of $1,669 thousand and $1,561 thousand for the three-month and nine-month periods in fiscal 2003, respectively.</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37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30,</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1,</w:t>
            </w:r>
          </w:p>
        </w:tc>
      </w:tr>
      <w:tr>
        <w:trPr>
          <w:trHeight w:val="186"/>
        </w:trPr>
        <w:tc>
          <w:tcPr>
            <w:tcW w:w="6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6"/>
                <w:szCs w:val="16"/>
                <w:color w:val="auto"/>
              </w:rPr>
            </w:pPr>
          </w:p>
        </w:tc>
      </w:tr>
      <w:tr>
        <w:trPr>
          <w:trHeight w:val="53"/>
        </w:trPr>
        <w:tc>
          <w:tcPr>
            <w:tcW w:w="640" w:type="dxa"/>
            <w:vAlign w:val="bottom"/>
          </w:tcPr>
          <w:p>
            <w:pPr>
              <w:spacing w:after="0"/>
              <w:rPr>
                <w:sz w:val="4"/>
                <w:szCs w:val="4"/>
                <w:color w:val="auto"/>
              </w:rPr>
            </w:pPr>
          </w:p>
        </w:tc>
        <w:tc>
          <w:tcPr>
            <w:tcW w:w="30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r>
      <w:tr>
        <w:trPr>
          <w:trHeight w:val="75"/>
        </w:trPr>
        <w:tc>
          <w:tcPr>
            <w:tcW w:w="640" w:type="dxa"/>
            <w:vAlign w:val="bottom"/>
          </w:tcPr>
          <w:p>
            <w:pPr>
              <w:spacing w:after="0"/>
              <w:rPr>
                <w:sz w:val="6"/>
                <w:szCs w:val="6"/>
                <w:color w:val="auto"/>
              </w:rPr>
            </w:pPr>
          </w:p>
        </w:tc>
        <w:tc>
          <w:tcPr>
            <w:tcW w:w="3060" w:type="dxa"/>
            <w:vAlign w:val="bottom"/>
          </w:tcPr>
          <w:p>
            <w:pPr>
              <w:spacing w:after="0"/>
              <w:rPr>
                <w:sz w:val="6"/>
                <w:szCs w:val="6"/>
                <w:color w:val="auto"/>
              </w:rPr>
            </w:pPr>
          </w:p>
        </w:tc>
        <w:tc>
          <w:tcPr>
            <w:tcW w:w="2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r>
      <w:tr>
        <w:trPr>
          <w:trHeight w:val="176"/>
        </w:trPr>
        <w:tc>
          <w:tcPr>
            <w:tcW w:w="5940" w:type="dxa"/>
            <w:vAlign w:val="bottom"/>
            <w:gridSpan w:val="3"/>
            <w:shd w:val="clear" w:color="auto" w:fill="EEEEEE"/>
          </w:tcPr>
          <w:p>
            <w:pPr>
              <w:spacing w:after="0" w:line="176" w:lineRule="exact"/>
              <w:rPr>
                <w:sz w:val="20"/>
                <w:szCs w:val="20"/>
                <w:color w:val="auto"/>
              </w:rPr>
            </w:pPr>
            <w:r>
              <w:rPr>
                <w:rFonts w:ascii="Arial" w:cs="Arial" w:eastAsia="Arial" w:hAnsi="Arial"/>
                <w:sz w:val="18"/>
                <w:szCs w:val="18"/>
                <w:color w:val="auto"/>
              </w:rPr>
              <w:t>ASSETS</w:t>
            </w:r>
          </w:p>
        </w:tc>
        <w:tc>
          <w:tcPr>
            <w:tcW w:w="240" w:type="dxa"/>
            <w:vAlign w:val="bottom"/>
            <w:tcBorders>
              <w:right w:val="single" w:sz="8" w:color="EEEEEE"/>
            </w:tcBorders>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260" w:type="dxa"/>
            <w:vAlign w:val="bottom"/>
            <w:tcBorders>
              <w:right w:val="single" w:sz="8" w:color="EEEEEE"/>
            </w:tcBorders>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r>
      <w:tr>
        <w:trPr>
          <w:trHeight w:val="21"/>
        </w:trPr>
        <w:tc>
          <w:tcPr>
            <w:tcW w:w="640" w:type="dxa"/>
            <w:vAlign w:val="bottom"/>
            <w:tcBorders>
              <w:top w:val="single" w:sz="8" w:color="auto"/>
            </w:tcBorders>
            <w:shd w:val="clear" w:color="auto" w:fill="EEEEEE"/>
          </w:tcPr>
          <w:p>
            <w:pPr>
              <w:spacing w:after="0" w:line="20" w:lineRule="exact"/>
              <w:rPr>
                <w:sz w:val="1"/>
                <w:szCs w:val="1"/>
                <w:color w:val="auto"/>
              </w:rPr>
            </w:pPr>
          </w:p>
        </w:tc>
        <w:tc>
          <w:tcPr>
            <w:tcW w:w="3060" w:type="dxa"/>
            <w:vAlign w:val="bottom"/>
            <w:tcBorders>
              <w:top w:val="single" w:sz="8" w:color="EEEEEE"/>
            </w:tcBorders>
            <w:shd w:val="clear" w:color="auto" w:fill="EEEEEE"/>
          </w:tcPr>
          <w:p>
            <w:pPr>
              <w:spacing w:after="0" w:line="20" w:lineRule="exact"/>
              <w:rPr>
                <w:sz w:val="1"/>
                <w:szCs w:val="1"/>
                <w:color w:val="auto"/>
              </w:rPr>
            </w:pPr>
          </w:p>
        </w:tc>
        <w:tc>
          <w:tcPr>
            <w:tcW w:w="22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34,022</w:t>
            </w:r>
          </w:p>
        </w:tc>
        <w:tc>
          <w:tcPr>
            <w:tcW w:w="3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15,725</w:t>
            </w:r>
          </w:p>
        </w:tc>
        <w:tc>
          <w:tcPr>
            <w:tcW w:w="280" w:type="dxa"/>
            <w:vAlign w:val="bottom"/>
          </w:tcPr>
          <w:p>
            <w:pPr>
              <w:spacing w:after="0"/>
              <w:rPr>
                <w:sz w:val="18"/>
                <w:szCs w:val="18"/>
                <w:color w:val="auto"/>
              </w:rPr>
            </w:pPr>
          </w:p>
        </w:tc>
      </w:tr>
      <w:tr>
        <w:trPr>
          <w:trHeight w:val="216"/>
        </w:trPr>
        <w:tc>
          <w:tcPr>
            <w:tcW w:w="59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Receivables, net</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381,329</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373,173</w:t>
            </w:r>
          </w:p>
        </w:tc>
        <w:tc>
          <w:tcPr>
            <w:tcW w:w="280" w:type="dxa"/>
            <w:vAlign w:val="bottom"/>
            <w:shd w:val="clear" w:color="auto" w:fill="EEEEEE"/>
          </w:tcPr>
          <w:p>
            <w:pPr>
              <w:spacing w:after="0"/>
              <w:rPr>
                <w:sz w:val="18"/>
                <w:szCs w:val="18"/>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217,357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236,035</w:t>
            </w:r>
          </w:p>
        </w:tc>
        <w:tc>
          <w:tcPr>
            <w:tcW w:w="280" w:type="dxa"/>
            <w:vAlign w:val="bottom"/>
          </w:tcPr>
          <w:p>
            <w:pPr>
              <w:spacing w:after="0"/>
              <w:rPr>
                <w:sz w:val="18"/>
                <w:szCs w:val="18"/>
                <w:color w:val="auto"/>
              </w:rPr>
            </w:pPr>
          </w:p>
        </w:tc>
      </w:tr>
      <w:tr>
        <w:trPr>
          <w:trHeight w:val="216"/>
        </w:trPr>
        <w:tc>
          <w:tcPr>
            <w:tcW w:w="59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13,968</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13,451</w:t>
            </w:r>
          </w:p>
        </w:tc>
        <w:tc>
          <w:tcPr>
            <w:tcW w:w="280" w:type="dxa"/>
            <w:vAlign w:val="bottom"/>
            <w:shd w:val="clear" w:color="auto" w:fill="EEEEEE"/>
          </w:tcPr>
          <w:p>
            <w:pPr>
              <w:spacing w:after="0"/>
              <w:rPr>
                <w:sz w:val="18"/>
                <w:szCs w:val="18"/>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49,103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42,299</w:t>
            </w:r>
          </w:p>
        </w:tc>
        <w:tc>
          <w:tcPr>
            <w:tcW w:w="280" w:type="dxa"/>
            <w:vAlign w:val="bottom"/>
          </w:tcPr>
          <w:p>
            <w:pPr>
              <w:spacing w:after="0"/>
              <w:rPr>
                <w:sz w:val="18"/>
                <w:szCs w:val="18"/>
                <w:color w:val="auto"/>
              </w:rPr>
            </w:pPr>
          </w:p>
        </w:tc>
      </w:tr>
      <w:tr>
        <w:trPr>
          <w:trHeight w:val="21"/>
        </w:trPr>
        <w:tc>
          <w:tcPr>
            <w:tcW w:w="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6"/>
        </w:trPr>
        <w:tc>
          <w:tcPr>
            <w:tcW w:w="594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695,779</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680,683</w:t>
            </w:r>
          </w:p>
        </w:tc>
        <w:tc>
          <w:tcPr>
            <w:tcW w:w="280" w:type="dxa"/>
            <w:vAlign w:val="bottom"/>
            <w:shd w:val="clear" w:color="auto" w:fill="EEEEEE"/>
          </w:tcPr>
          <w:p>
            <w:pPr>
              <w:spacing w:after="0"/>
              <w:rPr>
                <w:sz w:val="18"/>
                <w:szCs w:val="18"/>
                <w:color w:val="auto"/>
              </w:rPr>
            </w:pPr>
          </w:p>
        </w:tc>
      </w:tr>
      <w:tr>
        <w:trPr>
          <w:trHeight w:val="237"/>
        </w:trPr>
        <w:tc>
          <w:tcPr>
            <w:tcW w:w="594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164,851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163,593</w:t>
            </w:r>
          </w:p>
        </w:tc>
        <w:tc>
          <w:tcPr>
            <w:tcW w:w="280" w:type="dxa"/>
            <w:vAlign w:val="bottom"/>
          </w:tcPr>
          <w:p>
            <w:pPr>
              <w:spacing w:after="0"/>
              <w:rPr>
                <w:sz w:val="20"/>
                <w:szCs w:val="20"/>
                <w:color w:val="auto"/>
              </w:rPr>
            </w:pPr>
          </w:p>
        </w:tc>
      </w:tr>
      <w:tr>
        <w:trPr>
          <w:trHeight w:val="216"/>
        </w:trPr>
        <w:tc>
          <w:tcPr>
            <w:tcW w:w="59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1,181</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4,196</w:t>
            </w:r>
          </w:p>
        </w:tc>
        <w:tc>
          <w:tcPr>
            <w:tcW w:w="280" w:type="dxa"/>
            <w:vAlign w:val="bottom"/>
            <w:shd w:val="clear" w:color="auto" w:fill="EEEEEE"/>
          </w:tcPr>
          <w:p>
            <w:pPr>
              <w:spacing w:after="0"/>
              <w:rPr>
                <w:sz w:val="18"/>
                <w:szCs w:val="18"/>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Goodwill and other assets, net</w:t>
            </w:r>
          </w:p>
        </w:tc>
        <w:tc>
          <w:tcPr>
            <w:tcW w:w="24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98,942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94,232</w:t>
            </w:r>
          </w:p>
        </w:tc>
        <w:tc>
          <w:tcPr>
            <w:tcW w:w="280" w:type="dxa"/>
            <w:vAlign w:val="bottom"/>
          </w:tcPr>
          <w:p>
            <w:pPr>
              <w:spacing w:after="0"/>
              <w:rPr>
                <w:sz w:val="18"/>
                <w:szCs w:val="18"/>
                <w:color w:val="auto"/>
              </w:rPr>
            </w:pPr>
          </w:p>
        </w:tc>
      </w:tr>
      <w:tr>
        <w:trPr>
          <w:trHeight w:val="21"/>
        </w:trPr>
        <w:tc>
          <w:tcPr>
            <w:tcW w:w="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3"/>
        </w:trPr>
        <w:tc>
          <w:tcPr>
            <w:tcW w:w="5940" w:type="dxa"/>
            <w:vAlign w:val="bottom"/>
            <w:gridSpan w:val="3"/>
            <w:shd w:val="clear" w:color="auto" w:fill="EEEEEE"/>
          </w:tcPr>
          <w:p>
            <w:pPr>
              <w:ind w:left="140"/>
              <w:spacing w:after="0"/>
              <w:rPr>
                <w:sz w:val="20"/>
                <w:szCs w:val="20"/>
                <w:color w:val="auto"/>
              </w:rPr>
            </w:pPr>
            <w:r>
              <w:rPr>
                <w:rFonts w:ascii="Arial" w:cs="Arial" w:eastAsia="Arial" w:hAnsi="Arial"/>
                <w:sz w:val="18"/>
                <w:szCs w:val="18"/>
                <w:color w:val="auto"/>
              </w:rPr>
              <w:t>Total assets</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960,753</w:t>
            </w:r>
          </w:p>
        </w:tc>
        <w:tc>
          <w:tcPr>
            <w:tcW w:w="300" w:type="dxa"/>
            <w:vAlign w:val="bottom"/>
            <w:shd w:val="clear" w:color="auto" w:fill="EEEEEE"/>
          </w:tcPr>
          <w:p>
            <w:pPr>
              <w:spacing w:after="0"/>
              <w:rPr>
                <w:sz w:val="22"/>
                <w:szCs w:val="22"/>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942,704</w:t>
            </w:r>
          </w:p>
        </w:tc>
        <w:tc>
          <w:tcPr>
            <w:tcW w:w="280" w:type="dxa"/>
            <w:vAlign w:val="bottom"/>
            <w:shd w:val="clear" w:color="auto" w:fill="EEEEEE"/>
          </w:tcPr>
          <w:p>
            <w:pPr>
              <w:spacing w:after="0"/>
              <w:rPr>
                <w:sz w:val="22"/>
                <w:szCs w:val="22"/>
                <w:color w:val="auto"/>
              </w:rPr>
            </w:pPr>
          </w:p>
        </w:tc>
      </w:tr>
      <w:tr>
        <w:trPr>
          <w:trHeight w:val="240"/>
        </w:trPr>
        <w:tc>
          <w:tcPr>
            <w:tcW w:w="640" w:type="dxa"/>
            <w:vAlign w:val="bottom"/>
            <w:tcBorders>
              <w:top w:val="single" w:sz="8" w:color="EEEEEE"/>
            </w:tcBorders>
          </w:tcPr>
          <w:p>
            <w:pPr>
              <w:spacing w:after="0"/>
              <w:rPr>
                <w:sz w:val="20"/>
                <w:szCs w:val="20"/>
                <w:color w:val="auto"/>
              </w:rPr>
            </w:pPr>
          </w:p>
        </w:tc>
        <w:tc>
          <w:tcPr>
            <w:tcW w:w="3060" w:type="dxa"/>
            <w:vAlign w:val="bottom"/>
            <w:tcBorders>
              <w:top w:val="single" w:sz="8" w:color="EEEEEE"/>
            </w:tcBorders>
          </w:tcPr>
          <w:p>
            <w:pPr>
              <w:spacing w:after="0"/>
              <w:rPr>
                <w:sz w:val="20"/>
                <w:szCs w:val="20"/>
                <w:color w:val="auto"/>
              </w:rPr>
            </w:pPr>
          </w:p>
        </w:tc>
        <w:tc>
          <w:tcPr>
            <w:tcW w:w="2240" w:type="dxa"/>
            <w:vAlign w:val="bottom"/>
            <w:tcBorders>
              <w:top w:val="single" w:sz="8" w:color="EEEEEE"/>
            </w:tcBorders>
          </w:tcPr>
          <w:p>
            <w:pPr>
              <w:spacing w:after="0"/>
              <w:rPr>
                <w:sz w:val="20"/>
                <w:szCs w:val="20"/>
                <w:color w:val="auto"/>
              </w:rPr>
            </w:pPr>
          </w:p>
        </w:tc>
        <w:tc>
          <w:tcPr>
            <w:tcW w:w="240" w:type="dxa"/>
            <w:vAlign w:val="bottom"/>
            <w:tcBorders>
              <w:top w:val="single" w:sz="8" w:color="EEEEEE"/>
            </w:tcBorders>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300" w:type="dxa"/>
            <w:vAlign w:val="bottom"/>
            <w:tcBorders>
              <w:top w:val="single" w:sz="8" w:color="EEEEEE"/>
            </w:tcBorders>
          </w:tcPr>
          <w:p>
            <w:pPr>
              <w:spacing w:after="0"/>
              <w:rPr>
                <w:sz w:val="20"/>
                <w:szCs w:val="20"/>
                <w:color w:val="auto"/>
              </w:rPr>
            </w:pPr>
          </w:p>
        </w:tc>
        <w:tc>
          <w:tcPr>
            <w:tcW w:w="360" w:type="dxa"/>
            <w:vAlign w:val="bottom"/>
            <w:tcBorders>
              <w:top w:val="single" w:sz="8" w:color="EEEEEE"/>
            </w:tcBorders>
          </w:tcPr>
          <w:p>
            <w:pPr>
              <w:spacing w:after="0"/>
              <w:rPr>
                <w:sz w:val="20"/>
                <w:szCs w:val="20"/>
                <w:color w:val="auto"/>
              </w:rPr>
            </w:pPr>
          </w:p>
        </w:tc>
        <w:tc>
          <w:tcPr>
            <w:tcW w:w="260" w:type="dxa"/>
            <w:vAlign w:val="bottom"/>
            <w:tcBorders>
              <w:top w:val="single" w:sz="8" w:color="EEEEEE"/>
            </w:tcBorders>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280" w:type="dxa"/>
            <w:vAlign w:val="bottom"/>
            <w:tcBorders>
              <w:top w:val="single" w:sz="8" w:color="EEEEEE"/>
            </w:tcBorders>
          </w:tcPr>
          <w:p>
            <w:pPr>
              <w:spacing w:after="0"/>
              <w:rPr>
                <w:sz w:val="20"/>
                <w:szCs w:val="20"/>
                <w:color w:val="auto"/>
              </w:rPr>
            </w:pPr>
          </w:p>
        </w:tc>
      </w:tr>
      <w:tr>
        <w:trPr>
          <w:trHeight w:val="196"/>
        </w:trPr>
        <w:tc>
          <w:tcPr>
            <w:tcW w:w="5940" w:type="dxa"/>
            <w:vAlign w:val="bottom"/>
            <w:gridSpan w:val="3"/>
            <w:shd w:val="clear" w:color="auto" w:fill="EEEEEE"/>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r>
      <w:tr>
        <w:trPr>
          <w:trHeight w:val="216"/>
        </w:trPr>
        <w:tc>
          <w:tcPr>
            <w:tcW w:w="3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22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EEEEEE"/>
            </w:tcBorders>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top w:val="single" w:sz="8" w:color="EEEEEE"/>
            </w:tcBorders>
          </w:tcPr>
          <w:p>
            <w:pPr>
              <w:spacing w:after="0"/>
              <w:rPr>
                <w:sz w:val="18"/>
                <w:szCs w:val="18"/>
                <w:color w:val="auto"/>
              </w:rPr>
            </w:pPr>
          </w:p>
        </w:tc>
        <w:tc>
          <w:tcPr>
            <w:tcW w:w="620" w:type="dxa"/>
            <w:vAlign w:val="bottom"/>
            <w:tcBorders>
              <w:top w:val="single" w:sz="8" w:color="EEEEEE"/>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EEEEEE"/>
            </w:tcBorders>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Borders>
              <w:top w:val="single" w:sz="8" w:color="EEEEEE"/>
            </w:tcBorders>
          </w:tcPr>
          <w:p>
            <w:pPr>
              <w:spacing w:after="0"/>
              <w:rPr>
                <w:sz w:val="18"/>
                <w:szCs w:val="18"/>
                <w:color w:val="auto"/>
              </w:rPr>
            </w:pPr>
          </w:p>
        </w:tc>
      </w:tr>
      <w:tr>
        <w:trPr>
          <w:trHeight w:val="216"/>
        </w:trPr>
        <w:tc>
          <w:tcPr>
            <w:tcW w:w="59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Short-term debt</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3,146</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5,784</w:t>
            </w:r>
          </w:p>
        </w:tc>
        <w:tc>
          <w:tcPr>
            <w:tcW w:w="280" w:type="dxa"/>
            <w:vAlign w:val="bottom"/>
            <w:shd w:val="clear" w:color="auto" w:fill="EEEEEE"/>
          </w:tcPr>
          <w:p>
            <w:pPr>
              <w:spacing w:after="0"/>
              <w:rPr>
                <w:sz w:val="18"/>
                <w:szCs w:val="18"/>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68,245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67,415</w:t>
            </w:r>
          </w:p>
        </w:tc>
        <w:tc>
          <w:tcPr>
            <w:tcW w:w="280" w:type="dxa"/>
            <w:vAlign w:val="bottom"/>
          </w:tcPr>
          <w:p>
            <w:pPr>
              <w:spacing w:after="0"/>
              <w:rPr>
                <w:sz w:val="18"/>
                <w:szCs w:val="18"/>
                <w:color w:val="auto"/>
              </w:rPr>
            </w:pPr>
          </w:p>
        </w:tc>
      </w:tr>
      <w:tr>
        <w:trPr>
          <w:trHeight w:val="216"/>
        </w:trPr>
        <w:tc>
          <w:tcPr>
            <w:tcW w:w="59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278,060</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239,707</w:t>
            </w:r>
          </w:p>
        </w:tc>
        <w:tc>
          <w:tcPr>
            <w:tcW w:w="280" w:type="dxa"/>
            <w:vAlign w:val="bottom"/>
            <w:shd w:val="clear" w:color="auto" w:fill="EEEEEE"/>
          </w:tcPr>
          <w:p>
            <w:pPr>
              <w:spacing w:after="0"/>
              <w:rPr>
                <w:sz w:val="18"/>
                <w:szCs w:val="18"/>
                <w:color w:val="auto"/>
              </w:rPr>
            </w:pPr>
          </w:p>
        </w:tc>
      </w:tr>
      <w:tr>
        <w:trPr>
          <w:trHeight w:val="237"/>
        </w:trPr>
        <w:tc>
          <w:tcPr>
            <w:tcW w:w="5940" w:type="dxa"/>
            <w:vAlign w:val="bottom"/>
            <w:gridSpan w:val="3"/>
          </w:tcPr>
          <w:p>
            <w:pPr>
              <w:ind w:left="1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349,495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313,156</w:t>
            </w:r>
          </w:p>
        </w:tc>
        <w:tc>
          <w:tcPr>
            <w:tcW w:w="280" w:type="dxa"/>
            <w:vAlign w:val="bottom"/>
          </w:tcPr>
          <w:p>
            <w:pPr>
              <w:spacing w:after="0"/>
              <w:rPr>
                <w:sz w:val="20"/>
                <w:szCs w:val="20"/>
                <w:color w:val="auto"/>
              </w:rPr>
            </w:pPr>
          </w:p>
        </w:tc>
      </w:tr>
      <w:tr>
        <w:trPr>
          <w:trHeight w:val="21"/>
        </w:trPr>
        <w:tc>
          <w:tcPr>
            <w:tcW w:w="6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6"/>
        </w:trPr>
        <w:tc>
          <w:tcPr>
            <w:tcW w:w="59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175,058</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178,703</w:t>
            </w:r>
          </w:p>
        </w:tc>
        <w:tc>
          <w:tcPr>
            <w:tcW w:w="280" w:type="dxa"/>
            <w:vAlign w:val="bottom"/>
            <w:shd w:val="clear" w:color="auto" w:fill="EEEEEE"/>
          </w:tcPr>
          <w:p>
            <w:pPr>
              <w:spacing w:after="0"/>
              <w:rPr>
                <w:sz w:val="18"/>
                <w:szCs w:val="18"/>
                <w:color w:val="auto"/>
              </w:rPr>
            </w:pPr>
          </w:p>
        </w:tc>
      </w:tr>
      <w:tr>
        <w:trPr>
          <w:trHeight w:val="216"/>
        </w:trPr>
        <w:tc>
          <w:tcPr>
            <w:tcW w:w="5940" w:type="dxa"/>
            <w:vAlign w:val="bottom"/>
            <w:gridSpan w:val="3"/>
          </w:tcPr>
          <w:p>
            <w:pPr>
              <w:spacing w:after="0"/>
              <w:rPr>
                <w:sz w:val="20"/>
                <w:szCs w:val="20"/>
                <w:color w:val="auto"/>
              </w:rPr>
            </w:pPr>
            <w:r>
              <w:rPr>
                <w:rFonts w:ascii="Arial" w:cs="Arial" w:eastAsia="Arial" w:hAnsi="Arial"/>
                <w:sz w:val="18"/>
                <w:szCs w:val="18"/>
                <w:color w:val="auto"/>
              </w:rPr>
              <w:t>Deferred revenue and other long-term liabilities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12,747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10,231</w:t>
            </w:r>
          </w:p>
        </w:tc>
        <w:tc>
          <w:tcPr>
            <w:tcW w:w="280" w:type="dxa"/>
            <w:vAlign w:val="bottom"/>
          </w:tcPr>
          <w:p>
            <w:pPr>
              <w:spacing w:after="0"/>
              <w:rPr>
                <w:sz w:val="18"/>
                <w:szCs w:val="18"/>
                <w:color w:val="auto"/>
              </w:rPr>
            </w:pPr>
          </w:p>
        </w:tc>
      </w:tr>
      <w:tr>
        <w:trPr>
          <w:trHeight w:val="216"/>
        </w:trPr>
        <w:tc>
          <w:tcPr>
            <w:tcW w:w="59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423,453</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440,614</w:t>
            </w:r>
          </w:p>
        </w:tc>
        <w:tc>
          <w:tcPr>
            <w:tcW w:w="280" w:type="dxa"/>
            <w:vAlign w:val="bottom"/>
            <w:shd w:val="clear" w:color="auto" w:fill="EEEEEE"/>
          </w:tcPr>
          <w:p>
            <w:pPr>
              <w:spacing w:after="0"/>
              <w:rPr>
                <w:sz w:val="18"/>
                <w:szCs w:val="18"/>
                <w:color w:val="auto"/>
              </w:rPr>
            </w:pPr>
          </w:p>
        </w:tc>
      </w:tr>
      <w:tr>
        <w:trPr>
          <w:trHeight w:val="233"/>
        </w:trPr>
        <w:tc>
          <w:tcPr>
            <w:tcW w:w="5940" w:type="dxa"/>
            <w:vAlign w:val="bottom"/>
            <w:gridSpan w:val="3"/>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960,753</w:t>
            </w:r>
          </w:p>
        </w:tc>
        <w:tc>
          <w:tcPr>
            <w:tcW w:w="3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942,704</w:t>
            </w:r>
          </w:p>
        </w:tc>
        <w:tc>
          <w:tcPr>
            <w:tcW w:w="280" w:type="dxa"/>
            <w:vAlign w:val="bottom"/>
          </w:tcPr>
          <w:p>
            <w:pPr>
              <w:spacing w:after="0"/>
              <w:rPr>
                <w:sz w:val="20"/>
                <w:szCs w:val="20"/>
                <w:color w:val="auto"/>
              </w:rPr>
            </w:pPr>
          </w:p>
        </w:tc>
      </w:tr>
      <w:tr>
        <w:trPr>
          <w:trHeight w:val="61"/>
        </w:trPr>
        <w:tc>
          <w:tcPr>
            <w:tcW w:w="640" w:type="dxa"/>
            <w:vAlign w:val="bottom"/>
          </w:tcPr>
          <w:p>
            <w:pPr>
              <w:spacing w:after="0"/>
              <w:rPr>
                <w:sz w:val="5"/>
                <w:szCs w:val="5"/>
                <w:color w:val="auto"/>
              </w:rPr>
            </w:pPr>
          </w:p>
        </w:tc>
        <w:tc>
          <w:tcPr>
            <w:tcW w:w="306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r>
    </w:tbl>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7 — Toro Third Quarter Net Earnings Up 26.5% on 15.1% Sales Growth</w:t>
      </w:r>
    </w:p>
    <w:p>
      <w:pPr>
        <w:spacing w:after="0" w:line="19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THE TORO COMPANY AND SUBSIDIARIES</w:t>
      </w:r>
    </w:p>
    <w:p>
      <w:pPr>
        <w:spacing w:after="0" w:line="18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378"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44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July 30,</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August 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jc w:val="right"/>
              <w:ind w:right="111"/>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440" w:type="dxa"/>
            <w:vAlign w:val="bottom"/>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earnings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95,737</w:t>
            </w:r>
          </w:p>
        </w:tc>
        <w:tc>
          <w:tcPr>
            <w:tcW w:w="4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75,996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6"/>
              </w:rPr>
              <w:t>Adjustments to reconcile net earnings to net cash provided by operating activities:</w:t>
            </w:r>
          </w:p>
        </w:tc>
        <w:tc>
          <w:tcPr>
            <w:tcW w:w="4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Non-cash asset impairment (recovery) write-off</w:t>
            </w:r>
          </w:p>
        </w:tc>
        <w:tc>
          <w:tcPr>
            <w:tcW w:w="4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(415)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Equity losses from an investment</w:t>
            </w:r>
          </w:p>
        </w:tc>
        <w:tc>
          <w:tcPr>
            <w:tcW w:w="4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538</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Provision for depreciation and amortization</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25,398</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22,950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Gain on disposal of property, plant, and equipment</w:t>
            </w:r>
          </w:p>
        </w:tc>
        <w:tc>
          <w:tcPr>
            <w:tcW w:w="44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Increase in deferred income tax asset</w:t>
            </w:r>
          </w:p>
        </w:tc>
        <w:tc>
          <w:tcPr>
            <w:tcW w:w="4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(7,021)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Tax benefits related to employee stock option transactions</w:t>
            </w:r>
          </w:p>
        </w:tc>
        <w:tc>
          <w:tcPr>
            <w:tcW w:w="4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8,087</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Receivables, net</w:t>
            </w:r>
          </w:p>
        </w:tc>
        <w:tc>
          <w:tcPr>
            <w:tcW w:w="44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5"/>
              </w:rPr>
              <w:t>(107,990)</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8"/>
              </w:rPr>
              <w:t>(119,757)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60"/>
              <w:spacing w:after="0"/>
              <w:rPr>
                <w:sz w:val="20"/>
                <w:szCs w:val="20"/>
                <w:color w:val="auto"/>
              </w:rPr>
            </w:pPr>
            <w:r>
              <w:rPr>
                <w:rFonts w:ascii="Arial" w:cs="Arial" w:eastAsia="Arial" w:hAnsi="Arial"/>
                <w:sz w:val="18"/>
                <w:szCs w:val="18"/>
                <w:color w:val="auto"/>
              </w:rPr>
              <w:t>Inventories, net</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11,787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(1,194)</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Pr>
          <w:p>
            <w:pPr>
              <w:ind w:left="260"/>
              <w:spacing w:after="0"/>
              <w:rPr>
                <w:sz w:val="20"/>
                <w:szCs w:val="20"/>
                <w:color w:val="auto"/>
              </w:rPr>
            </w:pPr>
            <w:r>
              <w:rPr>
                <w:rFonts w:ascii="Arial" w:cs="Arial" w:eastAsia="Arial" w:hAnsi="Arial"/>
                <w:sz w:val="18"/>
                <w:szCs w:val="18"/>
                <w:color w:val="auto"/>
              </w:rPr>
              <w:t>Accounts payable, accrued expenses, and deferred revenue</w:t>
            </w:r>
          </w:p>
        </w:tc>
        <w:tc>
          <w:tcPr>
            <w:tcW w:w="44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57,121</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31,281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81,794</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44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8"/>
              </w:rPr>
              <w:t>(31,185)</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(31,081)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Proceeds from disposal of property, plant, and equipment</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1,833</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(Increase) decrease in investment in affiliates</w:t>
            </w:r>
          </w:p>
        </w:tc>
        <w:tc>
          <w:tcPr>
            <w:tcW w:w="44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(1,278)</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Decrease (increase) in other assets</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285</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Proceeds from sale of business</w:t>
            </w:r>
          </w:p>
        </w:tc>
        <w:tc>
          <w:tcPr>
            <w:tcW w:w="44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Acquisition, net of cash acquired</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80808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8"/>
              </w:rPr>
              <w:t>(30,345)</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(29,119)</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Increase in short-term debt</w:t>
            </w:r>
          </w:p>
        </w:tc>
        <w:tc>
          <w:tcPr>
            <w:tcW w:w="4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1,047</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3,899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Repayments of long-term debt</w:t>
            </w:r>
          </w:p>
        </w:tc>
        <w:tc>
          <w:tcPr>
            <w:tcW w:w="4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(3,819)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Increase in other long-term liabilities</w:t>
            </w:r>
          </w:p>
        </w:tc>
        <w:tc>
          <w:tcPr>
            <w:tcW w:w="4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w:t>
            </w:r>
          </w:p>
        </w:tc>
        <w:tc>
          <w:tcPr>
            <w:tcW w:w="420" w:type="dxa"/>
            <w:vAlign w:val="bottom"/>
            <w:tcBorders>
              <w:lef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12,018</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6,639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Purchases of common stock</w:t>
            </w:r>
          </w:p>
        </w:tc>
        <w:tc>
          <w:tcPr>
            <w:tcW w:w="44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5"/>
              </w:rPr>
              <w:t>(132,234)</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tcPr>
          <w:p>
            <w:pPr>
              <w:ind w:left="120"/>
              <w:spacing w:after="0"/>
              <w:rPr>
                <w:sz w:val="20"/>
                <w:szCs w:val="20"/>
                <w:color w:val="auto"/>
              </w:rPr>
            </w:pPr>
            <w:r>
              <w:rPr>
                <w:rFonts w:ascii="Arial" w:cs="Arial" w:eastAsia="Arial" w:hAnsi="Arial"/>
                <w:sz w:val="18"/>
                <w:szCs w:val="18"/>
                <w:color w:val="auto"/>
              </w:rPr>
              <w:t>Dividends on common stock</w:t>
            </w:r>
          </w:p>
        </w:tc>
        <w:tc>
          <w:tcPr>
            <w:tcW w:w="44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(4,443)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80808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80808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5"/>
              </w:rPr>
              <w:t>(127,317)</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(19,381)</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rates on cash</w:t>
            </w:r>
          </w:p>
        </w:tc>
        <w:tc>
          <w:tcPr>
            <w:tcW w:w="44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6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(397)</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288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8"/>
              </w:rPr>
              <w:t>(76,265)</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(47,091)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440" w:type="dxa"/>
            <w:vAlign w:val="bottom"/>
          </w:tcPr>
          <w:p>
            <w:pPr>
              <w:spacing w:after="0"/>
              <w:rPr>
                <w:sz w:val="20"/>
                <w:szCs w:val="20"/>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2"/>
              </w:rPr>
              <w:t>110,287</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62,816</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34,022</w:t>
            </w:r>
          </w:p>
        </w:tc>
        <w:tc>
          <w:tcPr>
            <w:tcW w:w="420" w:type="dxa"/>
            <w:vAlign w:val="bottom"/>
            <w:tcBorders>
              <w:left w:val="single" w:sz="8" w:color="EEEEEE"/>
            </w:tcBorders>
            <w:shd w:val="clear" w:color="auto" w:fill="EEEEEE"/>
          </w:tcPr>
          <w:p>
            <w:pPr>
              <w:spacing w:after="0"/>
              <w:rPr>
                <w:sz w:val="19"/>
                <w:szCs w:val="19"/>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15,725</w:t>
            </w: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44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560"/>
      </w:cols>
      <w:pgMar w:left="240" w:top="935"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2019-12-13T13:56:32Z</dcterms:created>
  <dcterms:modified xsi:type="dcterms:W3CDTF">2019-12-13T13:56:32Z</dcterms:modified>
</cp:coreProperties>
</file>