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August 2, 2013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00"/>
          </w:cols>
          <w:pgMar w:left="240" w:top="233"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Common Stock outstanding as of August 26, 2013 was 57,156,252.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Page</w:t>
            </w:r>
          </w:p>
        </w:tc>
      </w:tr>
      <w:tr>
        <w:trPr>
          <w:trHeight w:val="17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Number</w:t>
            </w:r>
          </w:p>
        </w:tc>
      </w:tr>
      <w:tr>
        <w:trPr>
          <w:trHeight w:val="385"/>
        </w:trPr>
        <w:tc>
          <w:tcPr>
            <w:tcW w:w="640" w:type="dxa"/>
            <w:vAlign w:val="bottom"/>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60" w:type="dxa"/>
            <w:vAlign w:val="bottom"/>
            <w:gridSpan w:val="1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800" w:type="dxa"/>
            <w:vAlign w:val="bottom"/>
          </w:tcPr>
          <w:p>
            <w:pPr>
              <w:spacing w:after="0"/>
              <w:rPr>
                <w:sz w:val="24"/>
                <w:szCs w:val="24"/>
                <w:color w:val="auto"/>
              </w:rPr>
            </w:pPr>
          </w:p>
        </w:tc>
      </w:tr>
      <w:tr>
        <w:trPr>
          <w:trHeight w:val="412"/>
        </w:trPr>
        <w:tc>
          <w:tcPr>
            <w:tcW w:w="64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Borders>
              <w:top w:val="single" w:sz="8" w:color="0000EE"/>
            </w:tcBorders>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700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Condensed Consolidated Statements of Earnings (Unaudited) — Three and Nine Months Ended August 2, 2013 and</w:t>
              </w:r>
            </w:hyperlink>
          </w:p>
        </w:tc>
        <w:tc>
          <w:tcPr>
            <w:tcW w:w="72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
              <w:r>
                <w:rPr>
                  <w:rFonts w:ascii="Arial" w:cs="Arial" w:eastAsia="Arial" w:hAnsi="Arial"/>
                  <w:sz w:val="18"/>
                  <w:szCs w:val="18"/>
                  <w:color w:val="0000EE"/>
                  <w:w w:val="90"/>
                </w:rPr>
                <w:t>August 3, 2012</w:t>
              </w:r>
            </w:hyperlink>
          </w:p>
        </w:tc>
        <w:tc>
          <w:tcPr>
            <w:tcW w:w="7800" w:type="dxa"/>
            <w:vAlign w:val="bottom"/>
            <w:gridSpan w:val="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2"/>
          </w:tcPr>
          <w:p>
            <w:pPr>
              <w:spacing w:after="0"/>
              <w:rPr>
                <w:rFonts w:ascii="Arial" w:cs="Arial" w:eastAsia="Arial" w:hAnsi="Arial"/>
                <w:sz w:val="18"/>
                <w:szCs w:val="18"/>
                <w:color w:val="0000EE"/>
                <w:w w:val="93"/>
              </w:rPr>
            </w:pPr>
            <w:hyperlink w:anchor="page2">
              <w:r>
                <w:rPr>
                  <w:rFonts w:ascii="Arial" w:cs="Arial" w:eastAsia="Arial" w:hAnsi="Arial"/>
                  <w:sz w:val="18"/>
                  <w:szCs w:val="18"/>
                  <w:color w:val="0000EE"/>
                  <w:w w:val="93"/>
                </w:rPr>
                <w:t>Condensed Consolidated Statements of Comprehensive Income (Unaudited) — Three and Nine Months Ended August 2,</w:t>
              </w:r>
            </w:hyperlink>
          </w:p>
        </w:tc>
        <w:tc>
          <w:tcPr>
            <w:tcW w:w="80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5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2013 and August 3, 2012</w:t>
              </w:r>
            </w:hyperlink>
          </w:p>
        </w:tc>
        <w:tc>
          <w:tcPr>
            <w:tcW w:w="36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(Unaudited) — August 2, 2013, August 3, 2012, and October 31, 2012</w:t>
              </w:r>
            </w:hyperlink>
          </w:p>
        </w:tc>
        <w:tc>
          <w:tcPr>
            <w:tcW w:w="102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2"/>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Condensed Consolidated Statements of Cash Flows (Unaudited) — Nine Months Ended August 2, 2013 and August 3, 2012</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Condensed Consolidated Financial Statements (Unaudited)</w:t>
              </w:r>
            </w:hyperlink>
          </w:p>
        </w:tc>
        <w:tc>
          <w:tcPr>
            <w:tcW w:w="4040" w:type="dxa"/>
            <w:vAlign w:val="bottom"/>
            <w:tcBorders>
              <w:top w:val="single" w:sz="8" w:color="0000EE"/>
            </w:tcBorders>
            <w:gridSpan w:val="5"/>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412"/>
        </w:trPr>
        <w:tc>
          <w:tcPr>
            <w:tcW w:w="900" w:type="dxa"/>
            <w:vAlign w:val="bottom"/>
            <w:gridSpan w:val="3"/>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Item 2.</w:t>
              </w:r>
            </w:hyperlink>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gridSpan w:val="4"/>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3.</w:t>
              </w:r>
            </w:hyperlink>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920" w:type="dxa"/>
            <w:vAlign w:val="bottom"/>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25-26</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12"/>
        </w:trPr>
        <w:tc>
          <w:tcPr>
            <w:tcW w:w="940" w:type="dxa"/>
            <w:vAlign w:val="bottom"/>
            <w:gridSpan w:val="4"/>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4.</w:t>
              </w:r>
            </w:hyperlink>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20" w:type="dxa"/>
            <w:vAlign w:val="bottom"/>
            <w:gridSpan w:val="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26-27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12"/>
        </w:trPr>
        <w:tc>
          <w:tcPr>
            <w:tcW w:w="940" w:type="dxa"/>
            <w:vAlign w:val="bottom"/>
            <w:gridSpan w:val="4"/>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w:t>
              </w:r>
            </w:hyperlink>
          </w:p>
        </w:tc>
        <w:tc>
          <w:tcPr>
            <w:tcW w:w="7500" w:type="dxa"/>
            <w:vAlign w:val="bottom"/>
            <w:gridSpan w:val="10"/>
          </w:tcPr>
          <w:p>
            <w:pPr>
              <w:ind w:left="220"/>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OTHER INFORMATION:</w:t>
              </w:r>
            </w:hyperlink>
          </w:p>
        </w:tc>
        <w:tc>
          <w:tcPr>
            <w:tcW w:w="3020" w:type="dxa"/>
            <w:vAlign w:val="bottom"/>
          </w:tcPr>
          <w:p>
            <w:pPr>
              <w:spacing w:after="0"/>
              <w:rPr>
                <w:sz w:val="24"/>
                <w:szCs w:val="24"/>
                <w:color w:val="auto"/>
              </w:rPr>
            </w:pPr>
          </w:p>
        </w:tc>
      </w:tr>
      <w:tr>
        <w:trPr>
          <w:trHeight w:val="412"/>
        </w:trPr>
        <w:tc>
          <w:tcPr>
            <w:tcW w:w="70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1.</w:t>
              </w:r>
            </w:hyperlink>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5140" w:type="dxa"/>
            <w:vAlign w:val="bottom"/>
            <w:gridSpan w:val="3"/>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20">
              <w:r>
                <w:rPr>
                  <w:rFonts w:ascii="Arial" w:cs="Arial" w:eastAsia="Arial" w:hAnsi="Arial"/>
                  <w:sz w:val="18"/>
                  <w:szCs w:val="18"/>
                  <w:b w:val="1"/>
                  <w:bCs w:val="1"/>
                  <w:color w:val="0000EE"/>
                  <w:w w:val="94"/>
                </w:rPr>
                <w:t>Item 1A.</w:t>
              </w:r>
            </w:hyperlink>
          </w:p>
        </w:tc>
        <w:tc>
          <w:tcPr>
            <w:tcW w:w="2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Risk Factors</w:t>
              </w:r>
            </w:hyperlink>
          </w:p>
        </w:tc>
        <w:tc>
          <w:tcPr>
            <w:tcW w:w="6000" w:type="dxa"/>
            <w:vAlign w:val="bottom"/>
            <w:gridSpan w:val="5"/>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940" w:type="dxa"/>
            <w:vAlign w:val="bottom"/>
            <w:gridSpan w:val="4"/>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2.</w:t>
              </w:r>
            </w:hyperlink>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20" w:type="dxa"/>
            <w:vAlign w:val="bottom"/>
            <w:gridSpan w:val="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5"/>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12"/>
        </w:trPr>
        <w:tc>
          <w:tcPr>
            <w:tcW w:w="940" w:type="dxa"/>
            <w:vAlign w:val="bottom"/>
            <w:gridSpan w:val="4"/>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6.</w:t>
              </w:r>
            </w:hyperlink>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20" w:type="dxa"/>
            <w:vAlign w:val="bottom"/>
            <w:gridSpan w:val="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60" w:type="dxa"/>
            <w:vAlign w:val="bottom"/>
            <w:gridSpan w:val="6"/>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20" w:type="dxa"/>
            <w:vAlign w:val="bottom"/>
            <w:gridSpan w:val="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53"/>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3560" w:type="dxa"/>
            <w:vAlign w:val="bottom"/>
            <w:gridSpan w:val="4"/>
          </w:tcPr>
          <w:p>
            <w:pPr>
              <w:jc w:val="right"/>
              <w:ind w:right="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32"/>
        </w:trPr>
        <w:tc>
          <w:tcPr>
            <w:tcW w:w="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30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August 2,</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313"/>
              <w:spacing w:after="0" w:line="119" w:lineRule="exact"/>
              <w:rPr>
                <w:sz w:val="20"/>
                <w:szCs w:val="20"/>
                <w:color w:val="auto"/>
              </w:rPr>
            </w:pPr>
            <w:r>
              <w:rPr>
                <w:rFonts w:ascii="Arial" w:cs="Arial" w:eastAsia="Arial" w:hAnsi="Arial"/>
                <w:sz w:val="13"/>
                <w:szCs w:val="13"/>
                <w:b w:val="1"/>
                <w:bCs w:val="1"/>
                <w:color w:val="auto"/>
              </w:rPr>
              <w:t>August 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August 2,</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13"/>
              <w:spacing w:after="0" w:line="119" w:lineRule="exact"/>
              <w:rPr>
                <w:sz w:val="20"/>
                <w:szCs w:val="20"/>
                <w:color w:val="auto"/>
              </w:rPr>
            </w:pPr>
            <w:r>
              <w:rPr>
                <w:rFonts w:ascii="Arial" w:cs="Arial" w:eastAsia="Arial" w:hAnsi="Arial"/>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1,659,065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sales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331,887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325,954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1,062,916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1,059,201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178,031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178,122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596,149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119,451</w:t>
            </w: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117,137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373,894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358,689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222,255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(3,909)</w:t>
            </w:r>
          </w:p>
        </w:tc>
        <w:tc>
          <w:tcPr>
            <w:tcW w:w="2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(12,307)</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7,420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57,653</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217,368</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17,556</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67,473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64,656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earnings</w:t>
            </w:r>
          </w:p>
        </w:tc>
        <w:tc>
          <w:tcPr>
            <w:tcW w:w="5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40,097</w:t>
            </w: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40,549</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149,895</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129,290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Basic net earnings per share of common stock</w:t>
            </w:r>
          </w:p>
        </w:tc>
        <w:tc>
          <w:tcPr>
            <w:tcW w:w="8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0.70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0.69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Diluted net earnings per share of common stock</w:t>
            </w:r>
          </w:p>
        </w:tc>
        <w:tc>
          <w:tcPr>
            <w:tcW w:w="8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0.68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0.67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outstanding — Basic</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57,653</w:t>
            </w: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59,045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58,091</w:t>
            </w: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59,642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outstanding — Diluted</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58,913</w:t>
            </w: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60,336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59,266</w:t>
            </w: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60,829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THE TORO COMPANY AND SUBSIDIARIES Condensed Consolidated Statements of Comprehensive Income (Unaudited) (Dollars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August 2,</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316"/>
              <w:spacing w:after="0" w:line="119" w:lineRule="exact"/>
              <w:rPr>
                <w:sz w:val="20"/>
                <w:szCs w:val="20"/>
                <w:color w:val="auto"/>
              </w:rPr>
            </w:pPr>
            <w:r>
              <w:rPr>
                <w:rFonts w:ascii="Arial" w:cs="Arial" w:eastAsia="Arial" w:hAnsi="Arial"/>
                <w:sz w:val="13"/>
                <w:szCs w:val="13"/>
                <w:b w:val="1"/>
                <w:bCs w:val="1"/>
                <w:color w:val="auto"/>
              </w:rPr>
              <w:t>August 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August 2,</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16"/>
              <w:spacing w:after="0" w:line="119" w:lineRule="exact"/>
              <w:rPr>
                <w:sz w:val="20"/>
                <w:szCs w:val="20"/>
                <w:color w:val="auto"/>
              </w:rPr>
            </w:pPr>
            <w:r>
              <w:rPr>
                <w:rFonts w:ascii="Arial" w:cs="Arial" w:eastAsia="Arial" w:hAnsi="Arial"/>
                <w:sz w:val="13"/>
                <w:szCs w:val="13"/>
                <w:b w:val="1"/>
                <w:bCs w:val="1"/>
                <w:color w:val="auto"/>
              </w:rPr>
              <w:t>August 3,</w:t>
            </w:r>
          </w:p>
        </w:tc>
        <w:tc>
          <w:tcPr>
            <w:tcW w:w="100" w:type="dxa"/>
            <w:vAlign w:val="bottom"/>
            <w:gridSpan w:val="2"/>
          </w:tcPr>
          <w:p>
            <w:pPr>
              <w:spacing w:after="0"/>
              <w:rPr>
                <w:sz w:val="10"/>
                <w:szCs w:val="10"/>
                <w:color w:val="auto"/>
              </w:rPr>
            </w:pPr>
          </w:p>
        </w:tc>
      </w:tr>
      <w:tr>
        <w:trPr>
          <w:trHeight w:val="171"/>
        </w:trPr>
        <w:tc>
          <w:tcPr>
            <w:tcW w:w="48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149,895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(5,583)</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(5,037)</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(4,936)</w:t>
            </w:r>
          </w:p>
        </w:tc>
      </w:tr>
      <w:tr>
        <w:trPr>
          <w:trHeight w:val="202"/>
        </w:trPr>
        <w:tc>
          <w:tcPr>
            <w:tcW w:w="4800" w:type="dxa"/>
            <w:vAlign w:val="bottom"/>
          </w:tcPr>
          <w:p>
            <w:pPr>
              <w:ind w:left="180"/>
              <w:spacing w:after="0" w:line="201" w:lineRule="exact"/>
              <w:rPr>
                <w:sz w:val="20"/>
                <w:szCs w:val="20"/>
                <w:color w:val="auto"/>
              </w:rPr>
            </w:pPr>
            <w:r>
              <w:rPr>
                <w:rFonts w:ascii="Arial" w:cs="Arial" w:eastAsia="Arial" w:hAnsi="Arial"/>
                <w:sz w:val="18"/>
                <w:szCs w:val="18"/>
                <w:color w:val="auto"/>
                <w:w w:val="95"/>
              </w:rPr>
              <w:t>Derivative instruments, net of tax of $(37), $(282), $596, and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800" w:type="dxa"/>
            <w:vAlign w:val="bottom"/>
          </w:tcPr>
          <w:p>
            <w:pPr>
              <w:ind w:left="360"/>
              <w:spacing w:after="0"/>
              <w:rPr>
                <w:sz w:val="20"/>
                <w:szCs w:val="20"/>
                <w:color w:val="auto"/>
              </w:rPr>
            </w:pPr>
            <w:r>
              <w:rPr>
                <w:rFonts w:ascii="Arial" w:cs="Arial" w:eastAsia="Arial" w:hAnsi="Arial"/>
                <w:sz w:val="18"/>
                <w:szCs w:val="18"/>
                <w:color w:val="auto"/>
              </w:rPr>
              <w:t>$266, respectively</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546</w:t>
            </w: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20"/>
                <w:szCs w:val="20"/>
                <w:color w:val="auto"/>
              </w:rPr>
            </w:pPr>
          </w:p>
        </w:tc>
      </w:tr>
      <w:tr>
        <w:trPr>
          <w:trHeight w:val="210"/>
        </w:trPr>
        <w:tc>
          <w:tcPr>
            <w:tcW w:w="48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 net</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34,386</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145,404</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125,199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60"/>
          </w:cols>
          <w:pgMar w:left="240" w:top="324" w:right="199" w:bottom="0" w:gutter="0" w:footer="0" w:header="0"/>
        </w:sectPr>
      </w:pPr>
    </w:p>
    <w:bookmarkStart w:id="2" w:name="page3"/>
    <w:bookmarkEnd w:id="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August 2,</w:t>
            </w:r>
          </w:p>
        </w:tc>
        <w:tc>
          <w:tcPr>
            <w:tcW w:w="24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August 3,</w:t>
            </w:r>
          </w:p>
        </w:tc>
        <w:tc>
          <w:tcPr>
            <w:tcW w:w="200" w:type="dxa"/>
            <w:vAlign w:val="bottom"/>
          </w:tcPr>
          <w:p>
            <w:pPr>
              <w:spacing w:after="0"/>
              <w:rPr>
                <w:sz w:val="14"/>
                <w:szCs w:val="14"/>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980" w:type="dxa"/>
            <w:vAlign w:val="bottom"/>
            <w:tcBorders>
              <w:bottom w:val="single" w:sz="8" w:color="CCEEFF"/>
            </w:tcBorders>
            <w:gridSpan w:val="2"/>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161,180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143,058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125,856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202,148</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197,023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147,410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258,929</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234,790</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251,117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27,426</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24,436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62,324</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62,368</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63,314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712,007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661,675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710,825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666,301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683,107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34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530,882</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488,578</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502,584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179,943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177,723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19,351</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20,646</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18,477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91,951</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92,070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27,780</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34,338</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32,065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1,031,130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935,199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2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1,858</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1,858</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124,244</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124,168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284,702</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278,797</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251,458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408,946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404,823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223,528</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223,467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10,547</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11,289</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2,898</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6,592</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7,822</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Preferred stock, par value $1.00 per share, authorized 1,000,000 voting and 850,000</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non-voting shares, none issued and outstanding</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tcPr>
          <w:p>
            <w:pPr>
              <w:spacing w:after="0" w:line="201" w:lineRule="exact"/>
              <w:rPr>
                <w:sz w:val="20"/>
                <w:szCs w:val="20"/>
                <w:color w:val="auto"/>
              </w:rPr>
            </w:pPr>
            <w:r>
              <w:rPr>
                <w:rFonts w:ascii="Arial" w:cs="Arial" w:eastAsia="Arial" w:hAnsi="Arial"/>
                <w:sz w:val="18"/>
                <w:szCs w:val="18"/>
                <w:color w:val="auto"/>
              </w:rPr>
              <w:t>Common stock, par value $1.00 per share, authorized 175,000,000 shares as of</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w w:val="95"/>
              </w:rPr>
              <w:t>August 2, 2013 and 100,000,000 shares as of August 3, 2012 and October 31, 2012;</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w w:val="92"/>
              </w:rPr>
              <w:t>issued and outstanding 57,142,923 shares as of August 2, 2013, 58,771,336 shares as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of August 3, 2012, and 58,266,482 shares as of October 31, 2012</w:t>
            </w:r>
          </w:p>
        </w:tc>
        <w:tc>
          <w:tcPr>
            <w:tcW w:w="2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57,143</w:t>
            </w:r>
          </w:p>
        </w:tc>
        <w:tc>
          <w:tcPr>
            <w:tcW w:w="2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58,771</w:t>
            </w:r>
          </w:p>
        </w:tc>
        <w:tc>
          <w:tcPr>
            <w:tcW w:w="2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58,266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335,941</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289,892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264,110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(14,465)</w:t>
            </w: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(10,916)</w:t>
            </w: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(9,974)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378,619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337,747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3"/>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1,031,130</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986,528</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935,199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7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August 2,</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15"/>
              <w:spacing w:after="0" w:line="119" w:lineRule="exact"/>
              <w:rPr>
                <w:sz w:val="20"/>
                <w:szCs w:val="20"/>
                <w:color w:val="auto"/>
              </w:rPr>
            </w:pPr>
            <w:r>
              <w:rPr>
                <w:rFonts w:ascii="Arial" w:cs="Arial" w:eastAsia="Arial" w:hAnsi="Arial"/>
                <w:sz w:val="13"/>
                <w:szCs w:val="13"/>
                <w:b w:val="1"/>
                <w:bCs w:val="1"/>
                <w:color w:val="auto"/>
              </w:rPr>
              <w:t>August 3,</w:t>
            </w:r>
          </w:p>
        </w:tc>
        <w:tc>
          <w:tcPr>
            <w:tcW w:w="100" w:type="dxa"/>
            <w:vAlign w:val="bottom"/>
          </w:tcPr>
          <w:p>
            <w:pPr>
              <w:spacing w:after="0"/>
              <w:rPr>
                <w:sz w:val="10"/>
                <w:szCs w:val="10"/>
                <w:color w:val="auto"/>
              </w:rPr>
            </w:pPr>
          </w:p>
        </w:tc>
      </w:tr>
      <w:tr>
        <w:trPr>
          <w:trHeight w:val="171"/>
        </w:trPr>
        <w:tc>
          <w:tcPr>
            <w:tcW w:w="72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Net earnings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149,895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129,290</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(5,658)</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(4,521)</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depreciation and amortization</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39,204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37,929</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7,927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7,465</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deferred income taxes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(56,762)</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(51,640)</w:t>
            </w:r>
          </w:p>
        </w:tc>
      </w:tr>
      <w:tr>
        <w:trPr>
          <w:trHeight w:val="138"/>
        </w:trPr>
        <w:tc>
          <w:tcPr>
            <w:tcW w:w="7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ectPr>
          <w:pgSz w:w="11900" w:h="16900"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(12,048)</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(1,539)</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36,910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158,140</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165,407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(34,390)</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344</w:t>
            </w:r>
          </w:p>
        </w:tc>
        <w:tc>
          <w:tcPr>
            <w:tcW w:w="4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from finance affiliate, net</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2,977</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(31,069)</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Repayments of short-term debt</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(415)</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(1,769)</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5,196</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8,080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8,146</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(76,003)</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(67,354)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(24,453)</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(19,748)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(89,298)</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(64,499)</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(2,449)</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35,324</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62,172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125,856</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20" w:type="dxa"/>
            <w:vAlign w:val="bottom"/>
            <w:gridSpan w:val="2"/>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8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161,180</w:t>
            </w:r>
          </w:p>
        </w:tc>
        <w:tc>
          <w:tcPr>
            <w:tcW w:w="28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Supplemental disclosures of cash flow information:</w:t>
            </w:r>
          </w:p>
        </w:tc>
        <w:tc>
          <w:tcPr>
            <w:tcW w:w="8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Long-term debt issued in connection with an acquisition</w:t>
            </w:r>
          </w:p>
        </w:tc>
        <w:tc>
          <w:tcPr>
            <w:tcW w:w="13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2,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U.S. generally accepted accounting principles (“U.S.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nine months ended August 2, 2013 cannot be annualized to determine the expected results for the fiscal year ending October 31, 2013.</w:t>
      </w:r>
    </w:p>
    <w:p>
      <w:pPr>
        <w:spacing w:after="0" w:line="178"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81" w:lineRule="exact"/>
        <w:rPr>
          <w:sz w:val="20"/>
          <w:szCs w:val="20"/>
          <w:color w:val="auto"/>
        </w:rPr>
      </w:pPr>
    </w:p>
    <w:p>
      <w:pPr>
        <w:jc w:val="center"/>
        <w:ind w:left="260" w:right="120"/>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2012. The policies described in that report are used for preparing quarterly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 Authorized</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March 12, 2013, following approval by the company’s shareholders at its 2013 annual meeting of shareholders, the company amended its Restated Certificate of Incorporation by filing a Certificate of Amendment to Restated Certificate of Incorporation with the Secretary of State of Delaware to increase the number of authorized shares of common stock from 100,000,000 to 175,000,000.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incentive compensation accruals, inventory valuation, warranty reserves, earnout liabilities, allowance for doubtful accounts, pension and postretirement accruals, self-insurance accruals, useful lives for tangible and intangible assets, and future cash flows associated with impairment testing for goodwill and other long-lived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ectPr>
          <w:pgSz w:w="11900" w:h="16838" w:orient="portrait"/>
          <w:cols w:equalWidth="0" w:num="1">
            <w:col w:w="11420"/>
          </w:cols>
          <w:pgMar w:left="240" w:top="140" w:right="239" w:bottom="0" w:gutter="0" w:footer="0" w:header="0"/>
        </w:sectPr>
      </w:pPr>
    </w:p>
    <w:bookmarkStart w:id="4" w:name="page5"/>
    <w:bookmarkEnd w:id="4"/>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company’s incentive plan, stock options are granted with an exercise price equal to the closing price of the company’s common stock on the date of grant, as reported by the New York Stock Exchange. Options are generally granted to officers, other employees, and non-employee members of the company’s Board of Directors on an annual basis in the first quarter of the company’s fiscal year. Options generally vest one-third each year over a three-year period and have a ten-year term. Other options granted to certain non-officer employees vest in full on the three-year anniversary of the date of grant and have a ten-year term. Compensation expense equal to the grant date fair value is generally recognized for these awards over the vesting period. Stock options granted to officers and other employees are subject to accelerated expensing if the option holder meets the retirement definition set forth in the plan. In that case, the fair value of the options is expensed in the fiscal year of grant because the option holder must be employed as of the end of the fiscal year in which the options are granted in order for the options to continue to vest following retirement. Similarly, if a non-employee director has served on the company’s Board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Directors for ten full fiscal years or more, the awards vest immediately upon retirement, and therefore, the fair value of the options granted is fully expensed on the date of the grant.</w:t>
      </w:r>
    </w:p>
    <w:p>
      <w:pPr>
        <w:spacing w:after="0" w:line="170" w:lineRule="exact"/>
        <w:rPr>
          <w:sz w:val="20"/>
          <w:szCs w:val="20"/>
          <w:color w:val="auto"/>
        </w:rPr>
      </w:pPr>
    </w:p>
    <w:p>
      <w:pPr>
        <w:ind w:right="80" w:firstLine="270"/>
        <w:spacing w:after="0" w:line="271" w:lineRule="auto"/>
        <w:rPr>
          <w:sz w:val="20"/>
          <w:szCs w:val="20"/>
          <w:color w:val="auto"/>
        </w:rPr>
      </w:pPr>
      <w:r>
        <w:rPr>
          <w:rFonts w:ascii="Arial" w:cs="Arial" w:eastAsia="Arial" w:hAnsi="Arial"/>
          <w:sz w:val="17"/>
          <w:szCs w:val="17"/>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in which officers, other employees, and non-employee directors are expected to exercise their stock options, which is primarily based on historical experience.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illustrates the assumptions for options granted in the following fiscal periods.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780" w:type="dxa"/>
            <w:vAlign w:val="bottom"/>
            <w:gridSpan w:val="2"/>
          </w:tcPr>
          <w:p>
            <w:pPr>
              <w:ind w:left="400"/>
              <w:spacing w:after="0"/>
              <w:rPr>
                <w:sz w:val="20"/>
                <w:szCs w:val="20"/>
                <w:color w:val="auto"/>
              </w:rPr>
            </w:pPr>
            <w:r>
              <w:rPr>
                <w:rFonts w:ascii="Arial" w:cs="Arial" w:eastAsia="Arial" w:hAnsi="Arial"/>
                <w:sz w:val="14"/>
                <w:szCs w:val="14"/>
                <w:b w:val="1"/>
                <w:bCs w:val="1"/>
                <w:color w:val="auto"/>
              </w:rPr>
              <w:t>Fiscal 2013</w:t>
            </w:r>
          </w:p>
        </w:tc>
        <w:tc>
          <w:tcPr>
            <w:tcW w:w="1580" w:type="dxa"/>
            <w:vAlign w:val="bottom"/>
            <w:gridSpan w:val="2"/>
          </w:tcPr>
          <w:p>
            <w:pPr>
              <w:ind w:left="380"/>
              <w:spacing w:after="0"/>
              <w:rPr>
                <w:sz w:val="20"/>
                <w:szCs w:val="20"/>
                <w:color w:val="auto"/>
              </w:rPr>
            </w:pPr>
            <w:r>
              <w:rPr>
                <w:rFonts w:ascii="Arial" w:cs="Arial" w:eastAsia="Arial" w:hAnsi="Arial"/>
                <w:sz w:val="14"/>
                <w:szCs w:val="14"/>
                <w:b w:val="1"/>
                <w:bCs w:val="1"/>
                <w:color w:val="auto"/>
              </w:rPr>
              <w:t>Fiscal 2012</w:t>
            </w: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Expected volatility</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35.18% - 35.19%</w:t>
            </w:r>
          </w:p>
        </w:tc>
        <w:tc>
          <w:tcPr>
            <w:tcW w:w="2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34.87% - 35.02%</w:t>
            </w:r>
          </w:p>
        </w:tc>
        <w:tc>
          <w:tcPr>
            <w:tcW w:w="12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35.19%</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35.01%</w:t>
            </w:r>
          </w:p>
        </w:tc>
        <w:tc>
          <w:tcPr>
            <w:tcW w:w="12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0.88%</w:t>
            </w:r>
          </w:p>
        </w:tc>
        <w:tc>
          <w:tcPr>
            <w:tcW w:w="2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1.20%</w:t>
            </w:r>
          </w:p>
        </w:tc>
        <w:tc>
          <w:tcPr>
            <w:tcW w:w="12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1.04% - 1.07%</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1.31% - 1.40%</w:t>
            </w:r>
          </w:p>
        </w:tc>
        <w:tc>
          <w:tcPr>
            <w:tcW w:w="12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Weighted-average dividend yield</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1.07%</w:t>
            </w:r>
          </w:p>
        </w:tc>
        <w:tc>
          <w:tcPr>
            <w:tcW w:w="2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1.32%</w:t>
            </w:r>
          </w:p>
        </w:tc>
        <w:tc>
          <w:tcPr>
            <w:tcW w:w="12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Grant date per share weighted-average fair value</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$13.03</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$8.56</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grants performance share awards under the company’s incentive plan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will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 The per share fair value of performance share awards granted during the first nine months of fiscal 2013 and 2012 was $42.06 and $28.24,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 Awards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company’s incentive plan, restricted stock and restricted stock unit awards are generally granted to certain non-officer employees. Occasionally, restricted stock or restricted stock unit awards may be granted in connection with hiring, mid-year promotions, leadership transition, or retention. In fiscal 2013, the company began granting restricted stock unit awards. Restricted stock and restricted stock unit awards generally vest one-third each year over a three-year period or vest in full on the three-year anniversary of the date of grant, but such awards may have performance-based rather than time-based vesting requirements. Compensation expense equal to the grant date fair value, which is equal to the closing price of the company’s common stock on the date of grant multiplied by the number of shares subject to the restricted stock and restricted stock unit awards, is recognized for these awards over the vesting period. The per share weighted-average fair value of restricted stock awards granted during the first nine months of fiscal 2013 and 2012 was $46.22 and $33.61, respectively.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3320" w:type="dxa"/>
            <w:vAlign w:val="bottom"/>
            <w:gridSpan w:val="3"/>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3000" w:type="dxa"/>
            <w:vAlign w:val="bottom"/>
            <w:gridSpan w:val="2"/>
          </w:tcPr>
          <w:p>
            <w:pPr>
              <w:ind w:left="8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520" w:type="dxa"/>
            <w:vAlign w:val="bottom"/>
            <w:tcBorders>
              <w:top w:val="single" w:sz="8" w:color="auto"/>
            </w:tcBorders>
          </w:tcPr>
          <w:p>
            <w:pPr>
              <w:jc w:val="center"/>
              <w:ind w:right="70"/>
              <w:spacing w:after="0" w:line="119" w:lineRule="exact"/>
              <w:rPr>
                <w:sz w:val="20"/>
                <w:szCs w:val="20"/>
                <w:color w:val="auto"/>
              </w:rPr>
            </w:pPr>
            <w:r>
              <w:rPr>
                <w:rFonts w:ascii="Arial" w:cs="Arial" w:eastAsia="Arial" w:hAnsi="Arial"/>
                <w:sz w:val="13"/>
                <w:szCs w:val="13"/>
                <w:b w:val="1"/>
                <w:bCs w:val="1"/>
                <w:color w:val="auto"/>
                <w:w w:val="97"/>
              </w:rPr>
              <w:t>August 2,</w:t>
            </w:r>
          </w:p>
        </w:tc>
        <w:tc>
          <w:tcPr>
            <w:tcW w:w="1500" w:type="dxa"/>
            <w:vAlign w:val="bottom"/>
            <w:tcBorders>
              <w:top w:val="single" w:sz="8" w:color="auto"/>
            </w:tcBorders>
          </w:tcPr>
          <w:p>
            <w:pPr>
              <w:jc w:val="center"/>
              <w:ind w:left="91"/>
              <w:spacing w:after="0" w:line="119" w:lineRule="exact"/>
              <w:rPr>
                <w:sz w:val="20"/>
                <w:szCs w:val="20"/>
                <w:color w:val="auto"/>
              </w:rPr>
            </w:pPr>
            <w:r>
              <w:rPr>
                <w:rFonts w:ascii="Arial" w:cs="Arial" w:eastAsia="Arial" w:hAnsi="Arial"/>
                <w:sz w:val="13"/>
                <w:szCs w:val="13"/>
                <w:b w:val="1"/>
                <w:bCs w:val="1"/>
                <w:color w:val="auto"/>
                <w:w w:val="97"/>
              </w:rPr>
              <w:t>August 3,</w:t>
            </w:r>
          </w:p>
        </w:tc>
        <w:tc>
          <w:tcPr>
            <w:tcW w:w="300" w:type="dxa"/>
            <w:vAlign w:val="bottom"/>
          </w:tcPr>
          <w:p>
            <w:pPr>
              <w:spacing w:after="0"/>
              <w:rPr>
                <w:sz w:val="10"/>
                <w:szCs w:val="10"/>
                <w:color w:val="auto"/>
              </w:rPr>
            </w:pPr>
          </w:p>
        </w:tc>
        <w:tc>
          <w:tcPr>
            <w:tcW w:w="1500" w:type="dxa"/>
            <w:vAlign w:val="bottom"/>
            <w:tcBorders>
              <w:top w:val="single" w:sz="8" w:color="auto"/>
            </w:tcBorders>
          </w:tcPr>
          <w:p>
            <w:pPr>
              <w:jc w:val="center"/>
              <w:ind w:right="90"/>
              <w:spacing w:after="0" w:line="119" w:lineRule="exact"/>
              <w:rPr>
                <w:sz w:val="20"/>
                <w:szCs w:val="20"/>
                <w:color w:val="auto"/>
              </w:rPr>
            </w:pPr>
            <w:r>
              <w:rPr>
                <w:rFonts w:ascii="Arial" w:cs="Arial" w:eastAsia="Arial" w:hAnsi="Arial"/>
                <w:sz w:val="13"/>
                <w:szCs w:val="13"/>
                <w:b w:val="1"/>
                <w:bCs w:val="1"/>
                <w:color w:val="auto"/>
                <w:w w:val="97"/>
              </w:rPr>
              <w:t>August 2,</w:t>
            </w:r>
          </w:p>
        </w:tc>
        <w:tc>
          <w:tcPr>
            <w:tcW w:w="1500" w:type="dxa"/>
            <w:vAlign w:val="bottom"/>
            <w:tcBorders>
              <w:top w:val="single" w:sz="8" w:color="auto"/>
            </w:tcBorders>
          </w:tcPr>
          <w:p>
            <w:pPr>
              <w:jc w:val="center"/>
              <w:ind w:left="71"/>
              <w:spacing w:after="0" w:line="119" w:lineRule="exact"/>
              <w:rPr>
                <w:sz w:val="20"/>
                <w:szCs w:val="20"/>
                <w:color w:val="auto"/>
              </w:rPr>
            </w:pPr>
            <w:r>
              <w:rPr>
                <w:rFonts w:ascii="Arial" w:cs="Arial" w:eastAsia="Arial" w:hAnsi="Arial"/>
                <w:sz w:val="13"/>
                <w:szCs w:val="13"/>
                <w:b w:val="1"/>
                <w:bCs w:val="1"/>
                <w:color w:val="auto"/>
              </w:rPr>
              <w:t>August 3,</w:t>
            </w:r>
          </w:p>
        </w:tc>
        <w:tc>
          <w:tcPr>
            <w:tcW w:w="0" w:type="dxa"/>
            <w:vAlign w:val="bottom"/>
          </w:tcPr>
          <w:p>
            <w:pPr>
              <w:spacing w:after="0"/>
              <w:rPr>
                <w:sz w:val="1"/>
                <w:szCs w:val="1"/>
                <w:color w:val="auto"/>
              </w:rPr>
            </w:pPr>
          </w:p>
        </w:tc>
      </w:tr>
      <w:tr>
        <w:trPr>
          <w:trHeight w:val="186"/>
        </w:trPr>
        <w:tc>
          <w:tcPr>
            <w:tcW w:w="4220" w:type="dxa"/>
            <w:vAlign w:val="bottom"/>
            <w:vMerge w:val="continue"/>
          </w:tcPr>
          <w:p>
            <w:pPr>
              <w:spacing w:after="0"/>
              <w:rPr>
                <w:sz w:val="16"/>
                <w:szCs w:val="16"/>
                <w:color w:val="auto"/>
              </w:rPr>
            </w:pPr>
          </w:p>
        </w:tc>
        <w:tc>
          <w:tcPr>
            <w:tcW w:w="1520" w:type="dxa"/>
            <w:vAlign w:val="bottom"/>
          </w:tcPr>
          <w:p>
            <w:pPr>
              <w:jc w:val="right"/>
              <w:ind w:right="610"/>
              <w:spacing w:after="0"/>
              <w:rPr>
                <w:sz w:val="20"/>
                <w:szCs w:val="20"/>
                <w:color w:val="auto"/>
              </w:rPr>
            </w:pPr>
            <w:r>
              <w:rPr>
                <w:rFonts w:ascii="Arial" w:cs="Arial" w:eastAsia="Arial" w:hAnsi="Arial"/>
                <w:sz w:val="14"/>
                <w:szCs w:val="14"/>
                <w:b w:val="1"/>
                <w:bCs w:val="1"/>
                <w:color w:val="auto"/>
              </w:rPr>
              <w:t>2013</w:t>
            </w:r>
          </w:p>
        </w:tc>
        <w:tc>
          <w:tcPr>
            <w:tcW w:w="1500" w:type="dxa"/>
            <w:vAlign w:val="bottom"/>
          </w:tcPr>
          <w:p>
            <w:pPr>
              <w:jc w:val="right"/>
              <w:ind w:right="471"/>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6"/>
                <w:szCs w:val="16"/>
                <w:color w:val="auto"/>
              </w:rPr>
            </w:pPr>
          </w:p>
        </w:tc>
        <w:tc>
          <w:tcPr>
            <w:tcW w:w="1500" w:type="dxa"/>
            <w:vAlign w:val="bottom"/>
          </w:tcPr>
          <w:p>
            <w:pPr>
              <w:jc w:val="right"/>
              <w:ind w:right="610"/>
              <w:spacing w:after="0"/>
              <w:rPr>
                <w:sz w:val="20"/>
                <w:szCs w:val="20"/>
                <w:color w:val="auto"/>
              </w:rPr>
            </w:pPr>
            <w:r>
              <w:rPr>
                <w:rFonts w:ascii="Arial" w:cs="Arial" w:eastAsia="Arial" w:hAnsi="Arial"/>
                <w:sz w:val="14"/>
                <w:szCs w:val="14"/>
                <w:b w:val="1"/>
                <w:bCs w:val="1"/>
                <w:color w:val="auto"/>
              </w:rPr>
              <w:t>2013</w:t>
            </w:r>
          </w:p>
        </w:tc>
        <w:tc>
          <w:tcPr>
            <w:tcW w:w="1500" w:type="dxa"/>
            <w:vAlign w:val="bottom"/>
          </w:tcPr>
          <w:p>
            <w:pPr>
              <w:jc w:val="right"/>
              <w:ind w:right="4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75767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5767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u w:val="single" w:color="auto"/>
          <w:color w:val="auto"/>
        </w:rPr>
        <w:t>Basic</w:t>
      </w:r>
    </w:p>
    <w:p>
      <w:pPr>
        <w:sectPr>
          <w:pgSz w:w="11900" w:h="16876" w:orient="portrait"/>
          <w:cols w:equalWidth="0" w:num="1">
            <w:col w:w="11400"/>
          </w:cols>
          <w:pgMar w:left="240" w:top="337" w:right="259" w:bottom="0" w:gutter="0" w:footer="0" w:header="0"/>
        </w:sectPr>
      </w:pPr>
    </w:p>
    <w:bookmarkStart w:id="5" w:name="page6"/>
    <w:bookmarkEnd w:id="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w w:val="96"/>
              </w:rPr>
              <w:t>Weighted-average number of shares of common stock</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57,653</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59,045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58,059</w:t>
            </w:r>
          </w:p>
        </w:tc>
        <w:tc>
          <w:tcPr>
            <w:tcW w:w="1360" w:type="dxa"/>
            <w:vAlign w:val="bottom"/>
          </w:tcPr>
          <w:p>
            <w:pPr>
              <w:jc w:val="right"/>
              <w:spacing w:after="0"/>
              <w:rPr>
                <w:sz w:val="20"/>
                <w:szCs w:val="20"/>
                <w:color w:val="auto"/>
              </w:rPr>
            </w:pPr>
            <w:r>
              <w:rPr>
                <w:rFonts w:ascii="Arial" w:cs="Arial" w:eastAsia="Arial" w:hAnsi="Arial"/>
                <w:sz w:val="18"/>
                <w:szCs w:val="18"/>
                <w:color w:val="auto"/>
              </w:rPr>
              <w:t>59,633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w w:val="96"/>
              </w:rPr>
              <w:t>Weighted-average number of shares of common stock</w:t>
            </w: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200" w:type="dxa"/>
            <w:vAlign w:val="bottom"/>
            <w:gridSpan w:val="2"/>
            <w:vMerge w:val="continue"/>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57,653</w:t>
            </w:r>
          </w:p>
        </w:tc>
        <w:tc>
          <w:tcPr>
            <w:tcW w:w="280" w:type="dxa"/>
            <w:vAlign w:val="bottom"/>
            <w:vMerge w:val="restart"/>
          </w:tcPr>
          <w:p>
            <w:pPr>
              <w:spacing w:after="0"/>
              <w:rPr>
                <w:sz w:val="15"/>
                <w:szCs w:val="15"/>
                <w:color w:val="auto"/>
              </w:rPr>
            </w:pPr>
          </w:p>
        </w:tc>
        <w:tc>
          <w:tcPr>
            <w:tcW w:w="16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59,045</w:t>
            </w: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58,091</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59,642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and assumed issuance of contingent shares</w:t>
            </w:r>
          </w:p>
        </w:tc>
        <w:tc>
          <w:tcPr>
            <w:tcW w:w="1380" w:type="dxa"/>
            <w:vAlign w:val="bottom"/>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166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13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Diluted</w:t>
            </w:r>
          </w:p>
        </w:tc>
        <w:tc>
          <w:tcPr>
            <w:tcW w:w="1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w w:val="96"/>
              </w:rPr>
              <w:t>Weighted-average number of shares of common stock</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and assumed issuance of contingent shares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57,653</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59,045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58,091</w:t>
            </w:r>
          </w:p>
        </w:tc>
        <w:tc>
          <w:tcPr>
            <w:tcW w:w="1360" w:type="dxa"/>
            <w:vAlign w:val="bottom"/>
          </w:tcPr>
          <w:p>
            <w:pPr>
              <w:jc w:val="right"/>
              <w:spacing w:after="0"/>
              <w:rPr>
                <w:sz w:val="20"/>
                <w:szCs w:val="20"/>
                <w:color w:val="auto"/>
              </w:rPr>
            </w:pPr>
            <w:r>
              <w:rPr>
                <w:rFonts w:ascii="Arial" w:cs="Arial" w:eastAsia="Arial" w:hAnsi="Arial"/>
                <w:sz w:val="18"/>
                <w:szCs w:val="18"/>
                <w:color w:val="auto"/>
              </w:rPr>
              <w:t>59,642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00" w:type="dxa"/>
            <w:vAlign w:val="bottom"/>
            <w:gridSpan w:val="2"/>
          </w:tcPr>
          <w:p>
            <w:pPr>
              <w:spacing w:after="0" w:line="182" w:lineRule="exact"/>
              <w:rPr>
                <w:sz w:val="20"/>
                <w:szCs w:val="20"/>
                <w:color w:val="auto"/>
              </w:rPr>
            </w:pPr>
            <w:r>
              <w:rPr>
                <w:rFonts w:ascii="Arial" w:cs="Arial" w:eastAsia="Arial" w:hAnsi="Arial"/>
                <w:sz w:val="18"/>
                <w:szCs w:val="18"/>
                <w:color w:val="auto"/>
              </w:rPr>
              <w:t>Weighted-average number of shares of common</w:t>
            </w:r>
          </w:p>
        </w:tc>
        <w:tc>
          <w:tcPr>
            <w:tcW w:w="13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w w:val="98"/>
              </w:rPr>
              <w:t>stock, assumed issuance of contingent shares, and</w:t>
            </w:r>
          </w:p>
        </w:tc>
        <w:tc>
          <w:tcPr>
            <w:tcW w:w="16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58,913</w:t>
            </w:r>
          </w:p>
        </w:tc>
        <w:tc>
          <w:tcPr>
            <w:tcW w:w="16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60,336</w:t>
            </w: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59,266</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60,829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effect of dilutive securities</w:t>
            </w:r>
          </w:p>
        </w:tc>
        <w:tc>
          <w:tcPr>
            <w:tcW w:w="166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Options to purchase an aggregate of 204,461 and 2,247 shares of common stock outstanding during the third quarter of fiscal 2013 and 2012, respectively, were excluded from the diluted net earnings per share. Options to purchase an aggregate of 328,703 and 32,414 shares of common stock outstanding during the year-to-date periods through the third quarter of fiscal 2013 and 2012, respectively, were excluded from the diluted net earnings per share calculations. These exclusions are made if the exercise prices of these options are greater than the average market price of the company’s common stock for the period, if the number of shares the company can repurchase under the treasury stock method exceeds the weighted average shares outstanding in the options, or if the company has a net loss, as the effects are anti-dilutive.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August 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August 3,</w:t>
            </w:r>
          </w:p>
        </w:tc>
        <w:tc>
          <w:tcPr>
            <w:tcW w:w="24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495"/>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495"/>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Finished goods and service parts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242,560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212,142</w:t>
            </w: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223,459</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322,736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295,791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Less: adjustment to LIFO value</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63,807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61,001</w:t>
            </w: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63,807</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234,790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nine months of fiscal 2013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9"/>
              </w:rPr>
              <w:t>Professional</w:t>
            </w:r>
          </w:p>
        </w:tc>
        <w:tc>
          <w:tcPr>
            <w:tcW w:w="22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2012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11,016</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120" w:type="dxa"/>
            <w:vAlign w:val="bottom"/>
            <w:tcBorders>
              <w:top w:val="single" w:sz="8" w:color="CCEEFF"/>
            </w:tcBorders>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Translation adjustments</w:t>
            </w:r>
          </w:p>
        </w:tc>
        <w:tc>
          <w:tcPr>
            <w:tcW w:w="2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August 2, 2013</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276"/>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4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amortizable intangible assets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Gross Carrying</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August 2, 2013</w:t>
            </w: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Life (Years)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1.5-13</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(8,431)</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Non-compete agreements</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1.5-10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6,305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(4,282)</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1.5-13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8,248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(4,400)</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Developed technology</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1.5-10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27,765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(12,624)</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15,141</w:t>
            </w: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names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(790)</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(800)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1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54,226</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(31,327)</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Non-amortizable - trade names</w:t>
            </w: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4,881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59,107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(31,327</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October 31, 2012</w:t>
            </w:r>
          </w:p>
        </w:tc>
        <w:tc>
          <w:tcPr>
            <w:tcW w:w="13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Estimated</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Gross Carrying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7"/>
              </w:rPr>
              <w:t>Accumulated</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240" w:type="dxa"/>
            <w:vAlign w:val="bottom"/>
            <w:gridSpan w:val="3"/>
            <w:vMerge w:val="continue"/>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Life (Years)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1.5-13</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18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Non-compete agreements</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1.5-10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6,303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(3,656)</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1.5-13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(3,826)</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Developed technology</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1.5-10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27,727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(10,196)</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names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(800)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1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(27,066)</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Non-amortizable - trade names</w:t>
            </w: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4,881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39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122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116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100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6" w:name="page7"/>
    <w:bookmarkEnd w:id="6"/>
    <w:p>
      <w:pPr>
        <w:spacing w:after="0" w:line="62" w:lineRule="exact"/>
        <w:rPr>
          <w:sz w:val="20"/>
          <w:szCs w:val="20"/>
          <w:color w:val="auto"/>
        </w:rPr>
      </w:pPr>
    </w:p>
    <w:p>
      <w:pPr>
        <w:spacing w:after="0"/>
        <w:tabs>
          <w:tab w:leader="none" w:pos="5840" w:val="left"/>
          <w:tab w:leader="none" w:pos="6720" w:val="left"/>
          <w:tab w:leader="none" w:pos="7500" w:val="left"/>
          <w:tab w:leader="none" w:pos="8300" w:val="left"/>
          <w:tab w:leader="none" w:pos="9140" w:val="left"/>
          <w:tab w:leader="none" w:pos="10020" w:val="left"/>
        </w:tabs>
        <w:rPr>
          <w:sz w:val="20"/>
          <w:szCs w:val="20"/>
          <w:color w:val="auto"/>
        </w:rPr>
      </w:pPr>
      <w:r>
        <w:rPr>
          <w:rFonts w:ascii="Arial" w:cs="Arial" w:eastAsia="Arial" w:hAnsi="Arial"/>
          <w:sz w:val="18"/>
          <w:szCs w:val="18"/>
          <w:color w:val="auto"/>
        </w:rPr>
        <w:t>Total other intangible assets,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59,131</w:t>
        <w:tab/>
        <w:t>$</w:t>
      </w:r>
      <w:r>
        <w:rPr>
          <w:sz w:val="20"/>
          <w:szCs w:val="20"/>
          <w:color w:val="auto"/>
        </w:rPr>
        <w:tab/>
      </w:r>
      <w:r>
        <w:rPr>
          <w:rFonts w:ascii="Arial" w:cs="Arial" w:eastAsia="Arial" w:hAnsi="Arial"/>
          <w:sz w:val="18"/>
          <w:szCs w:val="18"/>
          <w:color w:val="auto"/>
        </w:rPr>
        <w:t>(27,066)</w:t>
        <w:tab/>
        <w:t>$</w:t>
      </w:r>
      <w:r>
        <w:rPr>
          <w:sz w:val="20"/>
          <w:szCs w:val="20"/>
          <w:color w:val="auto"/>
        </w:rPr>
        <w:tab/>
      </w:r>
      <w:r>
        <w:rPr>
          <w:rFonts w:ascii="Arial" w:cs="Arial" w:eastAsia="Arial" w:hAnsi="Arial"/>
          <w:sz w:val="15"/>
          <w:szCs w:val="15"/>
          <w:color w:val="auto"/>
        </w:rPr>
        <w:t>32,065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75767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57670" cy="180340"/>
                    </a:xfrm>
                    <a:prstGeom prst="rect">
                      <a:avLst/>
                    </a:prstGeom>
                    <a:noFill/>
                  </pic:spPr>
                </pic:pic>
              </a:graphicData>
            </a:graphic>
          </wp:anchor>
        </w:drawing>
      </w:r>
    </w:p>
    <w:p>
      <w:pPr>
        <w:spacing w:after="0" w:line="273" w:lineRule="exact"/>
        <w:rPr>
          <w:sz w:val="20"/>
          <w:szCs w:val="20"/>
          <w:color w:val="auto"/>
        </w:rPr>
      </w:pPr>
    </w:p>
    <w:p>
      <w:pPr>
        <w:jc w:val="both"/>
        <w:ind w:right="60" w:firstLine="270"/>
        <w:spacing w:after="0" w:line="264" w:lineRule="auto"/>
        <w:rPr>
          <w:sz w:val="20"/>
          <w:szCs w:val="20"/>
          <w:color w:val="auto"/>
        </w:rPr>
      </w:pPr>
      <w:r>
        <w:rPr>
          <w:rFonts w:ascii="Arial" w:cs="Arial" w:eastAsia="Arial" w:hAnsi="Arial"/>
          <w:sz w:val="18"/>
          <w:szCs w:val="18"/>
          <w:color w:val="auto"/>
        </w:rPr>
        <w:t>Amortization expense for intangible assets during the first nine months of fiscal 2013 was $4.5 million. Estimated amortization expense for the remainder of fiscal 2013 and succeeding fiscal years is as follows: fiscal 2013 (remainder), $1.4 million; fiscal 2014, $5.3 million; fiscal 2015, $5.1 million; fiscal 2016, $4.6 million; fiscal 2017, $3.7 million; fiscal 2018, $1.7 million; and after fiscal 2018, $1.1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fiscal 2009, the company and TCF Inventory Finance, Inc. (“TCFIF”), a subsidiary of TCF National Bank, established Red Iron Acceptance, LLC (“Red Iron”), a joint venture in the form of a Delaware limited liability company that provides inventory financing, including floor plan and open account receivable financing, to distributors and dealers of the company’s products in the United States and to select distributors of the company’s products in Canada. In fiscal 2012, the company and TCFIF entered into amendments to certain of the agreements pertaining to Red Iron, among other things, to extend the initial term of Red Iron until October 31, 2017, subject to unlimited automatic two-year extensions thereafter. Either the company or TCFIF may elect not to extend the initial term or any subsequent term by giving one-year notice to the other party of its intention not to extend the term. Additionally, in connection with the joint venture, the company and an affiliate of TCFIF entered into an arrangement to provide inventory financing to dealers of the company’s products in Canada.</w:t>
      </w:r>
    </w:p>
    <w:p>
      <w:pPr>
        <w:spacing w:after="0" w:line="192" w:lineRule="exact"/>
        <w:rPr>
          <w:sz w:val="20"/>
          <w:szCs w:val="20"/>
          <w:color w:val="auto"/>
        </w:rPr>
      </w:pPr>
    </w:p>
    <w:p>
      <w:pPr>
        <w:ind w:right="80" w:firstLine="270"/>
        <w:spacing w:after="0" w:line="271" w:lineRule="auto"/>
        <w:rPr>
          <w:sz w:val="20"/>
          <w:szCs w:val="20"/>
          <w:color w:val="auto"/>
        </w:rPr>
      </w:pPr>
      <w:r>
        <w:rPr>
          <w:rFonts w:ascii="Arial" w:cs="Arial" w:eastAsia="Arial" w:hAnsi="Arial"/>
          <w:sz w:val="17"/>
          <w:szCs w:val="17"/>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 million secured revolving credit facility established under a credit agreement between Red Iron and TCFIF. The company’s total investment in Red Iron as of August 2, 2013 was $15.2 million. The company has not guaranteed the outstanding indebtedness of Red Iron. The company has agreed to repurchase products repossessed by Red Iron and the TCFIF Canadian affiliate, up to a maximum aggregate amount of $7.5 million in a calendar year. In addition, the company has provided recourse to Red Iron for certain outstanding receivables, which amounted to a maximum amount of $0.4 million as of August 2, 2013.</w:t>
      </w:r>
    </w:p>
    <w:p>
      <w:pPr>
        <w:spacing w:after="0" w:line="179"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color w:val="auto"/>
        </w:rPr>
        <w:t>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Under separate agreements between Red Iron and the dealers and distributors, Red Iron provides loans to the dealers and distributors for the advances paid by Red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Iron to the company. The net amount of new receivables financed for dealers and distributors under this arrangement for the nine months ended August 2, 2013 and August 3, 2012 was $962.5 million and $920.3 million, respectively.</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July 31, 2013, Red Iron’s total assets were $302.5 million and total liabilities were $268.7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products are warranted to ensure customer confidence in design, workmanship, and overall quality. Warranty coverage is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sells extended warranty coverage on select products for a prescribed period after the factory warranty period expires.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Warranty provisions, claims, changes in estimates, and additions from acquisitions for the first nine months of fiscal 2013 and 2012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August 2,</w:t>
            </w: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295"/>
              <w:spacing w:after="0" w:line="119" w:lineRule="exact"/>
              <w:rPr>
                <w:sz w:val="20"/>
                <w:szCs w:val="20"/>
                <w:color w:val="auto"/>
              </w:rPr>
            </w:pPr>
            <w:r>
              <w:rPr>
                <w:rFonts w:ascii="Arial" w:cs="Arial" w:eastAsia="Arial" w:hAnsi="Arial"/>
                <w:sz w:val="13"/>
                <w:szCs w:val="13"/>
                <w:b w:val="1"/>
                <w:bCs w:val="1"/>
                <w:color w:val="auto"/>
              </w:rPr>
              <w:t>August 3,</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69,848</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Warranty provisions</w:t>
            </w:r>
          </w:p>
        </w:tc>
        <w:tc>
          <w:tcPr>
            <w:tcW w:w="2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33,875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32,268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(24,624)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(23,656)</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Changes in estimates</w:t>
            </w:r>
          </w:p>
        </w:tc>
        <w:tc>
          <w:tcPr>
            <w:tcW w:w="2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(1,928)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77,171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73,725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ind w:right="660"/>
        <w:spacing w:after="0" w:line="302" w:lineRule="auto"/>
        <w:rPr>
          <w:sz w:val="20"/>
          <w:szCs w:val="20"/>
          <w:color w:val="auto"/>
        </w:rPr>
      </w:pPr>
      <w:r>
        <w:rPr>
          <w:rFonts w:ascii="Arial" w:cs="Arial" w:eastAsia="Arial" w:hAnsi="Arial"/>
          <w:sz w:val="16"/>
          <w:szCs w:val="16"/>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company-owned domestic distributorships, has been combined with the company’s corporate activities and elimination of intersegment revenues and expenses that is shown as “Other” in the following tables due to the insignificance of the segment.</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Professional</w:t>
            </w:r>
          </w:p>
        </w:tc>
        <w:tc>
          <w:tcPr>
            <w:tcW w:w="220" w:type="dxa"/>
            <w:vAlign w:val="bottom"/>
          </w:tcPr>
          <w:p>
            <w:pPr>
              <w:spacing w:after="0"/>
              <w:rPr>
                <w:sz w:val="13"/>
                <w:szCs w:val="13"/>
                <w:color w:val="auto"/>
              </w:rPr>
            </w:pPr>
          </w:p>
        </w:tc>
        <w:tc>
          <w:tcPr>
            <w:tcW w:w="14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13"/>
                <w:szCs w:val="13"/>
                <w:color w:val="auto"/>
              </w:rPr>
            </w:pPr>
          </w:p>
        </w:tc>
        <w:tc>
          <w:tcPr>
            <w:tcW w:w="136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August 2, 2013</w:t>
            </w: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343,866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155,452</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Intersegment gross sales</w:t>
            </w: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7,628</w:t>
            </w:r>
          </w:p>
        </w:tc>
        <w:tc>
          <w:tcPr>
            <w:tcW w:w="2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149</w:t>
            </w:r>
          </w:p>
        </w:tc>
        <w:tc>
          <w:tcPr>
            <w:tcW w:w="3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(7,777)</w:t>
            </w:r>
          </w:p>
        </w:tc>
        <w:tc>
          <w:tcPr>
            <w:tcW w:w="3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15,070</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(17,925)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57,653</w:t>
            </w:r>
          </w:p>
        </w:tc>
        <w:tc>
          <w:tcPr>
            <w:tcW w:w="800" w:type="dxa"/>
            <w:vAlign w:val="bottom"/>
          </w:tcPr>
          <w:p>
            <w:pPr>
              <w:spacing w:after="0"/>
              <w:rPr>
                <w:sz w:val="18"/>
                <w:szCs w:val="18"/>
                <w:color w:val="auto"/>
              </w:rPr>
            </w:pPr>
          </w:p>
        </w:tc>
      </w:tr>
      <w:tr>
        <w:trPr>
          <w:trHeight w:val="58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August 3, 2012</w:t>
            </w:r>
          </w:p>
        </w:tc>
        <w:tc>
          <w:tcPr>
            <w:tcW w:w="200" w:type="dxa"/>
            <w:vAlign w:val="bottom"/>
          </w:tcPr>
          <w:p>
            <w:pPr>
              <w:spacing w:after="0"/>
              <w:rPr>
                <w:sz w:val="24"/>
                <w:szCs w:val="24"/>
                <w:color w:val="auto"/>
              </w:rPr>
            </w:pPr>
          </w:p>
        </w:tc>
        <w:tc>
          <w:tcPr>
            <w:tcW w:w="118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Professional</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24"/>
                <w:szCs w:val="2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24"/>
                <w:szCs w:val="24"/>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361,120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135,894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504,076</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(12,102)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10,048</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(21,117)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59,468</w:t>
            </w:r>
          </w:p>
        </w:tc>
        <w:tc>
          <w:tcPr>
            <w:tcW w:w="800" w:type="dxa"/>
            <w:vAlign w:val="bottom"/>
          </w:tcPr>
          <w:p>
            <w:pPr>
              <w:spacing w:after="0"/>
              <w:rPr>
                <w:sz w:val="18"/>
                <w:szCs w:val="18"/>
                <w:color w:val="auto"/>
              </w:rPr>
            </w:pPr>
          </w:p>
        </w:tc>
      </w:tr>
      <w:tr>
        <w:trPr>
          <w:trHeight w:val="365"/>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 August 2, 2013</w:t>
            </w:r>
          </w:p>
        </w:tc>
        <w:tc>
          <w:tcPr>
            <w:tcW w:w="200" w:type="dxa"/>
            <w:vAlign w:val="bottom"/>
          </w:tcPr>
          <w:p>
            <w:pPr>
              <w:spacing w:after="0"/>
              <w:rPr>
                <w:sz w:val="24"/>
                <w:szCs w:val="24"/>
                <w:color w:val="auto"/>
              </w:rPr>
            </w:pPr>
          </w:p>
        </w:tc>
        <w:tc>
          <w:tcPr>
            <w:tcW w:w="118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Professional</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24"/>
                <w:szCs w:val="2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24"/>
                <w:szCs w:val="24"/>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1,169,446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477,789</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1,659,065</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34,401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354</w:t>
            </w: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(34,755)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51,903</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(68,056)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217,368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573,089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177,495</w:t>
            </w:r>
          </w:p>
        </w:tc>
        <w:tc>
          <w:tcPr>
            <w:tcW w:w="3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280,546</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1,031,130</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50"/>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 August 3, 2012</w:t>
            </w:r>
          </w:p>
        </w:tc>
        <w:tc>
          <w:tcPr>
            <w:tcW w:w="200" w:type="dxa"/>
            <w:vAlign w:val="bottom"/>
          </w:tcPr>
          <w:p>
            <w:pPr>
              <w:spacing w:after="0"/>
              <w:rPr>
                <w:sz w:val="24"/>
                <w:szCs w:val="24"/>
                <w:color w:val="auto"/>
              </w:rPr>
            </w:pPr>
          </w:p>
        </w:tc>
        <w:tc>
          <w:tcPr>
            <w:tcW w:w="118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Professional</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24"/>
                <w:szCs w:val="2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24"/>
                <w:szCs w:val="24"/>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1,100,899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505,399</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13,098</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1,619,396</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(31,136)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211,329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51,174</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(68,557)</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193,946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548,381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179,452</w:t>
            </w:r>
          </w:p>
        </w:tc>
        <w:tc>
          <w:tcPr>
            <w:tcW w:w="3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258,695</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986,528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8"/>
        </w:trPr>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11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2"/>
        </w:trPr>
        <w:tc>
          <w:tcPr>
            <w:tcW w:w="39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components of the loss before income taxes included in “Other” shown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August 2,</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317"/>
              <w:spacing w:after="0" w:line="119" w:lineRule="exact"/>
              <w:rPr>
                <w:sz w:val="20"/>
                <w:szCs w:val="20"/>
                <w:color w:val="auto"/>
              </w:rPr>
            </w:pPr>
            <w:r>
              <w:rPr>
                <w:rFonts w:ascii="Arial" w:cs="Arial" w:eastAsia="Arial" w:hAnsi="Arial"/>
                <w:sz w:val="13"/>
                <w:szCs w:val="13"/>
                <w:b w:val="1"/>
                <w:bCs w:val="1"/>
                <w:color w:val="auto"/>
              </w:rPr>
              <w:t>August 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August 2,</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297"/>
              <w:spacing w:after="0" w:line="119" w:lineRule="exact"/>
              <w:rPr>
                <w:sz w:val="20"/>
                <w:szCs w:val="20"/>
                <w:color w:val="auto"/>
              </w:rPr>
            </w:pPr>
            <w:r>
              <w:rPr>
                <w:rFonts w:ascii="Arial" w:cs="Arial" w:eastAsia="Arial" w:hAnsi="Arial"/>
                <w:sz w:val="13"/>
                <w:szCs w:val="13"/>
                <w:b w:val="1"/>
                <w:bCs w:val="1"/>
                <w:color w:val="auto"/>
              </w:rPr>
              <w:t>August 3,</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(60,991)</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(3,909)</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(4,198)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(12,307)</w:t>
            </w:r>
          </w:p>
        </w:tc>
        <w:tc>
          <w:tcPr>
            <w:tcW w:w="24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(12,791)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(21,117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(68,056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(68,557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primarily involve the use of forward currency contracts, as well as a cross currency swaps that are intended to offset intercompany loan exposures.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primarily based on the amount of exposure to the currency involved and an assessment of the near-term market value for each currency. The company’s policy does not allow the use of derivatives for trading or speculative purposes. The company also has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 The company’s primary foreign currency exchange rate exposures are with the Euro, the Australian dollar, the Canadian dollar, the British pound, the Mexican peso, the Japanese yen, the Chinese Yuan, and the Romanian New Leu against the U.S. dollar, as well as the Romanian New Leu against the Euro.</w:t>
      </w:r>
    </w:p>
    <w:p>
      <w:pPr>
        <w:spacing w:after="0" w:line="188"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b w:val="1"/>
          <w:bCs w:val="1"/>
          <w:i w:val="1"/>
          <w:iCs w:val="1"/>
          <w:color w:val="auto"/>
        </w:rPr>
        <w:t>Cash flow hedges</w:t>
      </w:r>
      <w:r>
        <w:rPr>
          <w:rFonts w:ascii="Arial" w:cs="Arial" w:eastAsia="Arial" w:hAnsi="Arial"/>
          <w:sz w:val="16"/>
          <w:szCs w:val="16"/>
          <w:color w:val="auto"/>
        </w:rPr>
        <w:t>. The company recognizes all derivative instruments as either assets or liabilities at fair value on the consolidated balance sheet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formally documents relationships between cash flow hedging instruments and hedged transactions, as well as its risk-management objective and strategy for undertaking hedge transactions. This process includes linking all derivatives to the forecasted transactions, such as sales to third parties and foreign plant operations. Changes in fair values of outstanding 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 Results of hedges of intercompany loans are recorded in other income, net as an offset to the remeasurement of the foreign loan balance.</w:t>
      </w:r>
    </w:p>
    <w:p>
      <w:pPr>
        <w:spacing w:after="0" w:line="169" w:lineRule="exact"/>
        <w:rPr>
          <w:sz w:val="20"/>
          <w:szCs w:val="20"/>
          <w:color w:val="auto"/>
        </w:rPr>
      </w:pPr>
    </w:p>
    <w:p>
      <w:pPr>
        <w:ind w:right="40" w:firstLine="270"/>
        <w:spacing w:after="0" w:line="286" w:lineRule="auto"/>
        <w:rPr>
          <w:sz w:val="20"/>
          <w:szCs w:val="20"/>
          <w:color w:val="auto"/>
        </w:rPr>
      </w:pPr>
      <w:r>
        <w:rPr>
          <w:rFonts w:ascii="Arial" w:cs="Arial" w:eastAsia="Arial" w:hAnsi="Arial"/>
          <w:sz w:val="16"/>
          <w:szCs w:val="16"/>
          <w:color w:val="auto"/>
        </w:rPr>
        <w:t>The company formally assesses, at a hedge’s inception and on an ongoing basis, whether the derivatives that are designated as hedges have been highly effective in offsetting changes in the cash flows of the hedged transactions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accumulated other comprehensive loss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hedge accounting is discontinued and the derivative remains outstanding, the company carries the derivative at its fair value on the consolidated balance sheet, recognizing future changes in the fair value in other income, net. For the third quarter and year-to-date periods of fiscal 2013, there were no losses on contracts reclassified into earnings as a result of the discontinuance of cash flow hedges. As of August 2, 2013, the notional amount outstanding of forward contracts designated as cash flow hedges was $80.4 million. Additionally, the company has one cross currency interest rate swap instrument outstanding as of August 2, 2013 for a fixed pay notional of 36.6 million Romanian New Leu and receive floating notional of 8.5 million Euro.</w:t>
      </w:r>
    </w:p>
    <w:p>
      <w:pPr>
        <w:sectPr>
          <w:pgSz w:w="11900" w:h="16838" w:orient="portrait"/>
          <w:cols w:equalWidth="0" w:num="1">
            <w:col w:w="11460"/>
          </w:cols>
          <w:pgMar w:left="240" w:top="140" w:right="199" w:bottom="0" w:gutter="0" w:footer="0" w:header="0"/>
        </w:sectPr>
      </w:pP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12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type w:val="continuous"/>
        </w:sectPr>
      </w:pPr>
    </w:p>
    <w:bookmarkStart w:id="8" w:name="page9"/>
    <w:bookmarkEnd w:id="8"/>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10795"/>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 xml:space="preserve">Derivatives not designated as hedging instruments. </w:t>
      </w:r>
      <w:r>
        <w:rPr>
          <w:rFonts w:ascii="Arial" w:cs="Arial" w:eastAsia="Arial" w:hAnsi="Arial"/>
          <w:sz w:val="16"/>
          <w:szCs w:val="16"/>
          <w:color w:val="auto"/>
        </w:rPr>
        <w:t>The company also enters into foreign currency contracts that include forward currency contracts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cross currency swaps to mitigate the change in fair value of specific 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4"/>
          </w:tcPr>
          <w:p>
            <w:pPr>
              <w:ind w:left="320"/>
              <w:spacing w:after="0"/>
              <w:rPr>
                <w:sz w:val="20"/>
                <w:szCs w:val="20"/>
                <w:color w:val="auto"/>
              </w:rPr>
            </w:pPr>
            <w:r>
              <w:rPr>
                <w:rFonts w:ascii="Arial" w:cs="Arial" w:eastAsia="Arial" w:hAnsi="Arial"/>
                <w:sz w:val="12"/>
                <w:szCs w:val="12"/>
                <w:b w:val="1"/>
                <w:bCs w:val="1"/>
                <w:color w:val="auto"/>
              </w:rPr>
              <w:t>Asset Derivatives</w:t>
            </w: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Liability Derivatives</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Borders>
              <w:bottom w:val="single" w:sz="8" w:color="auto"/>
            </w:tcBorders>
            <w:gridSpan w:val="3"/>
          </w:tcPr>
          <w:p>
            <w:pPr>
              <w:jc w:val="right"/>
              <w:ind w:right="40"/>
              <w:spacing w:after="0" w:line="129" w:lineRule="exact"/>
              <w:rPr>
                <w:sz w:val="20"/>
                <w:szCs w:val="20"/>
                <w:color w:val="auto"/>
              </w:rPr>
            </w:pPr>
            <w:r>
              <w:rPr>
                <w:rFonts w:ascii="Arial" w:cs="Arial" w:eastAsia="Arial" w:hAnsi="Arial"/>
                <w:sz w:val="12"/>
                <w:szCs w:val="12"/>
                <w:b w:val="1"/>
                <w:bCs w:val="1"/>
                <w:color w:val="auto"/>
              </w:rPr>
              <w:t>August 2, 2013</w:t>
            </w:r>
          </w:p>
        </w:tc>
        <w:tc>
          <w:tcPr>
            <w:tcW w:w="6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Borders>
              <w:bottom w:val="single" w:sz="8" w:color="auto"/>
            </w:tcBorders>
            <w:gridSpan w:val="3"/>
          </w:tcPr>
          <w:p>
            <w:pPr>
              <w:ind w:left="660"/>
              <w:spacing w:after="0" w:line="129" w:lineRule="exact"/>
              <w:rPr>
                <w:sz w:val="20"/>
                <w:szCs w:val="20"/>
                <w:color w:val="auto"/>
              </w:rPr>
            </w:pPr>
            <w:r>
              <w:rPr>
                <w:rFonts w:ascii="Arial" w:cs="Arial" w:eastAsia="Arial" w:hAnsi="Arial"/>
                <w:sz w:val="12"/>
                <w:szCs w:val="12"/>
                <w:b w:val="1"/>
                <w:bCs w:val="1"/>
                <w:color w:val="auto"/>
                <w:w w:val="89"/>
              </w:rPr>
              <w:t>August 3, 2012</w:t>
            </w:r>
          </w:p>
        </w:tc>
        <w:tc>
          <w:tcPr>
            <w:tcW w:w="6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Borders>
              <w:bottom w:val="single" w:sz="8" w:color="auto"/>
            </w:tcBorders>
            <w:gridSpan w:val="3"/>
          </w:tcPr>
          <w:p>
            <w:pPr>
              <w:jc w:val="right"/>
              <w:ind w:right="40"/>
              <w:spacing w:after="0" w:line="129" w:lineRule="exact"/>
              <w:rPr>
                <w:sz w:val="20"/>
                <w:szCs w:val="20"/>
                <w:color w:val="auto"/>
              </w:rPr>
            </w:pPr>
            <w:r>
              <w:rPr>
                <w:rFonts w:ascii="Arial" w:cs="Arial" w:eastAsia="Arial" w:hAnsi="Arial"/>
                <w:sz w:val="12"/>
                <w:szCs w:val="12"/>
                <w:b w:val="1"/>
                <w:bCs w:val="1"/>
                <w:color w:val="auto"/>
              </w:rPr>
              <w:t>August 2, 2013</w:t>
            </w: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Borders>
              <w:bottom w:val="single" w:sz="8" w:color="auto"/>
            </w:tcBorders>
            <w:gridSpan w:val="3"/>
          </w:tcPr>
          <w:p>
            <w:pPr>
              <w:ind w:left="580"/>
              <w:spacing w:after="0" w:line="129" w:lineRule="exact"/>
              <w:rPr>
                <w:sz w:val="20"/>
                <w:szCs w:val="20"/>
                <w:color w:val="auto"/>
              </w:rPr>
            </w:pPr>
            <w:r>
              <w:rPr>
                <w:rFonts w:ascii="Arial" w:cs="Arial" w:eastAsia="Arial" w:hAnsi="Arial"/>
                <w:sz w:val="12"/>
                <w:szCs w:val="12"/>
                <w:b w:val="1"/>
                <w:bCs w:val="1"/>
                <w:color w:val="auto"/>
                <w:w w:val="87"/>
              </w:rPr>
              <w:t>August 3, 2012</w:t>
            </w:r>
          </w:p>
        </w:tc>
        <w:tc>
          <w:tcPr>
            <w:tcW w:w="5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6"/>
              </w:rPr>
              <w:t>Balance</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jc w:val="center"/>
              <w:ind w:right="220"/>
              <w:spacing w:after="0" w:line="121" w:lineRule="exact"/>
              <w:rPr>
                <w:sz w:val="20"/>
                <w:szCs w:val="20"/>
                <w:color w:val="auto"/>
              </w:rPr>
            </w:pPr>
            <w:r>
              <w:rPr>
                <w:rFonts w:ascii="Arial" w:cs="Arial" w:eastAsia="Arial" w:hAnsi="Arial"/>
                <w:sz w:val="12"/>
                <w:szCs w:val="12"/>
                <w:b w:val="1"/>
                <w:bCs w:val="1"/>
                <w:color w:val="auto"/>
                <w:w w:val="86"/>
              </w:rPr>
              <w:t>Balance</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6"/>
              </w:rPr>
              <w:t>Balance</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6"/>
              </w:rPr>
              <w:t>Balance</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5"/>
              </w:rPr>
              <w:t>Sheet</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2"/>
          </w:tcPr>
          <w:p>
            <w:pPr>
              <w:jc w:val="right"/>
              <w:ind w:right="580"/>
              <w:spacing w:after="0" w:line="135" w:lineRule="exact"/>
              <w:rPr>
                <w:sz w:val="20"/>
                <w:szCs w:val="20"/>
                <w:color w:val="auto"/>
              </w:rPr>
            </w:pPr>
            <w:r>
              <w:rPr>
                <w:rFonts w:ascii="Arial" w:cs="Arial" w:eastAsia="Arial" w:hAnsi="Arial"/>
                <w:sz w:val="12"/>
                <w:szCs w:val="12"/>
                <w:b w:val="1"/>
                <w:bCs w:val="1"/>
                <w:color w:val="auto"/>
              </w:rPr>
              <w:t>Fair</w:t>
            </w: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5"/>
              </w:rPr>
              <w:t>Sheet</w:t>
            </w:r>
          </w:p>
        </w:tc>
        <w:tc>
          <w:tcPr>
            <w:tcW w:w="300" w:type="dxa"/>
            <w:vAlign w:val="bottom"/>
          </w:tcPr>
          <w:p>
            <w:pPr>
              <w:spacing w:after="0"/>
              <w:rPr>
                <w:sz w:val="11"/>
                <w:szCs w:val="11"/>
                <w:color w:val="auto"/>
              </w:rPr>
            </w:pPr>
          </w:p>
        </w:tc>
        <w:tc>
          <w:tcPr>
            <w:tcW w:w="740" w:type="dxa"/>
            <w:vAlign w:val="bottom"/>
            <w:gridSpan w:val="2"/>
          </w:tcPr>
          <w:p>
            <w:pPr>
              <w:jc w:val="right"/>
              <w:ind w:right="460"/>
              <w:spacing w:after="0" w:line="135" w:lineRule="exact"/>
              <w:rPr>
                <w:sz w:val="20"/>
                <w:szCs w:val="20"/>
                <w:color w:val="auto"/>
              </w:rPr>
            </w:pPr>
            <w:r>
              <w:rPr>
                <w:rFonts w:ascii="Arial" w:cs="Arial" w:eastAsia="Arial" w:hAnsi="Arial"/>
                <w:sz w:val="12"/>
                <w:szCs w:val="12"/>
                <w:b w:val="1"/>
                <w:bCs w:val="1"/>
                <w:color w:val="auto"/>
              </w:rPr>
              <w:t>Fair</w:t>
            </w: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5"/>
              </w:rPr>
              <w:t>Sheet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right"/>
              <w:ind w:right="560"/>
              <w:spacing w:after="0" w:line="135" w:lineRule="exact"/>
              <w:rPr>
                <w:sz w:val="20"/>
                <w:szCs w:val="20"/>
                <w:color w:val="auto"/>
              </w:rPr>
            </w:pPr>
            <w:r>
              <w:rPr>
                <w:rFonts w:ascii="Arial" w:cs="Arial" w:eastAsia="Arial" w:hAnsi="Arial"/>
                <w:sz w:val="12"/>
                <w:szCs w:val="12"/>
                <w:b w:val="1"/>
                <w:bCs w:val="1"/>
                <w:color w:val="auto"/>
              </w:rPr>
              <w:t>Fair</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5"/>
              </w:rPr>
              <w:t>Sheet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9"/>
              </w:rPr>
              <w:t>Fair</w:t>
            </w:r>
          </w:p>
        </w:tc>
        <w:tc>
          <w:tcPr>
            <w:tcW w:w="0" w:type="dxa"/>
            <w:vAlign w:val="bottom"/>
          </w:tcPr>
          <w:p>
            <w:pPr>
              <w:spacing w:after="0"/>
              <w:rPr>
                <w:sz w:val="1"/>
                <w:szCs w:val="1"/>
                <w:color w:val="auto"/>
              </w:rPr>
            </w:pPr>
          </w:p>
        </w:tc>
      </w:tr>
      <w:tr>
        <w:trPr>
          <w:trHeight w:val="143"/>
        </w:trPr>
        <w:tc>
          <w:tcPr>
            <w:tcW w:w="2000" w:type="dxa"/>
            <w:vAlign w:val="bottom"/>
            <w:gridSpan w:val="2"/>
          </w:tcPr>
          <w:p>
            <w:pPr>
              <w:spacing w:after="0"/>
              <w:rPr>
                <w:sz w:val="20"/>
                <w:szCs w:val="20"/>
                <w:color w:val="auto"/>
              </w:rPr>
            </w:pPr>
            <w:r>
              <w:rPr>
                <w:rFonts w:ascii="Arial" w:cs="Arial" w:eastAsia="Arial" w:hAnsi="Arial"/>
                <w:sz w:val="12"/>
                <w:szCs w:val="12"/>
                <w:b w:val="1"/>
                <w:bCs w:val="1"/>
                <w:color w:val="auto"/>
              </w:rPr>
              <w:t>(Dollars in thousands)</w:t>
            </w:r>
          </w:p>
        </w:tc>
        <w:tc>
          <w:tcPr>
            <w:tcW w:w="2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7"/>
              </w:rPr>
              <w:t>Location</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w w:val="93"/>
              </w:rPr>
              <w:t>Value</w:t>
            </w: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Location</w:t>
            </w:r>
          </w:p>
        </w:tc>
        <w:tc>
          <w:tcPr>
            <w:tcW w:w="300" w:type="dxa"/>
            <w:vAlign w:val="bottom"/>
          </w:tcPr>
          <w:p>
            <w:pPr>
              <w:spacing w:after="0"/>
              <w:rPr>
                <w:sz w:val="12"/>
                <w:szCs w:val="12"/>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87"/>
              </w:rPr>
              <w:t>Value</w:t>
            </w: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7"/>
              </w:rPr>
              <w:t>Location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w w:val="93"/>
              </w:rPr>
              <w:t>Value</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7"/>
              </w:rPr>
              <w:t>Location</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Value</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9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980" w:type="dxa"/>
            <w:vAlign w:val="bottom"/>
            <w:shd w:val="clear" w:color="auto" w:fill="CCEEFF"/>
          </w:tcPr>
          <w:p>
            <w:pPr>
              <w:spacing w:after="0" w:line="127" w:lineRule="exact"/>
              <w:rPr>
                <w:sz w:val="20"/>
                <w:szCs w:val="20"/>
                <w:color w:val="auto"/>
              </w:rPr>
            </w:pPr>
            <w:r>
              <w:rPr>
                <w:rFonts w:ascii="Arial" w:cs="Arial" w:eastAsia="Arial" w:hAnsi="Arial"/>
                <w:sz w:val="12"/>
                <w:szCs w:val="12"/>
                <w:b w:val="1"/>
                <w:bCs w:val="1"/>
                <w:color w:val="auto"/>
                <w:w w:val="97"/>
              </w:rPr>
              <w:t>Derivatives Designated as Hedging</w:t>
            </w: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2"/>
                <w:szCs w:val="12"/>
                <w:b w:val="1"/>
                <w:bCs w:val="1"/>
                <w:color w:val="auto"/>
              </w:rPr>
              <w:t>Instruments</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9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Forward currency contracts</w:t>
            </w:r>
          </w:p>
        </w:tc>
        <w:tc>
          <w:tcPr>
            <w:tcW w:w="11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2"/>
                <w:szCs w:val="12"/>
                <w:color w:val="auto"/>
                <w:w w:val="93"/>
              </w:rPr>
              <w:t>Prepaid expenses</w:t>
            </w:r>
          </w:p>
        </w:tc>
        <w:tc>
          <w:tcPr>
            <w:tcW w:w="5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796</w:t>
            </w:r>
          </w:p>
        </w:tc>
        <w:tc>
          <w:tcPr>
            <w:tcW w:w="11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Prepaid expenses</w:t>
            </w: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w:t>
            </w:r>
          </w:p>
        </w:tc>
        <w:tc>
          <w:tcPr>
            <w:tcW w:w="10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w w:val="97"/>
              </w:rPr>
              <w:t>Accrued liabilities</w:t>
            </w:r>
          </w:p>
        </w:tc>
        <w:tc>
          <w:tcPr>
            <w:tcW w:w="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178</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4"/>
              </w:rPr>
              <w:t>Accrued liabilities</w:t>
            </w:r>
          </w:p>
        </w:tc>
        <w:tc>
          <w:tcPr>
            <w:tcW w:w="4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tcPr>
          <w:p>
            <w:pPr>
              <w:spacing w:after="0" w:line="135" w:lineRule="exact"/>
              <w:rPr>
                <w:sz w:val="20"/>
                <w:szCs w:val="20"/>
                <w:color w:val="auto"/>
              </w:rPr>
            </w:pPr>
            <w:r>
              <w:rPr>
                <w:rFonts w:ascii="Arial" w:cs="Arial" w:eastAsia="Arial" w:hAnsi="Arial"/>
                <w:sz w:val="12"/>
                <w:szCs w:val="12"/>
                <w:color w:val="auto"/>
              </w:rPr>
              <w:t>Cross currency swaps</w:t>
            </w:r>
          </w:p>
        </w:tc>
        <w:tc>
          <w:tcPr>
            <w:tcW w:w="1140" w:type="dxa"/>
            <w:vAlign w:val="bottom"/>
            <w:gridSpan w:val="2"/>
          </w:tcPr>
          <w:p>
            <w:pPr>
              <w:ind w:left="220"/>
              <w:spacing w:after="0" w:line="135" w:lineRule="exact"/>
              <w:rPr>
                <w:sz w:val="20"/>
                <w:szCs w:val="20"/>
                <w:color w:val="auto"/>
              </w:rPr>
            </w:pPr>
            <w:r>
              <w:rPr>
                <w:rFonts w:ascii="Arial" w:cs="Arial" w:eastAsia="Arial" w:hAnsi="Arial"/>
                <w:sz w:val="12"/>
                <w:szCs w:val="12"/>
                <w:color w:val="auto"/>
                <w:w w:val="93"/>
              </w:rPr>
              <w:t>Prepaid expenses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140" w:type="dxa"/>
            <w:vAlign w:val="bottom"/>
            <w:gridSpan w:val="2"/>
          </w:tcPr>
          <w:p>
            <w:pPr>
              <w:spacing w:after="0" w:line="135" w:lineRule="exact"/>
              <w:rPr>
                <w:sz w:val="20"/>
                <w:szCs w:val="20"/>
                <w:color w:val="auto"/>
              </w:rPr>
            </w:pPr>
            <w:r>
              <w:rPr>
                <w:rFonts w:ascii="Arial" w:cs="Arial" w:eastAsia="Arial" w:hAnsi="Arial"/>
                <w:sz w:val="12"/>
                <w:szCs w:val="12"/>
                <w:color w:val="auto"/>
              </w:rPr>
              <w:t>Prepaid expenses</w:t>
            </w:r>
          </w:p>
        </w:tc>
        <w:tc>
          <w:tcPr>
            <w:tcW w:w="3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624</w:t>
            </w:r>
          </w:p>
        </w:tc>
        <w:tc>
          <w:tcPr>
            <w:tcW w:w="1040" w:type="dxa"/>
            <w:vAlign w:val="bottom"/>
            <w:gridSpan w:val="2"/>
          </w:tcPr>
          <w:p>
            <w:pPr>
              <w:ind w:left="120"/>
              <w:spacing w:after="0" w:line="135" w:lineRule="exact"/>
              <w:rPr>
                <w:sz w:val="20"/>
                <w:szCs w:val="20"/>
                <w:color w:val="auto"/>
              </w:rPr>
            </w:pPr>
            <w:r>
              <w:rPr>
                <w:rFonts w:ascii="Arial" w:cs="Arial" w:eastAsia="Arial" w:hAnsi="Arial"/>
                <w:sz w:val="12"/>
                <w:szCs w:val="12"/>
                <w:color w:val="auto"/>
                <w:w w:val="97"/>
              </w:rPr>
              <w:t>Accrued liabilities</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428</w:t>
            </w:r>
          </w:p>
        </w:tc>
        <w:tc>
          <w:tcPr>
            <w:tcW w:w="220" w:type="dxa"/>
            <w:vAlign w:val="bottom"/>
          </w:tcPr>
          <w:p>
            <w:pPr>
              <w:spacing w:after="0"/>
              <w:rPr>
                <w:sz w:val="11"/>
                <w:szCs w:val="11"/>
                <w:color w:val="auto"/>
              </w:rPr>
            </w:pPr>
          </w:p>
        </w:tc>
        <w:tc>
          <w:tcPr>
            <w:tcW w:w="900" w:type="dxa"/>
            <w:vAlign w:val="bottom"/>
          </w:tcPr>
          <w:p>
            <w:pPr>
              <w:spacing w:after="0" w:line="135" w:lineRule="exact"/>
              <w:rPr>
                <w:sz w:val="20"/>
                <w:szCs w:val="20"/>
                <w:color w:val="auto"/>
              </w:rPr>
            </w:pPr>
            <w:r>
              <w:rPr>
                <w:rFonts w:ascii="Arial" w:cs="Arial" w:eastAsia="Arial" w:hAnsi="Arial"/>
                <w:sz w:val="12"/>
                <w:szCs w:val="12"/>
                <w:color w:val="auto"/>
                <w:w w:val="94"/>
              </w:rPr>
              <w:t>Accrued liabilities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980" w:type="dxa"/>
            <w:vAlign w:val="bottom"/>
          </w:tcPr>
          <w:p>
            <w:pPr>
              <w:spacing w:after="0" w:line="127" w:lineRule="exact"/>
              <w:rPr>
                <w:sz w:val="20"/>
                <w:szCs w:val="20"/>
                <w:color w:val="auto"/>
              </w:rPr>
            </w:pPr>
            <w:r>
              <w:rPr>
                <w:rFonts w:ascii="Arial" w:cs="Arial" w:eastAsia="Arial" w:hAnsi="Arial"/>
                <w:sz w:val="12"/>
                <w:szCs w:val="12"/>
                <w:b w:val="1"/>
                <w:bCs w:val="1"/>
                <w:color w:val="auto"/>
                <w:w w:val="87"/>
              </w:rPr>
              <w:t>Derivatives Not Designated as Hedging</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980" w:type="dxa"/>
            <w:vAlign w:val="bottom"/>
          </w:tcPr>
          <w:p>
            <w:pPr>
              <w:ind w:left="160"/>
              <w:spacing w:after="0"/>
              <w:rPr>
                <w:sz w:val="20"/>
                <w:szCs w:val="20"/>
                <w:color w:val="auto"/>
              </w:rPr>
            </w:pPr>
            <w:r>
              <w:rPr>
                <w:rFonts w:ascii="Arial" w:cs="Arial" w:eastAsia="Arial" w:hAnsi="Arial"/>
                <w:sz w:val="12"/>
                <w:szCs w:val="12"/>
                <w:b w:val="1"/>
                <w:bCs w:val="1"/>
                <w:color w:val="auto"/>
              </w:rPr>
              <w:t>Instruments</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980" w:type="dxa"/>
            <w:vAlign w:val="bottom"/>
          </w:tcPr>
          <w:p>
            <w:pPr>
              <w:spacing w:after="0" w:line="135" w:lineRule="exact"/>
              <w:rPr>
                <w:sz w:val="20"/>
                <w:szCs w:val="20"/>
                <w:color w:val="auto"/>
              </w:rPr>
            </w:pPr>
            <w:r>
              <w:rPr>
                <w:rFonts w:ascii="Arial" w:cs="Arial" w:eastAsia="Arial" w:hAnsi="Arial"/>
                <w:sz w:val="12"/>
                <w:szCs w:val="12"/>
                <w:color w:val="auto"/>
              </w:rPr>
              <w:t>Forward currency contracts</w:t>
            </w:r>
          </w:p>
        </w:tc>
        <w:tc>
          <w:tcPr>
            <w:tcW w:w="1140" w:type="dxa"/>
            <w:vAlign w:val="bottom"/>
            <w:gridSpan w:val="2"/>
          </w:tcPr>
          <w:p>
            <w:pPr>
              <w:ind w:left="220"/>
              <w:spacing w:after="0" w:line="135" w:lineRule="exact"/>
              <w:rPr>
                <w:sz w:val="20"/>
                <w:szCs w:val="20"/>
                <w:color w:val="auto"/>
              </w:rPr>
            </w:pPr>
            <w:r>
              <w:rPr>
                <w:rFonts w:ascii="Arial" w:cs="Arial" w:eastAsia="Arial" w:hAnsi="Arial"/>
                <w:sz w:val="12"/>
                <w:szCs w:val="12"/>
                <w:color w:val="auto"/>
                <w:w w:val="93"/>
              </w:rPr>
              <w:t>Prepaid expenses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2,305</w:t>
            </w:r>
          </w:p>
        </w:tc>
        <w:tc>
          <w:tcPr>
            <w:tcW w:w="1140" w:type="dxa"/>
            <w:vAlign w:val="bottom"/>
            <w:gridSpan w:val="2"/>
          </w:tcPr>
          <w:p>
            <w:pPr>
              <w:spacing w:after="0" w:line="135" w:lineRule="exact"/>
              <w:rPr>
                <w:sz w:val="20"/>
                <w:szCs w:val="20"/>
                <w:color w:val="auto"/>
              </w:rPr>
            </w:pPr>
            <w:r>
              <w:rPr>
                <w:rFonts w:ascii="Arial" w:cs="Arial" w:eastAsia="Arial" w:hAnsi="Arial"/>
                <w:sz w:val="12"/>
                <w:szCs w:val="12"/>
                <w:color w:val="auto"/>
              </w:rPr>
              <w:t>Prepaid expenses</w:t>
            </w:r>
          </w:p>
        </w:tc>
        <w:tc>
          <w:tcPr>
            <w:tcW w:w="3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970</w:t>
            </w:r>
          </w:p>
        </w:tc>
        <w:tc>
          <w:tcPr>
            <w:tcW w:w="1040" w:type="dxa"/>
            <w:vAlign w:val="bottom"/>
            <w:gridSpan w:val="2"/>
          </w:tcPr>
          <w:p>
            <w:pPr>
              <w:ind w:left="120"/>
              <w:spacing w:after="0" w:line="135" w:lineRule="exact"/>
              <w:rPr>
                <w:sz w:val="20"/>
                <w:szCs w:val="20"/>
                <w:color w:val="auto"/>
              </w:rPr>
            </w:pPr>
            <w:r>
              <w:rPr>
                <w:rFonts w:ascii="Arial" w:cs="Arial" w:eastAsia="Arial" w:hAnsi="Arial"/>
                <w:sz w:val="12"/>
                <w:szCs w:val="12"/>
                <w:color w:val="auto"/>
                <w:w w:val="97"/>
              </w:rPr>
              <w:t>Accrued liabilities</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178</w:t>
            </w:r>
          </w:p>
        </w:tc>
        <w:tc>
          <w:tcPr>
            <w:tcW w:w="220" w:type="dxa"/>
            <w:vAlign w:val="bottom"/>
          </w:tcPr>
          <w:p>
            <w:pPr>
              <w:spacing w:after="0"/>
              <w:rPr>
                <w:sz w:val="11"/>
                <w:szCs w:val="11"/>
                <w:color w:val="auto"/>
              </w:rPr>
            </w:pPr>
          </w:p>
        </w:tc>
        <w:tc>
          <w:tcPr>
            <w:tcW w:w="900" w:type="dxa"/>
            <w:vAlign w:val="bottom"/>
          </w:tcPr>
          <w:p>
            <w:pPr>
              <w:spacing w:after="0" w:line="135" w:lineRule="exact"/>
              <w:rPr>
                <w:sz w:val="20"/>
                <w:szCs w:val="20"/>
                <w:color w:val="auto"/>
              </w:rPr>
            </w:pPr>
            <w:r>
              <w:rPr>
                <w:rFonts w:ascii="Arial" w:cs="Arial" w:eastAsia="Arial" w:hAnsi="Arial"/>
                <w:sz w:val="12"/>
                <w:szCs w:val="12"/>
                <w:color w:val="auto"/>
                <w:w w:val="94"/>
              </w:rPr>
              <w:t>Accrued liabilities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Cross currency swaps</w:t>
            </w:r>
          </w:p>
        </w:tc>
        <w:tc>
          <w:tcPr>
            <w:tcW w:w="11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2"/>
                <w:szCs w:val="12"/>
                <w:color w:val="auto"/>
                <w:w w:val="93"/>
              </w:rPr>
              <w:t>Prepaid expenses</w:t>
            </w: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83</w:t>
            </w:r>
          </w:p>
        </w:tc>
        <w:tc>
          <w:tcPr>
            <w:tcW w:w="11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Prepaid expenses</w:t>
            </w:r>
          </w:p>
        </w:tc>
        <w:tc>
          <w:tcPr>
            <w:tcW w:w="3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1,019</w:t>
            </w:r>
          </w:p>
        </w:tc>
        <w:tc>
          <w:tcPr>
            <w:tcW w:w="10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w w:val="97"/>
              </w:rPr>
              <w:t>Accrued liabilities</w:t>
            </w: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4"/>
              </w:rPr>
              <w:t>Accrued liabilities</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Derivatives</w:t>
            </w: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3,184</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2,616</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784</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designated as cash flow hedging instruments for the three and nine months ended August 2, 2013 and August 3, 2012,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88"/>
              </w:rPr>
              <w:t>Location of Gain (Loss)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8"/>
          </w:tcPr>
          <w:p>
            <w:pPr>
              <w:jc w:val="center"/>
              <w:ind w:right="120"/>
              <w:spacing w:after="0"/>
              <w:rPr>
                <w:sz w:val="20"/>
                <w:szCs w:val="20"/>
                <w:color w:val="auto"/>
              </w:rPr>
            </w:pPr>
            <w:r>
              <w:rPr>
                <w:rFonts w:ascii="Arial" w:cs="Arial" w:eastAsia="Arial" w:hAnsi="Arial"/>
                <w:sz w:val="12"/>
                <w:szCs w:val="12"/>
                <w:b w:val="1"/>
                <w:bCs w:val="1"/>
                <w:color w:val="auto"/>
                <w:w w:val="87"/>
              </w:rPr>
              <w:t>Gain (Loss)</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0"/>
              </w:rPr>
              <w:t>Location of Gain</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Recognized in Income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8"/>
          </w:tcPr>
          <w:p>
            <w:pPr>
              <w:jc w:val="center"/>
              <w:ind w:right="120"/>
              <w:spacing w:after="0" w:line="135" w:lineRule="exact"/>
              <w:rPr>
                <w:sz w:val="20"/>
                <w:szCs w:val="20"/>
                <w:color w:val="auto"/>
              </w:rPr>
            </w:pPr>
            <w:r>
              <w:rPr>
                <w:rFonts w:ascii="Arial" w:cs="Arial" w:eastAsia="Arial" w:hAnsi="Arial"/>
                <w:sz w:val="12"/>
                <w:szCs w:val="12"/>
                <w:b w:val="1"/>
                <w:bCs w:val="1"/>
                <w:color w:val="auto"/>
                <w:w w:val="86"/>
              </w:rPr>
              <w:t>Recognized in Income</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6"/>
          </w:tcPr>
          <w:p>
            <w:pPr>
              <w:jc w:val="center"/>
              <w:ind w:left="122"/>
              <w:spacing w:after="0" w:line="135" w:lineRule="exact"/>
              <w:rPr>
                <w:sz w:val="20"/>
                <w:szCs w:val="20"/>
                <w:color w:val="auto"/>
              </w:rPr>
            </w:pPr>
            <w:r>
              <w:rPr>
                <w:rFonts w:ascii="Arial" w:cs="Arial" w:eastAsia="Arial" w:hAnsi="Arial"/>
                <w:sz w:val="12"/>
                <w:szCs w:val="12"/>
                <w:b w:val="1"/>
                <w:bCs w:val="1"/>
                <w:color w:val="auto"/>
                <w:w w:val="87"/>
              </w:rPr>
              <w:t>Gain (Loss)</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5"/>
              </w:rPr>
              <w:t>(Loss) Reclassified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gridSpan w:val="9"/>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Gain (Loss)</w:t>
            </w:r>
          </w:p>
        </w:tc>
        <w:tc>
          <w:tcPr>
            <w:tcW w:w="6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on Derivatives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8"/>
          </w:tcPr>
          <w:p>
            <w:pPr>
              <w:jc w:val="center"/>
              <w:ind w:right="140"/>
              <w:spacing w:after="0" w:line="135" w:lineRule="exact"/>
              <w:rPr>
                <w:sz w:val="20"/>
                <w:szCs w:val="20"/>
                <w:color w:val="auto"/>
              </w:rPr>
            </w:pPr>
            <w:r>
              <w:rPr>
                <w:rFonts w:ascii="Arial" w:cs="Arial" w:eastAsia="Arial" w:hAnsi="Arial"/>
                <w:sz w:val="12"/>
                <w:szCs w:val="12"/>
                <w:b w:val="1"/>
                <w:bCs w:val="1"/>
                <w:color w:val="auto"/>
                <w:w w:val="87"/>
              </w:rPr>
              <w:t>on Derivatives</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6"/>
          </w:tcPr>
          <w:p>
            <w:pPr>
              <w:jc w:val="center"/>
              <w:ind w:left="122"/>
              <w:spacing w:after="0" w:line="135" w:lineRule="exact"/>
              <w:rPr>
                <w:sz w:val="20"/>
                <w:szCs w:val="20"/>
                <w:color w:val="auto"/>
              </w:rPr>
            </w:pPr>
            <w:r>
              <w:rPr>
                <w:rFonts w:ascii="Arial" w:cs="Arial" w:eastAsia="Arial" w:hAnsi="Arial"/>
                <w:sz w:val="12"/>
                <w:szCs w:val="12"/>
                <w:b w:val="1"/>
                <w:bCs w:val="1"/>
                <w:color w:val="auto"/>
                <w:w w:val="88"/>
              </w:rPr>
              <w:t>Recognized in OCI on</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from AOCL</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gridSpan w:val="9"/>
          </w:tcPr>
          <w:p>
            <w:pPr>
              <w:jc w:val="center"/>
              <w:ind w:right="140"/>
              <w:spacing w:after="0" w:line="135" w:lineRule="exact"/>
              <w:rPr>
                <w:sz w:val="20"/>
                <w:szCs w:val="20"/>
                <w:color w:val="auto"/>
              </w:rPr>
            </w:pPr>
            <w:r>
              <w:rPr>
                <w:rFonts w:ascii="Arial" w:cs="Arial" w:eastAsia="Arial" w:hAnsi="Arial"/>
                <w:sz w:val="12"/>
                <w:szCs w:val="12"/>
                <w:b w:val="1"/>
                <w:bCs w:val="1"/>
                <w:color w:val="auto"/>
                <w:w w:val="87"/>
              </w:rPr>
              <w:t>Reclassified from</w:t>
            </w:r>
          </w:p>
        </w:tc>
        <w:tc>
          <w:tcPr>
            <w:tcW w:w="6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(Ineffective Portion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8"/>
          </w:tcPr>
          <w:p>
            <w:pPr>
              <w:jc w:val="center"/>
              <w:ind w:right="140"/>
              <w:spacing w:after="0" w:line="135" w:lineRule="exact"/>
              <w:rPr>
                <w:sz w:val="20"/>
                <w:szCs w:val="20"/>
                <w:color w:val="auto"/>
              </w:rPr>
            </w:pPr>
            <w:r>
              <w:rPr>
                <w:rFonts w:ascii="Arial" w:cs="Arial" w:eastAsia="Arial" w:hAnsi="Arial"/>
                <w:sz w:val="12"/>
                <w:szCs w:val="12"/>
                <w:b w:val="1"/>
                <w:bCs w:val="1"/>
                <w:color w:val="auto"/>
                <w:w w:val="89"/>
              </w:rPr>
              <w:t>(Ineffective Portion and</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6"/>
          </w:tcPr>
          <w:p>
            <w:pPr>
              <w:jc w:val="center"/>
              <w:ind w:left="102"/>
              <w:spacing w:after="0" w:line="135" w:lineRule="exact"/>
              <w:rPr>
                <w:sz w:val="20"/>
                <w:szCs w:val="20"/>
                <w:color w:val="auto"/>
              </w:rPr>
            </w:pPr>
            <w:r>
              <w:rPr>
                <w:rFonts w:ascii="Arial" w:cs="Arial" w:eastAsia="Arial" w:hAnsi="Arial"/>
                <w:sz w:val="12"/>
                <w:szCs w:val="12"/>
                <w:b w:val="1"/>
                <w:bCs w:val="1"/>
                <w:color w:val="auto"/>
                <w:w w:val="87"/>
              </w:rPr>
              <w:t>Derivatives</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into Income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gridSpan w:val="9"/>
          </w:tcPr>
          <w:p>
            <w:pPr>
              <w:jc w:val="center"/>
              <w:ind w:right="140"/>
              <w:spacing w:after="0" w:line="135" w:lineRule="exact"/>
              <w:rPr>
                <w:sz w:val="20"/>
                <w:szCs w:val="20"/>
                <w:color w:val="auto"/>
              </w:rPr>
            </w:pPr>
            <w:r>
              <w:rPr>
                <w:rFonts w:ascii="Arial" w:cs="Arial" w:eastAsia="Arial" w:hAnsi="Arial"/>
                <w:sz w:val="12"/>
                <w:szCs w:val="12"/>
                <w:b w:val="1"/>
                <w:bCs w:val="1"/>
                <w:color w:val="auto"/>
                <w:w w:val="91"/>
              </w:rPr>
              <w:t>AOCL into Income</w:t>
            </w:r>
          </w:p>
        </w:tc>
        <w:tc>
          <w:tcPr>
            <w:tcW w:w="6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and excluded from</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8"/>
          </w:tcPr>
          <w:p>
            <w:pPr>
              <w:jc w:val="center"/>
              <w:ind w:right="120"/>
              <w:spacing w:after="0" w:line="135" w:lineRule="exact"/>
              <w:rPr>
                <w:sz w:val="20"/>
                <w:szCs w:val="20"/>
                <w:color w:val="auto"/>
              </w:rPr>
            </w:pPr>
            <w:r>
              <w:rPr>
                <w:rFonts w:ascii="Arial" w:cs="Arial" w:eastAsia="Arial" w:hAnsi="Arial"/>
                <w:sz w:val="12"/>
                <w:szCs w:val="12"/>
                <w:b w:val="1"/>
                <w:bCs w:val="1"/>
                <w:color w:val="auto"/>
                <w:w w:val="88"/>
              </w:rPr>
              <w:t>Excluded from</w:t>
            </w:r>
          </w:p>
        </w:tc>
        <w:tc>
          <w:tcPr>
            <w:tcW w:w="0" w:type="dxa"/>
            <w:vAlign w:val="bottom"/>
          </w:tcPr>
          <w:p>
            <w:pPr>
              <w:spacing w:after="0"/>
              <w:rPr>
                <w:sz w:val="1"/>
                <w:szCs w:val="1"/>
                <w:color w:val="auto"/>
              </w:rPr>
            </w:pPr>
          </w:p>
        </w:tc>
      </w:tr>
      <w:tr>
        <w:trPr>
          <w:trHeight w:val="143"/>
        </w:trPr>
        <w:tc>
          <w:tcPr>
            <w:tcW w:w="1720" w:type="dxa"/>
            <w:vAlign w:val="bottom"/>
            <w:vMerge w:val="restart"/>
          </w:tcPr>
          <w:p>
            <w:pPr>
              <w:spacing w:after="0"/>
              <w:rPr>
                <w:sz w:val="20"/>
                <w:szCs w:val="20"/>
                <w:color w:val="auto"/>
              </w:rPr>
            </w:pPr>
            <w:r>
              <w:rPr>
                <w:rFonts w:ascii="Arial" w:cs="Arial" w:eastAsia="Arial" w:hAnsi="Arial"/>
                <w:sz w:val="12"/>
                <w:szCs w:val="12"/>
                <w:b w:val="1"/>
                <w:bCs w:val="1"/>
                <w:color w:val="auto"/>
              </w:rPr>
              <w:t>(Dollars 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6"/>
          </w:tcPr>
          <w:p>
            <w:pPr>
              <w:jc w:val="center"/>
              <w:ind w:left="102"/>
              <w:spacing w:after="0"/>
              <w:rPr>
                <w:sz w:val="20"/>
                <w:szCs w:val="20"/>
                <w:color w:val="auto"/>
              </w:rPr>
            </w:pPr>
            <w:r>
              <w:rPr>
                <w:rFonts w:ascii="Arial" w:cs="Arial" w:eastAsia="Arial" w:hAnsi="Arial"/>
                <w:sz w:val="12"/>
                <w:szCs w:val="12"/>
                <w:b w:val="1"/>
                <w:bCs w:val="1"/>
                <w:color w:val="auto"/>
                <w:w w:val="88"/>
              </w:rPr>
              <w:t>(Effective Portion)</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w w:val="90"/>
              </w:rPr>
              <w:t>(Effective Portion)</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9"/>
          </w:tcPr>
          <w:p>
            <w:pPr>
              <w:jc w:val="center"/>
              <w:ind w:right="140"/>
              <w:spacing w:after="0"/>
              <w:rPr>
                <w:sz w:val="20"/>
                <w:szCs w:val="20"/>
                <w:color w:val="auto"/>
              </w:rPr>
            </w:pPr>
            <w:r>
              <w:rPr>
                <w:rFonts w:ascii="Arial" w:cs="Arial" w:eastAsia="Arial" w:hAnsi="Arial"/>
                <w:sz w:val="12"/>
                <w:szCs w:val="12"/>
                <w:b w:val="1"/>
                <w:bCs w:val="1"/>
                <w:color w:val="auto"/>
                <w:w w:val="88"/>
              </w:rPr>
              <w:t>(Effective Portion)</w:t>
            </w:r>
          </w:p>
        </w:tc>
        <w:tc>
          <w:tcPr>
            <w:tcW w:w="6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84"/>
              </w:rPr>
              <w:t>Effectiveness Testing)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8"/>
          </w:tcPr>
          <w:p>
            <w:pPr>
              <w:jc w:val="center"/>
              <w:ind w:right="140"/>
              <w:spacing w:after="0"/>
              <w:rPr>
                <w:sz w:val="20"/>
                <w:szCs w:val="20"/>
                <w:color w:val="auto"/>
              </w:rPr>
            </w:pPr>
            <w:r>
              <w:rPr>
                <w:rFonts w:ascii="Arial" w:cs="Arial" w:eastAsia="Arial" w:hAnsi="Arial"/>
                <w:sz w:val="12"/>
                <w:szCs w:val="12"/>
                <w:b w:val="1"/>
                <w:bCs w:val="1"/>
                <w:color w:val="auto"/>
                <w:w w:val="84"/>
              </w:rPr>
              <w:t>Effectiveness Testing)</w:t>
            </w:r>
          </w:p>
        </w:tc>
        <w:tc>
          <w:tcPr>
            <w:tcW w:w="0" w:type="dxa"/>
            <w:vAlign w:val="bottom"/>
          </w:tcPr>
          <w:p>
            <w:pPr>
              <w:spacing w:after="0"/>
              <w:rPr>
                <w:sz w:val="1"/>
                <w:szCs w:val="1"/>
                <w:color w:val="auto"/>
              </w:rPr>
            </w:pPr>
          </w:p>
        </w:tc>
      </w:tr>
      <w:tr>
        <w:trPr>
          <w:trHeight w:val="120"/>
        </w:trPr>
        <w:tc>
          <w:tcPr>
            <w:tcW w:w="17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3"/>
          </w:tcPr>
          <w:p>
            <w:pPr>
              <w:jc w:val="center"/>
              <w:ind w:right="220"/>
              <w:spacing w:after="0" w:line="121" w:lineRule="exact"/>
              <w:rPr>
                <w:sz w:val="20"/>
                <w:szCs w:val="20"/>
                <w:color w:val="auto"/>
              </w:rPr>
            </w:pPr>
            <w:r>
              <w:rPr>
                <w:rFonts w:ascii="Arial" w:cs="Arial" w:eastAsia="Arial" w:hAnsi="Arial"/>
                <w:sz w:val="12"/>
                <w:szCs w:val="12"/>
                <w:b w:val="1"/>
                <w:bCs w:val="1"/>
                <w:color w:val="auto"/>
                <w:w w:val="87"/>
              </w:rPr>
              <w:t>August 2,</w:t>
            </w: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right"/>
              <w:ind w:right="140"/>
              <w:spacing w:after="0" w:line="121" w:lineRule="exact"/>
              <w:rPr>
                <w:sz w:val="20"/>
                <w:szCs w:val="20"/>
                <w:color w:val="auto"/>
              </w:rPr>
            </w:pPr>
            <w:r>
              <w:rPr>
                <w:rFonts w:ascii="Arial" w:cs="Arial" w:eastAsia="Arial" w:hAnsi="Arial"/>
                <w:sz w:val="12"/>
                <w:szCs w:val="12"/>
                <w:b w:val="1"/>
                <w:bCs w:val="1"/>
                <w:color w:val="auto"/>
              </w:rPr>
              <w:t>August 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right"/>
              <w:ind w:right="340"/>
              <w:spacing w:after="0" w:line="121" w:lineRule="exact"/>
              <w:rPr>
                <w:sz w:val="20"/>
                <w:szCs w:val="20"/>
                <w:color w:val="auto"/>
              </w:rPr>
            </w:pPr>
            <w:r>
              <w:rPr>
                <w:rFonts w:ascii="Arial" w:cs="Arial" w:eastAsia="Arial" w:hAnsi="Arial"/>
                <w:sz w:val="12"/>
                <w:szCs w:val="12"/>
                <w:b w:val="1"/>
                <w:bCs w:val="1"/>
                <w:color w:val="auto"/>
                <w:w w:val="95"/>
              </w:rPr>
              <w:t>August 2,</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120"/>
              <w:spacing w:after="0" w:line="121" w:lineRule="exact"/>
              <w:rPr>
                <w:sz w:val="20"/>
                <w:szCs w:val="20"/>
                <w:color w:val="auto"/>
              </w:rPr>
            </w:pPr>
            <w:r>
              <w:rPr>
                <w:rFonts w:ascii="Arial" w:cs="Arial" w:eastAsia="Arial" w:hAnsi="Arial"/>
                <w:sz w:val="12"/>
                <w:szCs w:val="12"/>
                <w:b w:val="1"/>
                <w:bCs w:val="1"/>
                <w:color w:val="auto"/>
                <w:w w:val="91"/>
              </w:rPr>
              <w:t>August 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tcPr>
          <w:p>
            <w:pPr>
              <w:jc w:val="center"/>
              <w:ind w:right="260"/>
              <w:spacing w:after="0" w:line="121" w:lineRule="exact"/>
              <w:rPr>
                <w:sz w:val="20"/>
                <w:szCs w:val="20"/>
                <w:color w:val="auto"/>
              </w:rPr>
            </w:pPr>
            <w:r>
              <w:rPr>
                <w:rFonts w:ascii="Arial" w:cs="Arial" w:eastAsia="Arial" w:hAnsi="Arial"/>
                <w:sz w:val="12"/>
                <w:szCs w:val="12"/>
                <w:b w:val="1"/>
                <w:bCs w:val="1"/>
                <w:color w:val="auto"/>
                <w:w w:val="84"/>
              </w:rPr>
              <w:t>August 2,</w:t>
            </w: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right="80"/>
              <w:spacing w:after="0" w:line="121" w:lineRule="exact"/>
              <w:rPr>
                <w:sz w:val="20"/>
                <w:szCs w:val="20"/>
                <w:color w:val="auto"/>
              </w:rPr>
            </w:pPr>
            <w:r>
              <w:rPr>
                <w:rFonts w:ascii="Arial" w:cs="Arial" w:eastAsia="Arial" w:hAnsi="Arial"/>
                <w:sz w:val="12"/>
                <w:szCs w:val="12"/>
                <w:b w:val="1"/>
                <w:bCs w:val="1"/>
                <w:color w:val="auto"/>
                <w:w w:val="87"/>
              </w:rPr>
              <w:t>August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7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For the three months ended</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89"/>
              </w:rPr>
              <w:t>2013</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gridSpan w:val="2"/>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w:t>
            </w: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2013</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2012</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2013</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2012</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7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Forward currency contracts</w:t>
            </w:r>
          </w:p>
        </w:tc>
        <w:tc>
          <w:tcPr>
            <w:tcW w:w="260" w:type="dxa"/>
            <w:vAlign w:val="bottom"/>
            <w:tcBorders>
              <w:bottom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820" w:type="dxa"/>
            <w:vAlign w:val="bottom"/>
            <w:tcBorders>
              <w:bottom w:val="single" w:sz="8" w:color="CCEEFF"/>
            </w:tcBorders>
            <w:gridSpan w:val="3"/>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459</w:t>
            </w:r>
          </w:p>
        </w:tc>
        <w:tc>
          <w:tcPr>
            <w:tcW w:w="620" w:type="dxa"/>
            <w:vAlign w:val="bottom"/>
            <w:tcBorders>
              <w:bottom w:val="single" w:sz="8" w:color="CCEEFF"/>
            </w:tcBorders>
            <w:gridSpan w:val="3"/>
            <w:shd w:val="clear" w:color="auto" w:fill="CCEEFF"/>
          </w:tcPr>
          <w:p>
            <w:pPr>
              <w:jc w:val="right"/>
              <w:ind w:right="384"/>
              <w:spacing w:after="0" w:line="129" w:lineRule="exact"/>
              <w:rPr>
                <w:sz w:val="20"/>
                <w:szCs w:val="20"/>
                <w:color w:val="auto"/>
              </w:rPr>
            </w:pPr>
            <w:r>
              <w:rPr>
                <w:rFonts w:ascii="Arial" w:cs="Arial" w:eastAsia="Arial" w:hAnsi="Arial"/>
                <w:sz w:val="12"/>
                <w:szCs w:val="12"/>
                <w:color w:val="auto"/>
              </w:rPr>
              <w:t>$</w:t>
            </w:r>
          </w:p>
        </w:tc>
        <w:tc>
          <w:tcPr>
            <w:tcW w:w="340" w:type="dxa"/>
            <w:vAlign w:val="bottom"/>
            <w:tcBorders>
              <w:bottom w:val="single" w:sz="8" w:color="CCEEFF"/>
            </w:tcBorders>
            <w:gridSpan w:val="3"/>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w w:val="99"/>
              </w:rPr>
              <w:t>(463)</w:t>
            </w:r>
          </w:p>
        </w:tc>
        <w:tc>
          <w:tcPr>
            <w:tcW w:w="8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Net sales</w:t>
            </w:r>
          </w:p>
        </w:tc>
        <w:tc>
          <w:tcPr>
            <w:tcW w:w="220" w:type="dxa"/>
            <w:vAlign w:val="bottom"/>
            <w:tcBorders>
              <w:bottom w:val="single" w:sz="8" w:color="CCEEFF"/>
            </w:tcBorders>
            <w:gridSpan w:val="3"/>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880" w:type="dxa"/>
            <w:vAlign w:val="bottom"/>
            <w:tcBorders>
              <w:bottom w:val="single" w:sz="8" w:color="CCEEFF"/>
            </w:tcBorders>
            <w:gridSpan w:val="3"/>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(114)</w:t>
            </w:r>
          </w:p>
        </w:tc>
        <w:tc>
          <w:tcPr>
            <w:tcW w:w="100" w:type="dxa"/>
            <w:vAlign w:val="bottom"/>
            <w:tcBorders>
              <w:bottom w:val="single" w:sz="8" w:color="CCEEFF"/>
            </w:tcBorders>
            <w:gridSpan w:val="3"/>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CCEEFF"/>
            </w:tcBorders>
            <w:gridSpan w:val="3"/>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1,033</w:t>
            </w:r>
          </w:p>
        </w:tc>
        <w:tc>
          <w:tcPr>
            <w:tcW w:w="60" w:type="dxa"/>
            <w:vAlign w:val="bottom"/>
            <w:tcBorders>
              <w:bottom w:val="single" w:sz="8" w:color="CCEEFF"/>
            </w:tcBorders>
            <w:shd w:val="clear" w:color="auto" w:fill="CCEEFF"/>
          </w:tcPr>
          <w:p>
            <w:pPr>
              <w:spacing w:after="0"/>
              <w:rPr>
                <w:sz w:val="11"/>
                <w:szCs w:val="11"/>
                <w:color w:val="auto"/>
              </w:rPr>
            </w:pPr>
          </w:p>
        </w:tc>
        <w:tc>
          <w:tcPr>
            <w:tcW w:w="16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Other income, net</w:t>
            </w: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5</w:t>
            </w:r>
          </w:p>
        </w:tc>
        <w:tc>
          <w:tcPr>
            <w:tcW w:w="1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394</w:t>
            </w:r>
          </w:p>
        </w:tc>
        <w:tc>
          <w:tcPr>
            <w:tcW w:w="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129" w:lineRule="exact"/>
              <w:rPr>
                <w:sz w:val="20"/>
                <w:szCs w:val="20"/>
                <w:color w:val="auto"/>
              </w:rPr>
            </w:pPr>
            <w:r>
              <w:rPr>
                <w:rFonts w:ascii="Arial" w:cs="Arial" w:eastAsia="Arial" w:hAnsi="Arial"/>
                <w:sz w:val="12"/>
                <w:szCs w:val="12"/>
                <w:color w:val="auto"/>
              </w:rPr>
              <w:t>Forward currency contracts</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vMerge w:val="restart"/>
          </w:tcPr>
          <w:p>
            <w:pPr>
              <w:jc w:val="right"/>
              <w:ind w:right="80"/>
              <w:spacing w:after="0" w:line="129" w:lineRule="exact"/>
              <w:rPr>
                <w:sz w:val="20"/>
                <w:szCs w:val="20"/>
                <w:color w:val="auto"/>
              </w:rPr>
            </w:pPr>
            <w:r>
              <w:rPr>
                <w:rFonts w:ascii="Arial" w:cs="Arial" w:eastAsia="Arial" w:hAnsi="Arial"/>
                <w:sz w:val="12"/>
                <w:szCs w:val="12"/>
                <w:color w:val="auto"/>
              </w:rPr>
              <w:t>(491)</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3"/>
            <w:vMerge w:val="restart"/>
          </w:tcPr>
          <w:p>
            <w:pPr>
              <w:jc w:val="right"/>
              <w:ind w:right="40"/>
              <w:spacing w:after="0" w:line="129" w:lineRule="exact"/>
              <w:rPr>
                <w:sz w:val="20"/>
                <w:szCs w:val="20"/>
                <w:color w:val="auto"/>
              </w:rPr>
            </w:pPr>
            <w:r>
              <w:rPr>
                <w:rFonts w:ascii="Arial" w:cs="Arial" w:eastAsia="Arial" w:hAnsi="Arial"/>
                <w:sz w:val="12"/>
                <w:szCs w:val="12"/>
                <w:color w:val="auto"/>
              </w:rPr>
              <w:t>(16)</w:t>
            </w:r>
          </w:p>
        </w:tc>
        <w:tc>
          <w:tcPr>
            <w:tcW w:w="80" w:type="dxa"/>
            <w:vAlign w:val="bottom"/>
            <w:vMerge w:val="restart"/>
          </w:tcPr>
          <w:p>
            <w:pPr>
              <w:spacing w:after="0" w:line="20" w:lineRule="exact"/>
              <w:rPr>
                <w:sz w:val="1"/>
                <w:szCs w:val="1"/>
                <w:color w:val="auto"/>
              </w:rPr>
            </w:pPr>
          </w:p>
        </w:tc>
        <w:tc>
          <w:tcPr>
            <w:tcW w:w="1260" w:type="dxa"/>
            <w:vAlign w:val="bottom"/>
            <w:vMerge w:val="restart"/>
          </w:tcPr>
          <w:p>
            <w:pPr>
              <w:spacing w:after="0" w:line="129" w:lineRule="exact"/>
              <w:rPr>
                <w:sz w:val="20"/>
                <w:szCs w:val="20"/>
                <w:color w:val="auto"/>
              </w:rPr>
            </w:pPr>
            <w:r>
              <w:rPr>
                <w:rFonts w:ascii="Arial" w:cs="Arial" w:eastAsia="Arial" w:hAnsi="Arial"/>
                <w:sz w:val="12"/>
                <w:szCs w:val="12"/>
                <w:color w:val="auto"/>
              </w:rPr>
              <w:t>Cost of sales</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vMerge w:val="restart"/>
          </w:tcPr>
          <w:p>
            <w:pPr>
              <w:jc w:val="right"/>
              <w:ind w:right="200"/>
              <w:spacing w:after="0" w:line="129" w:lineRule="exact"/>
              <w:rPr>
                <w:sz w:val="20"/>
                <w:szCs w:val="20"/>
                <w:color w:val="auto"/>
              </w:rPr>
            </w:pPr>
            <w:r>
              <w:rPr>
                <w:rFonts w:ascii="Arial" w:cs="Arial" w:eastAsia="Arial" w:hAnsi="Arial"/>
                <w:sz w:val="12"/>
                <w:szCs w:val="12"/>
                <w:color w:val="auto"/>
              </w:rPr>
              <w:t>185</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vMerge w:val="restart"/>
          </w:tcPr>
          <w:p>
            <w:pPr>
              <w:jc w:val="right"/>
              <w:ind w:right="40"/>
              <w:spacing w:after="0" w:line="129" w:lineRule="exact"/>
              <w:rPr>
                <w:sz w:val="20"/>
                <w:szCs w:val="20"/>
                <w:color w:val="auto"/>
              </w:rPr>
            </w:pPr>
            <w:r>
              <w:rPr>
                <w:rFonts w:ascii="Arial" w:cs="Arial" w:eastAsia="Arial" w:hAnsi="Arial"/>
                <w:sz w:val="12"/>
                <w:szCs w:val="12"/>
                <w:color w:val="auto"/>
              </w:rPr>
              <w:t>(475)</w:t>
            </w: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Cross currency contracts</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387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Other income, net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126</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386</w:t>
            </w:r>
          </w:p>
        </w:tc>
        <w:tc>
          <w:tcPr>
            <w:tcW w:w="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720" w:type="dxa"/>
            <w:vAlign w:val="bottom"/>
            <w:tcBorders>
              <w:bottom w:val="single" w:sz="8" w:color="CCEEFF"/>
            </w:tcBorders>
          </w:tcPr>
          <w:p>
            <w:pPr>
              <w:spacing w:after="0" w:line="129" w:lineRule="exact"/>
              <w:rPr>
                <w:sz w:val="20"/>
                <w:szCs w:val="20"/>
                <w:color w:val="auto"/>
              </w:rPr>
            </w:pPr>
            <w:r>
              <w:rPr>
                <w:rFonts w:ascii="Arial" w:cs="Arial" w:eastAsia="Arial" w:hAnsi="Arial"/>
                <w:sz w:val="12"/>
                <w:szCs w:val="12"/>
                <w:color w:val="auto"/>
              </w:rPr>
              <w:t>Total</w:t>
            </w:r>
          </w:p>
        </w:tc>
        <w:tc>
          <w:tcPr>
            <w:tcW w:w="1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color w:val="auto"/>
              </w:rPr>
              <w:t>(129)</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9"/>
                <w:szCs w:val="9"/>
                <w:color w:val="auto"/>
                <w:w w:val="78"/>
              </w:rPr>
              <w:t>$</w:t>
            </w:r>
          </w:p>
        </w:tc>
        <w:tc>
          <w:tcPr>
            <w:tcW w:w="2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color w:val="auto"/>
              </w:rPr>
              <w:t>(92)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color w:val="auto"/>
              </w:rPr>
              <w:t>197</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color w:val="auto"/>
              </w:rPr>
              <w:t>944</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84"/>
              </w:rPr>
              <w:t>August 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2"/>
                <w:szCs w:val="12"/>
                <w:b w:val="1"/>
                <w:bCs w:val="1"/>
                <w:color w:val="auto"/>
              </w:rPr>
              <w:t>August 3,</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w w:val="87"/>
              </w:rPr>
              <w:t>August 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87"/>
              </w:rPr>
              <w:t>August 3,</w:t>
            </w: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87"/>
              </w:rPr>
              <w:t>August 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84"/>
              </w:rPr>
              <w:t>August 3,</w:t>
            </w:r>
          </w:p>
        </w:tc>
        <w:tc>
          <w:tcPr>
            <w:tcW w:w="0" w:type="dxa"/>
            <w:vAlign w:val="bottom"/>
          </w:tcPr>
          <w:p>
            <w:pPr>
              <w:spacing w:after="0"/>
              <w:rPr>
                <w:sz w:val="1"/>
                <w:szCs w:val="1"/>
                <w:color w:val="auto"/>
              </w:rPr>
            </w:pPr>
          </w:p>
        </w:tc>
      </w:tr>
      <w:tr>
        <w:trPr>
          <w:trHeight w:val="143"/>
        </w:trPr>
        <w:tc>
          <w:tcPr>
            <w:tcW w:w="17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For the nine months ended</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82"/>
              </w:rPr>
              <w:t>2013</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2012</w:t>
            </w: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2013</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2013</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2012</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7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Forward currency contracts</w:t>
            </w:r>
          </w:p>
        </w:tc>
        <w:tc>
          <w:tcPr>
            <w:tcW w:w="260" w:type="dxa"/>
            <w:vAlign w:val="bottom"/>
            <w:tcBorders>
              <w:bottom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gridSpan w:val="2"/>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1,133</w:t>
            </w: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jc w:val="right"/>
              <w:ind w:right="424"/>
              <w:spacing w:after="0" w:line="129" w:lineRule="exact"/>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w w:val="85"/>
              </w:rPr>
              <w:t>(222)</w:t>
            </w:r>
          </w:p>
        </w:tc>
        <w:tc>
          <w:tcPr>
            <w:tcW w:w="8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CCEEFF"/>
            </w:tcBorders>
            <w:gridSpan w:val="2"/>
            <w:shd w:val="clear" w:color="auto" w:fill="CCEEFF"/>
          </w:tcPr>
          <w:p>
            <w:pPr>
              <w:ind w:left="40"/>
              <w:spacing w:after="0" w:line="129" w:lineRule="exact"/>
              <w:rPr>
                <w:sz w:val="20"/>
                <w:szCs w:val="20"/>
                <w:color w:val="auto"/>
              </w:rPr>
            </w:pPr>
            <w:r>
              <w:rPr>
                <w:rFonts w:ascii="Arial" w:cs="Arial" w:eastAsia="Arial" w:hAnsi="Arial"/>
                <w:sz w:val="12"/>
                <w:szCs w:val="12"/>
                <w:color w:val="auto"/>
              </w:rPr>
              <w:t>Net sales</w:t>
            </w:r>
          </w:p>
        </w:tc>
        <w:tc>
          <w:tcPr>
            <w:tcW w:w="220" w:type="dxa"/>
            <w:vAlign w:val="bottom"/>
            <w:tcBorders>
              <w:bottom w:val="single" w:sz="8" w:color="CCEEFF"/>
            </w:tcBorders>
            <w:gridSpan w:val="3"/>
            <w:shd w:val="clear" w:color="auto" w:fill="CCEEFF"/>
          </w:tcPr>
          <w:p>
            <w:pPr>
              <w:jc w:val="right"/>
              <w:ind w:right="13"/>
              <w:spacing w:after="0" w:line="129" w:lineRule="exact"/>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(1,456)</w:t>
            </w:r>
          </w:p>
        </w:tc>
        <w:tc>
          <w:tcPr>
            <w:tcW w:w="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2,738</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gridSpan w:val="2"/>
            <w:shd w:val="clear" w:color="auto" w:fill="CCEEFF"/>
          </w:tcPr>
          <w:p>
            <w:pPr>
              <w:ind w:left="40"/>
              <w:spacing w:after="0" w:line="129" w:lineRule="exact"/>
              <w:rPr>
                <w:sz w:val="20"/>
                <w:szCs w:val="20"/>
                <w:color w:val="auto"/>
              </w:rPr>
            </w:pPr>
            <w:r>
              <w:rPr>
                <w:rFonts w:ascii="Arial" w:cs="Arial" w:eastAsia="Arial" w:hAnsi="Arial"/>
                <w:sz w:val="12"/>
                <w:szCs w:val="12"/>
                <w:color w:val="auto"/>
              </w:rPr>
              <w:t>Other income, net</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706</w:t>
            </w:r>
          </w:p>
        </w:tc>
        <w:tc>
          <w:tcPr>
            <w:tcW w:w="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gridSpan w:val="2"/>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597</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129" w:lineRule="exact"/>
              <w:rPr>
                <w:sz w:val="20"/>
                <w:szCs w:val="20"/>
                <w:color w:val="auto"/>
              </w:rPr>
            </w:pPr>
            <w:r>
              <w:rPr>
                <w:rFonts w:ascii="Arial" w:cs="Arial" w:eastAsia="Arial" w:hAnsi="Arial"/>
                <w:sz w:val="12"/>
                <w:szCs w:val="12"/>
                <w:color w:val="auto"/>
              </w:rPr>
              <w:t>Forward currency contracts</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vMerge w:val="restart"/>
          </w:tcPr>
          <w:p>
            <w:pPr>
              <w:jc w:val="right"/>
              <w:ind w:right="20"/>
              <w:spacing w:after="0" w:line="129" w:lineRule="exact"/>
              <w:rPr>
                <w:sz w:val="20"/>
                <w:szCs w:val="20"/>
                <w:color w:val="auto"/>
              </w:rPr>
            </w:pPr>
            <w:r>
              <w:rPr>
                <w:rFonts w:ascii="Arial" w:cs="Arial" w:eastAsia="Arial" w:hAnsi="Arial"/>
                <w:sz w:val="12"/>
                <w:szCs w:val="12"/>
                <w:color w:val="auto"/>
              </w:rPr>
              <w:t>110</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2"/>
            <w:vMerge w:val="restart"/>
          </w:tcPr>
          <w:p>
            <w:pPr>
              <w:jc w:val="right"/>
              <w:ind w:right="40"/>
              <w:spacing w:after="0" w:line="129" w:lineRule="exact"/>
              <w:rPr>
                <w:sz w:val="20"/>
                <w:szCs w:val="20"/>
                <w:color w:val="auto"/>
              </w:rPr>
            </w:pPr>
            <w:r>
              <w:rPr>
                <w:rFonts w:ascii="Arial" w:cs="Arial" w:eastAsia="Arial" w:hAnsi="Arial"/>
                <w:sz w:val="12"/>
                <w:szCs w:val="12"/>
                <w:color w:val="auto"/>
                <w:w w:val="99"/>
              </w:rPr>
              <w:t>675</w:t>
            </w:r>
          </w:p>
        </w:tc>
        <w:tc>
          <w:tcPr>
            <w:tcW w:w="80" w:type="dxa"/>
            <w:vAlign w:val="bottom"/>
          </w:tcPr>
          <w:p>
            <w:pPr>
              <w:spacing w:after="0" w:line="20" w:lineRule="exact"/>
              <w:rPr>
                <w:sz w:val="1"/>
                <w:szCs w:val="1"/>
                <w:color w:val="auto"/>
              </w:rPr>
            </w:pPr>
          </w:p>
        </w:tc>
        <w:tc>
          <w:tcPr>
            <w:tcW w:w="1340" w:type="dxa"/>
            <w:vAlign w:val="bottom"/>
            <w:gridSpan w:val="2"/>
            <w:vMerge w:val="restart"/>
          </w:tcPr>
          <w:p>
            <w:pPr>
              <w:ind w:left="40"/>
              <w:spacing w:after="0" w:line="129" w:lineRule="exact"/>
              <w:rPr>
                <w:sz w:val="20"/>
                <w:szCs w:val="20"/>
                <w:color w:val="auto"/>
              </w:rPr>
            </w:pPr>
            <w:r>
              <w:rPr>
                <w:rFonts w:ascii="Arial" w:cs="Arial" w:eastAsia="Arial" w:hAnsi="Arial"/>
                <w:sz w:val="12"/>
                <w:szCs w:val="12"/>
                <w:color w:val="auto"/>
              </w:rPr>
              <w:t>Cost of sales</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vMerge w:val="restart"/>
          </w:tcPr>
          <w:p>
            <w:pPr>
              <w:jc w:val="right"/>
              <w:spacing w:after="0" w:line="129" w:lineRule="exact"/>
              <w:rPr>
                <w:sz w:val="20"/>
                <w:szCs w:val="20"/>
                <w:color w:val="auto"/>
              </w:rPr>
            </w:pPr>
            <w:r>
              <w:rPr>
                <w:rFonts w:ascii="Arial" w:cs="Arial" w:eastAsia="Arial" w:hAnsi="Arial"/>
                <w:sz w:val="12"/>
                <w:szCs w:val="12"/>
                <w:color w:val="auto"/>
              </w:rPr>
              <w:t>426</w:t>
            </w: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vMerge w:val="restart"/>
          </w:tcPr>
          <w:p>
            <w:pPr>
              <w:jc w:val="right"/>
              <w:ind w:right="60"/>
              <w:spacing w:after="0" w:line="129" w:lineRule="exact"/>
              <w:rPr>
                <w:sz w:val="20"/>
                <w:szCs w:val="20"/>
                <w:color w:val="auto"/>
              </w:rPr>
            </w:pPr>
            <w:r>
              <w:rPr>
                <w:rFonts w:ascii="Arial" w:cs="Arial" w:eastAsia="Arial" w:hAnsi="Arial"/>
                <w:sz w:val="12"/>
                <w:szCs w:val="12"/>
                <w:color w:val="auto"/>
              </w:rPr>
              <w:t>(1,120)</w:t>
            </w: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Cross currency contracts</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(702)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w w:val="99"/>
              </w:rPr>
              <w:t>387</w:t>
            </w: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Other income, net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(713)</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line="129" w:lineRule="exact"/>
              <w:rPr>
                <w:sz w:val="20"/>
                <w:szCs w:val="20"/>
                <w:color w:val="auto"/>
              </w:rPr>
            </w:pPr>
            <w:r>
              <w:rPr>
                <w:rFonts w:ascii="Arial" w:cs="Arial" w:eastAsia="Arial" w:hAnsi="Arial"/>
                <w:sz w:val="12"/>
                <w:szCs w:val="12"/>
                <w:color w:val="auto"/>
              </w:rPr>
              <w:t>Total</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541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bottom w:val="single" w:sz="8" w:color="auto"/>
            </w:tcBorders>
            <w:gridSpan w:val="2"/>
          </w:tcPr>
          <w:p>
            <w:pPr>
              <w:jc w:val="right"/>
              <w:ind w:right="424"/>
              <w:spacing w:after="0"/>
              <w:rPr>
                <w:sz w:val="20"/>
                <w:szCs w:val="20"/>
                <w:color w:val="auto"/>
              </w:rPr>
            </w:pPr>
            <w:r>
              <w:rPr>
                <w:rFonts w:ascii="Arial" w:cs="Arial" w:eastAsia="Arial" w:hAnsi="Arial"/>
                <w:sz w:val="9"/>
                <w:szCs w:val="9"/>
                <w:color w:val="auto"/>
                <w:w w:val="78"/>
              </w:rPr>
              <w:t>$</w:t>
            </w:r>
          </w:p>
        </w:tc>
        <w:tc>
          <w:tcPr>
            <w:tcW w:w="2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99"/>
              </w:rPr>
              <w:t>840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gridSpan w:val="2"/>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(1,743)</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2,004</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August 2, 2013, the company expects to reclassify approximately $0.1 million of losses from AOCL to earnings during the next 12 months.</w:t>
      </w:r>
    </w:p>
    <w:p>
      <w:pPr>
        <w:spacing w:after="0" w:line="237"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w w:val="93"/>
              </w:rPr>
              <w:t>Gain (Loss) Recognized in Net Earnings</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 Gain (Loss)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6"/>
          </w:tcPr>
          <w:p>
            <w:pPr>
              <w:ind w:left="280"/>
              <w:spacing w:after="0" w:line="142" w:lineRule="exact"/>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5"/>
          </w:tcPr>
          <w:p>
            <w:pPr>
              <w:jc w:val="right"/>
              <w:ind w:right="338"/>
              <w:spacing w:after="0" w:line="142" w:lineRule="exact"/>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August 2,</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w w:val="97"/>
              </w:rPr>
              <w:t>August 3,</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August 2,</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58"/>
              <w:spacing w:after="0" w:line="119" w:lineRule="exact"/>
              <w:rPr>
                <w:sz w:val="20"/>
                <w:szCs w:val="20"/>
                <w:color w:val="auto"/>
              </w:rPr>
            </w:pPr>
            <w:r>
              <w:rPr>
                <w:rFonts w:ascii="Arial" w:cs="Arial" w:eastAsia="Arial" w:hAnsi="Arial"/>
                <w:sz w:val="13"/>
                <w:szCs w:val="13"/>
                <w:b w:val="1"/>
                <w:bCs w:val="1"/>
                <w:color w:val="auto"/>
              </w:rPr>
              <w:t>August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Recognized in Net Earnings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8"/>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20"/>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8"/>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Cross currency swaps</w:t>
            </w:r>
          </w:p>
        </w:tc>
        <w:tc>
          <w:tcPr>
            <w:tcW w:w="2500" w:type="dxa"/>
            <w:vAlign w:val="bottom"/>
            <w:gridSpan w:val="2"/>
          </w:tcPr>
          <w:p>
            <w:pPr>
              <w:ind w:left="34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1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25" w:lineRule="exact"/>
        <w:rPr>
          <w:sz w:val="20"/>
          <w:szCs w:val="20"/>
          <w:color w:val="auto"/>
        </w:rPr>
      </w:pPr>
    </w:p>
    <w:p>
      <w:pPr>
        <w:ind w:firstLine="216"/>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ectPr>
          <w:pgSz w:w="11900" w:h="16838" w:orient="portrait"/>
          <w:cols w:equalWidth="0" w:num="1">
            <w:col w:w="11400"/>
          </w:cols>
          <w:pgMar w:left="240" w:top="490" w:right="259" w:bottom="0" w:gutter="0" w:footer="0" w:header="0"/>
        </w:sectPr>
      </w:pPr>
    </w:p>
    <w:bookmarkStart w:id="9" w:name="page10"/>
    <w:bookmarkEnd w:id="9"/>
    <w:p>
      <w:pPr>
        <w:ind w:left="220"/>
        <w:spacing w:after="0"/>
        <w:rPr>
          <w:sz w:val="20"/>
          <w:szCs w:val="20"/>
          <w:color w:val="auto"/>
        </w:rPr>
      </w:pPr>
      <w:r>
        <w:rPr>
          <w:rFonts w:ascii="Arial" w:cs="Arial" w:eastAsia="Arial" w:hAnsi="Arial"/>
          <w:sz w:val="18"/>
          <w:szCs w:val="18"/>
          <w:color w:val="auto"/>
        </w:rPr>
        <w:t>Level 3 — Unobservable inputs reflecting management’s assumptions about the inputs used in pricing the asset or liability.</w:t>
      </w:r>
    </w:p>
    <w:p>
      <w:pPr>
        <w:spacing w:after="0" w:line="225" w:lineRule="exact"/>
        <w:rPr>
          <w:sz w:val="20"/>
          <w:szCs w:val="20"/>
          <w:color w:val="auto"/>
        </w:rPr>
      </w:pPr>
    </w:p>
    <w:p>
      <w:pPr>
        <w:ind w:right="60" w:firstLine="270"/>
        <w:spacing w:after="0" w:line="290" w:lineRule="auto"/>
        <w:rPr>
          <w:sz w:val="20"/>
          <w:szCs w:val="20"/>
          <w:color w:val="auto"/>
        </w:rPr>
      </w:pPr>
      <w:r>
        <w:rPr>
          <w:rFonts w:ascii="Arial" w:cs="Arial" w:eastAsia="Arial" w:hAnsi="Arial"/>
          <w:sz w:val="16"/>
          <w:szCs w:val="16"/>
          <w:color w:val="auto"/>
        </w:rPr>
        <w:t>Cash and cash equivalents are valued at their carrying amounts in the consolidated balance sheets, which are reasonable estimates of their fair value due to their short-term maturities. Forward currency contracts are valued based on observable market transactions of forward currency prices and spot currency rates as of the reporting date. The fair value of cross currency contracts is determined using discounted cash flow analysis on the expected cash flows of each derivative. This analysis reflects the contractual terms of the derivatives, including the period to maturity, and uses observable market-based inputs such as interest rates and foreign currency exchange rates. In addition, credit valuation adjustments, which consider the impact of any credit enhancements to the contracts such as collateral postings, thresholds, mutual puts, and guarantees, are incorporated in the fair values to account for potential nonperformance risk.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Assets and liabilities measured at fair value on a recurring basis, as of August 2, 2013, August 3, 2012, and October 31, 2012 are summarized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4"/>
                <w:szCs w:val="14"/>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46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Level 2</w:t>
            </w:r>
          </w:p>
        </w:tc>
        <w:tc>
          <w:tcPr>
            <w:tcW w:w="15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Level 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August 2, 2013</w:t>
            </w: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161,180</w:t>
            </w:r>
          </w:p>
        </w:tc>
        <w:tc>
          <w:tcPr>
            <w:tcW w:w="52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161,180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3,101</w:t>
            </w: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Cross currency contracts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15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w:t>
            </w: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Cross currency contracts</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428</w:t>
            </w:r>
          </w:p>
        </w:tc>
        <w:tc>
          <w:tcPr>
            <w:tcW w:w="15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2,982</w:t>
            </w: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3,766</w:t>
            </w:r>
          </w:p>
        </w:tc>
        <w:tc>
          <w:tcPr>
            <w:tcW w:w="300" w:type="dxa"/>
            <w:vAlign w:val="bottom"/>
          </w:tcPr>
          <w:p>
            <w:pPr>
              <w:spacing w:after="0"/>
              <w:rPr>
                <w:sz w:val="18"/>
                <w:szCs w:val="18"/>
                <w:color w:val="auto"/>
              </w:rPr>
            </w:pPr>
          </w:p>
        </w:tc>
        <w:tc>
          <w:tcPr>
            <w:tcW w:w="146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August 3, 2012</w:t>
            </w:r>
          </w:p>
        </w:tc>
        <w:tc>
          <w:tcPr>
            <w:tcW w:w="260" w:type="dxa"/>
            <w:vAlign w:val="bottom"/>
          </w:tcPr>
          <w:p>
            <w:pPr>
              <w:spacing w:after="0"/>
              <w:rPr>
                <w:sz w:val="24"/>
                <w:szCs w:val="2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Level 2</w:t>
            </w:r>
          </w:p>
        </w:tc>
        <w:tc>
          <w:tcPr>
            <w:tcW w:w="1580" w:type="dxa"/>
            <w:vAlign w:val="bottom"/>
            <w:gridSpan w:val="2"/>
          </w:tcPr>
          <w:p>
            <w:pPr>
              <w:ind w:left="500"/>
              <w:spacing w:after="0"/>
              <w:rPr>
                <w:sz w:val="20"/>
                <w:szCs w:val="20"/>
                <w:color w:val="auto"/>
              </w:rPr>
            </w:pPr>
            <w:r>
              <w:rPr>
                <w:rFonts w:ascii="Arial" w:cs="Arial" w:eastAsia="Arial" w:hAnsi="Arial"/>
                <w:sz w:val="14"/>
                <w:szCs w:val="14"/>
                <w:b w:val="1"/>
                <w:bCs w:val="1"/>
                <w:color w:val="auto"/>
              </w:rPr>
              <w:t>Level 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143,058</w:t>
            </w:r>
          </w:p>
        </w:tc>
        <w:tc>
          <w:tcPr>
            <w:tcW w:w="52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143,058</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2,616</w:t>
            </w: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145,674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143,058</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2,616</w:t>
            </w:r>
          </w:p>
        </w:tc>
        <w:tc>
          <w:tcPr>
            <w:tcW w:w="300" w:type="dxa"/>
            <w:vAlign w:val="bottom"/>
            <w:tcBorders>
              <w:bottom w:val="single" w:sz="8" w:color="CCEEFF"/>
            </w:tcBorders>
          </w:tcPr>
          <w:p>
            <w:pPr>
              <w:spacing w:after="0"/>
              <w:rPr>
                <w:sz w:val="21"/>
                <w:szCs w:val="21"/>
                <w:color w:val="auto"/>
              </w:rPr>
            </w:pPr>
          </w:p>
        </w:tc>
        <w:tc>
          <w:tcPr>
            <w:tcW w:w="146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7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Forward currency contracts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175</w:t>
            </w:r>
          </w:p>
        </w:tc>
        <w:tc>
          <w:tcPr>
            <w:tcW w:w="15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3,738</w:t>
            </w: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3,913</w:t>
            </w:r>
          </w:p>
        </w:tc>
        <w:tc>
          <w:tcPr>
            <w:tcW w:w="300" w:type="dxa"/>
            <w:vAlign w:val="bottom"/>
          </w:tcPr>
          <w:p>
            <w:pPr>
              <w:spacing w:after="0"/>
              <w:rPr>
                <w:sz w:val="18"/>
                <w:szCs w:val="18"/>
                <w:color w:val="auto"/>
              </w:rPr>
            </w:pPr>
          </w:p>
        </w:tc>
        <w:tc>
          <w:tcPr>
            <w:tcW w:w="146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14</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gridSpan w:val="2"/>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7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rPr>
              <w:t>October 31, 2012</w:t>
            </w:r>
          </w:p>
        </w:tc>
        <w:tc>
          <w:tcPr>
            <w:tcW w:w="250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Level 2</w:t>
            </w:r>
          </w:p>
        </w:tc>
        <w:tc>
          <w:tcPr>
            <w:tcW w:w="1580" w:type="dxa"/>
            <w:vAlign w:val="bottom"/>
            <w:gridSpan w:val="2"/>
          </w:tcPr>
          <w:p>
            <w:pPr>
              <w:ind w:left="500"/>
              <w:spacing w:after="0"/>
              <w:rPr>
                <w:sz w:val="20"/>
                <w:szCs w:val="20"/>
                <w:color w:val="auto"/>
              </w:rPr>
            </w:pPr>
            <w:r>
              <w:rPr>
                <w:rFonts w:ascii="Arial" w:cs="Arial" w:eastAsia="Arial" w:hAnsi="Arial"/>
                <w:sz w:val="14"/>
                <w:szCs w:val="14"/>
                <w:b w:val="1"/>
                <w:bCs w:val="1"/>
                <w:color w:val="auto"/>
              </w:rPr>
              <w:t>Level 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125,856</w:t>
            </w:r>
          </w:p>
        </w:tc>
        <w:tc>
          <w:tcPr>
            <w:tcW w:w="52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125,856</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995</w:t>
            </w: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Cross currency contracts</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1,046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1,046</w:t>
            </w:r>
          </w:p>
        </w:tc>
        <w:tc>
          <w:tcPr>
            <w:tcW w:w="15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125,856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2,114</w:t>
            </w: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Deferred compensation liabilities</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3,547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3,547</w:t>
            </w:r>
          </w:p>
        </w:tc>
        <w:tc>
          <w:tcPr>
            <w:tcW w:w="15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-1913890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-1913890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color w:val="auto"/>
        </w:rPr>
        <w:t>There were no transfers between Level 1 and Level 2 during the three and nine months ended August 2, 2013 and August 3, 2012, or the fiscal year ended October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The company is party to litigation in the ordinary course of business. Litigation occasionally involves claims for punitive as well as compensatory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damages arising out of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w:t>
      </w:r>
    </w:p>
    <w:p>
      <w:pPr>
        <w:spacing w:after="0" w:line="182"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b w:val="1"/>
          <w:bCs w:val="1"/>
          <w:i w:val="1"/>
          <w:iCs w:val="1"/>
          <w:color w:val="auto"/>
        </w:rPr>
        <w:t xml:space="preserve">Canadian Lawnmower Engine Horsepower Marketing and Sales Practices Litigation. </w:t>
      </w:r>
      <w:r>
        <w:rPr>
          <w:rFonts w:ascii="Arial" w:cs="Arial" w:eastAsia="Arial" w:hAnsi="Arial"/>
          <w:sz w:val="16"/>
          <w:szCs w:val="16"/>
          <w:color w:val="auto"/>
        </w:rPr>
        <w:t>In March 2010, individuals who claim to have purchased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lawnmowers in Canada filed class action litigation against the company and other defendants that, similar to the class action litigation previously filed by plaintiffs in the United States and settled by the company pursuant to a settlement agreement that became final in February 2011, (i) contains allegations under applicable Canadian law that the horsepower labels on the products the plaintiffs purchased were inaccurate, (ii) seeks certification of a class of all persons in Canada who, beginning January 1, 1994 purchased a lawnmower containing a gas combustible engine up to 30 horsepower that was manufactured</w:t>
      </w:r>
    </w:p>
    <w:p>
      <w:pPr>
        <w:sectPr>
          <w:pgSz w:w="11900" w:h="16838" w:orient="portrait"/>
          <w:cols w:equalWidth="0" w:num="1">
            <w:col w:w="11460"/>
          </w:cols>
          <w:pgMar w:left="240" w:top="341" w:right="199" w:bottom="0" w:gutter="0" w:footer="0" w:header="0"/>
        </w:sectPr>
      </w:pPr>
    </w:p>
    <w:bookmarkStart w:id="10" w:name="page11"/>
    <w:bookmarkEnd w:id="10"/>
    <w:p>
      <w:pPr>
        <w:ind w:right="60"/>
        <w:spacing w:after="0" w:line="277" w:lineRule="auto"/>
        <w:rPr>
          <w:sz w:val="20"/>
          <w:szCs w:val="20"/>
          <w:color w:val="auto"/>
        </w:rPr>
      </w:pPr>
      <w:r>
        <w:rPr>
          <w:rFonts w:ascii="Arial" w:cs="Arial" w:eastAsia="Arial" w:hAnsi="Arial"/>
          <w:sz w:val="18"/>
          <w:szCs w:val="18"/>
          <w:color w:val="auto"/>
        </w:rPr>
        <w:t>or sold by the company and other defendants, and (iii) seeks under applicable Canadian law unspecified compensatory and punitive damages, attorneys’ costs and fees, and equitable relief.</w:t>
      </w:r>
    </w:p>
    <w:p>
      <w:pPr>
        <w:spacing w:after="0" w:line="170" w:lineRule="exact"/>
        <w:rPr>
          <w:sz w:val="20"/>
          <w:szCs w:val="20"/>
          <w:color w:val="auto"/>
        </w:rPr>
      </w:pPr>
    </w:p>
    <w:p>
      <w:pPr>
        <w:ind w:right="80" w:firstLine="270"/>
        <w:spacing w:after="0" w:line="312" w:lineRule="auto"/>
        <w:rPr>
          <w:sz w:val="20"/>
          <w:szCs w:val="20"/>
          <w:color w:val="auto"/>
        </w:rPr>
      </w:pPr>
      <w:r>
        <w:rPr>
          <w:rFonts w:ascii="Arial" w:cs="Arial" w:eastAsia="Arial" w:hAnsi="Arial"/>
          <w:sz w:val="16"/>
          <w:szCs w:val="16"/>
          <w:color w:val="auto"/>
        </w:rPr>
        <w:t>Management continues to evaluate this Canadian litigation and, in the event the company is unable to favorably resolve this litigation, while management does not currently believe that this litigation would have a material adverse effect on the company’s annual consolidated operating results or financial condition, an unfavorable resolution or outcome could be material to the company’s consolidated operating results for a particular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evaluated all subsequent events and concluded that no additional subsequent events have occurred that would require recognition in the consolidated financial statements or disclosure in the notes to the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landscape equipment and lighting, turf irrigation systems, agricultural micro-irrigation systems, rental and construction equipment, and residential yard and snow removal products.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distributorships, has been combined with our corporate activities and is shown as “Other.” We strive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w:t>
      </w:r>
    </w:p>
    <w:p>
      <w:pPr>
        <w:spacing w:after="0" w:line="167"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MD&amp;A included in Part II, Item 7 of our Annual Report on Form 10-K for the fiscal year ended October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 the third quarter and year-to-date periods of fiscal 2013, our net sales increased 1.2 percent and 2.4 percent, respectively, compared to the same periods in the prior fiscal year. Sales for our professional segment decreased 4.8 percent in the third quarter of fiscal 2013 compared to the third quarter of fiscal 2012 due primarily to strong sales in the first quarter of fiscal 2013 for products subject to Tier 4 diesel engine emission requirements that historically shipped to our customers in the second and third fiscal quarters. For the year-to-date period of fiscal 2013 compared to the year-to-date period of fiscal 2012, professional segment sales were up 6.2 percent, driven mainly by strong demand for our landscape contractor equipment, successful introduction of new products, higher global sales of our micro-irrigation products from continued market growth and demand for drip irrigation solutions in agricultural markets, and price increases on some products. Additionally, increased sales and demand in the rental market, as well as incremental net sales from acquisitions, contributed to our professional segment net sales growth in the year-to-date period of fiscal 2013. Residential segment sales increased 14.4 percent in the third quarter of fiscal 2013 compared to the third quarter of fiscal 2012 as improved weather conditions this fiscal year drove higher demand for walk power mowers, riding products, and Pope irrigation products in Australia, as well as our recently introduced lithium-ion battery-powered trimmer products. However, for the year-to-date period of fiscal 2013 compared to the same period in fiscal 2012, residential segment sales were down 5.5 percent primarily as a result of lower shipments of snow thrower products due to poor preseason demand and lack of snowfall during the past two winter seasons in key markets. In addition, shipments of walk power mowers were down for the year-to-date comparison due to adverse spring weather conditions that negatively impacted demand and our sales during the key selling period. Overall, retail demand was strong for both professional and residential segments for the third quarter of fiscal 2013 compared to the third quarter in the prior fiscal year, which also contributed to a slight decline in field inventory levels as of the end of the third quarter of fiscal 2013 compared to the end of the third quarter of fiscal 2012.</w:t>
      </w:r>
    </w:p>
    <w:p>
      <w:pPr>
        <w:spacing w:after="0" w:line="178" w:lineRule="exact"/>
        <w:rPr>
          <w:sz w:val="20"/>
          <w:szCs w:val="20"/>
          <w:color w:val="auto"/>
        </w:rPr>
      </w:pPr>
    </w:p>
    <w:p>
      <w:pPr>
        <w:ind w:right="120" w:firstLine="270"/>
        <w:spacing w:after="0" w:line="276" w:lineRule="auto"/>
        <w:rPr>
          <w:sz w:val="20"/>
          <w:szCs w:val="20"/>
          <w:color w:val="auto"/>
        </w:rPr>
      </w:pPr>
      <w:r>
        <w:rPr>
          <w:rFonts w:ascii="Arial" w:cs="Arial" w:eastAsia="Arial" w:hAnsi="Arial"/>
          <w:sz w:val="17"/>
          <w:szCs w:val="17"/>
          <w:color w:val="auto"/>
        </w:rPr>
        <w:t>Our net earnings decreased slightly in the third quarter of fiscal 2013 compared to the third quarter of fiscal 2012; however, for the year-to-date period of fiscal 2013 compared to the same period last fiscal year, net earnings increased 15.9 percent primarily from an improvement of our gross margin rate of 130 basis points and a decrease in our tax rate due to the retroactive reenactment of the domestic research and development tax credit. However, our selling, general, and administrative (SG&amp;A) expense as a percentage of net sales was up by 20 basis points and 40 basis points in the third quarter and year-to-date periods of fiscal 2013, respectively, compared to the same periods last fiscal year.</w:t>
      </w:r>
    </w:p>
    <w:p>
      <w:pPr>
        <w:spacing w:after="0" w:line="173"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Our overall financial condition remained strong while we placed emphasis on improving working capital management. Our inventory levels were up 10.3 percent as of the end of the third quarter of fiscal 2013 compared to the end of the third quarter of fiscal 2012 as we continued to work through inventory previously built in anticipation of strong demand for products impacted by Tier 4 diesel engine emission requirements, plus higher inventory levels of micro-irrigation products and an increase in inventory to support our rental and construction businesses. Our receivables increased 2.6 percent, as of the end of the third quarter of fiscal 2013 compared to the end of the third quarter of fiscal 2012 due to higher sales volumes. Consistent with dividends declared to date in fiscal 2013, we increased our third quarter cash dividend by 27.3 percent from $0.11 to $0.14 per share compared to the quarterly cash dividend paid in the third quarter of fiscal 2012.</w:t>
      </w:r>
    </w:p>
    <w:p>
      <w:pPr>
        <w:spacing w:after="0" w:line="189"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Our multi-year initiative, “Destination 2014” will take us to our centennial in 2014 and into our second century. This is our third year of this four-year initiative, which is intended to focus our efforts on driving our legacy of excellence through building caring relationships and engaging in innovation. Through our Destination 2014 initiative financial goals, we strive to achieve $100 million in organic revenue growth each fiscal year and 12 percent operating earnings as a percentage of net sales by the end of</w:t>
      </w:r>
    </w:p>
    <w:p>
      <w:pPr>
        <w:sectPr>
          <w:pgSz w:w="11900" w:h="16838" w:orient="portrait"/>
          <w:cols w:equalWidth="0" w:num="1">
            <w:col w:w="11420"/>
          </w:cols>
          <w:pgMar w:left="240" w:top="125" w:right="239" w:bottom="123"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fiscal 2014. We define organic revenue growth as the increase in net sales, less net sales from acquisitions that occurred in the most recent four quarters.</w:t>
      </w:r>
    </w:p>
    <w:p>
      <w:pPr>
        <w:spacing w:after="0" w:line="248" w:lineRule="exact"/>
        <w:rPr>
          <w:sz w:val="20"/>
          <w:szCs w:val="20"/>
          <w:color w:val="auto"/>
        </w:rPr>
      </w:pPr>
    </w:p>
    <w:p>
      <w:pPr>
        <w:ind w:right="560" w:firstLine="270"/>
        <w:spacing w:after="0" w:line="277" w:lineRule="auto"/>
        <w:rPr>
          <w:sz w:val="20"/>
          <w:szCs w:val="20"/>
          <w:color w:val="auto"/>
        </w:rPr>
      </w:pPr>
      <w:r>
        <w:rPr>
          <w:rFonts w:ascii="Arial" w:cs="Arial" w:eastAsia="Arial" w:hAnsi="Arial"/>
          <w:sz w:val="18"/>
          <w:szCs w:val="18"/>
          <w:color w:val="auto"/>
        </w:rPr>
        <w:t>In January 2013, we entered into an agreement to acquire a Chinese micro-irrigation company, subject to applicable regulatory approvals and other customary closing conditions. We expect to close the transaction by the end of fiscal 2013.</w:t>
      </w:r>
    </w:p>
    <w:p>
      <w:pPr>
        <w:spacing w:after="0" w:line="170" w:lineRule="exact"/>
        <w:rPr>
          <w:sz w:val="20"/>
          <w:szCs w:val="20"/>
          <w:color w:val="auto"/>
        </w:rPr>
      </w:pPr>
    </w:p>
    <w:p>
      <w:pPr>
        <w:ind w:right="140" w:firstLine="270"/>
        <w:spacing w:after="0" w:line="257" w:lineRule="auto"/>
        <w:rPr>
          <w:sz w:val="20"/>
          <w:szCs w:val="20"/>
          <w:color w:val="auto"/>
        </w:rPr>
      </w:pPr>
      <w:r>
        <w:rPr>
          <w:rFonts w:ascii="Arial" w:cs="Arial" w:eastAsia="Arial" w:hAnsi="Arial"/>
          <w:sz w:val="18"/>
          <w:szCs w:val="18"/>
          <w:color w:val="auto"/>
        </w:rPr>
        <w:t>Our financial results for the first nine months of fiscal 2013 were solid, and we are cautiously optimistic about the remainder of the fiscal year. Our ongoing focus is on generating customer demand and aggressively driving retail sales for our innovative products, while keeping production closely aligned with expected shipment volumes. We will continue to keep a cautionary eye on the global economic environment, retail demand, field inventory levels, commodity prices, weather conditions, competitive actions, expenses, and other factors identified below under the heading “Forward-Looking Information,” which could cause our actual results to differ from our anticipated outlook.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Net earnings for the third quarter of fiscal 2013 were $40.1 million, or $0.68 per diluted share, compared to $40.5 million, or $0.67 per diluted share, for the third quarter of fiscal 2012, resulting in a net earnings per diluted share increase of 1.5 percent. Year-to-date net earnings in fiscal 2013 were $149.9 million, or $2.53 per diluted share, compared to $129.3 million, or $2.13 per diluted share, in the same comparable period last fiscal year, resulting in a net earnings per diluted share increase of 18.8 percent. The primary factors contributing to our earnings improvement for the year-to-date comparison included an increase in our gross margin rate, higher sales volumes, and a decrease in our effective tax rate, somewhat offset by an increase in SG&amp;A expense. In addition, third quarter and year-to-date fiscal 2013 net earnings per diluted share were benefited by approximately $0.02 per share and $0.07 per share, respectively, compared to the same periods in fiscal 2012, as a result of reduced shares outstanding from repurchases of our common stock.</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3160" w:type="dxa"/>
            <w:vAlign w:val="bottom"/>
            <w:gridSpan w:val="4"/>
          </w:tcPr>
          <w:p>
            <w:pPr>
              <w:jc w:val="right"/>
              <w:ind w:right="1010"/>
              <w:spacing w:after="0"/>
              <w:rPr>
                <w:sz w:val="20"/>
                <w:szCs w:val="20"/>
                <w:color w:val="auto"/>
              </w:rPr>
            </w:pPr>
            <w:r>
              <w:rPr>
                <w:rFonts w:ascii="Arial" w:cs="Arial" w:eastAsia="Arial" w:hAnsi="Arial"/>
                <w:sz w:val="14"/>
                <w:szCs w:val="14"/>
                <w:b w:val="1"/>
                <w:bCs w:val="1"/>
                <w:color w:val="auto"/>
              </w:rPr>
              <w:t>Three Months Ended</w:t>
            </w:r>
          </w:p>
        </w:tc>
        <w:tc>
          <w:tcPr>
            <w:tcW w:w="2980" w:type="dxa"/>
            <w:vAlign w:val="bottom"/>
            <w:gridSpan w:val="4"/>
          </w:tcPr>
          <w:p>
            <w:pPr>
              <w:jc w:val="right"/>
              <w:ind w:right="87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280" w:type="dxa"/>
            <w:vAlign w:val="bottom"/>
          </w:tcPr>
          <w:p>
            <w:pPr>
              <w:spacing w:after="0"/>
              <w:rPr>
                <w:sz w:val="10"/>
                <w:szCs w:val="10"/>
                <w:color w:val="auto"/>
              </w:rPr>
            </w:pPr>
          </w:p>
        </w:tc>
        <w:tc>
          <w:tcPr>
            <w:tcW w:w="1580" w:type="dxa"/>
            <w:vAlign w:val="bottom"/>
            <w:tcBorders>
              <w:top w:val="single" w:sz="8" w:color="auto"/>
            </w:tcBorders>
            <w:gridSpan w:val="2"/>
          </w:tcPr>
          <w:p>
            <w:pPr>
              <w:jc w:val="right"/>
              <w:ind w:right="590"/>
              <w:spacing w:after="0" w:line="119" w:lineRule="exact"/>
              <w:rPr>
                <w:sz w:val="20"/>
                <w:szCs w:val="20"/>
                <w:color w:val="auto"/>
              </w:rPr>
            </w:pPr>
            <w:r>
              <w:rPr>
                <w:rFonts w:ascii="Arial" w:cs="Arial" w:eastAsia="Arial" w:hAnsi="Arial"/>
                <w:sz w:val="13"/>
                <w:szCs w:val="13"/>
                <w:b w:val="1"/>
                <w:bCs w:val="1"/>
                <w:color w:val="auto"/>
              </w:rPr>
              <w:t>August 2,</w:t>
            </w:r>
          </w:p>
        </w:tc>
        <w:tc>
          <w:tcPr>
            <w:tcW w:w="1240" w:type="dxa"/>
            <w:vAlign w:val="bottom"/>
            <w:tcBorders>
              <w:top w:val="single" w:sz="8" w:color="auto"/>
            </w:tcBorders>
          </w:tcPr>
          <w:p>
            <w:pPr>
              <w:jc w:val="right"/>
              <w:ind w:right="254"/>
              <w:spacing w:after="0" w:line="119" w:lineRule="exact"/>
              <w:rPr>
                <w:sz w:val="20"/>
                <w:szCs w:val="20"/>
                <w:color w:val="auto"/>
              </w:rPr>
            </w:pPr>
            <w:r>
              <w:rPr>
                <w:rFonts w:ascii="Arial" w:cs="Arial" w:eastAsia="Arial" w:hAnsi="Arial"/>
                <w:sz w:val="13"/>
                <w:szCs w:val="13"/>
                <w:b w:val="1"/>
                <w:bCs w:val="1"/>
                <w:color w:val="auto"/>
              </w:rPr>
              <w:t>August 3,</w:t>
            </w:r>
          </w:p>
        </w:tc>
        <w:tc>
          <w:tcPr>
            <w:tcW w:w="340" w:type="dxa"/>
            <w:vAlign w:val="bottom"/>
          </w:tcPr>
          <w:p>
            <w:pPr>
              <w:spacing w:after="0"/>
              <w:rPr>
                <w:sz w:val="10"/>
                <w:szCs w:val="10"/>
                <w:color w:val="auto"/>
              </w:rPr>
            </w:pPr>
          </w:p>
        </w:tc>
        <w:tc>
          <w:tcPr>
            <w:tcW w:w="1580" w:type="dxa"/>
            <w:vAlign w:val="bottom"/>
            <w:tcBorders>
              <w:top w:val="single" w:sz="8" w:color="auto"/>
            </w:tcBorders>
            <w:gridSpan w:val="2"/>
          </w:tcPr>
          <w:p>
            <w:pPr>
              <w:jc w:val="right"/>
              <w:ind w:right="590"/>
              <w:spacing w:after="0" w:line="119" w:lineRule="exact"/>
              <w:rPr>
                <w:sz w:val="20"/>
                <w:szCs w:val="20"/>
                <w:color w:val="auto"/>
              </w:rPr>
            </w:pPr>
            <w:r>
              <w:rPr>
                <w:rFonts w:ascii="Arial" w:cs="Arial" w:eastAsia="Arial" w:hAnsi="Arial"/>
                <w:sz w:val="13"/>
                <w:szCs w:val="13"/>
                <w:b w:val="1"/>
                <w:bCs w:val="1"/>
                <w:color w:val="auto"/>
              </w:rPr>
              <w:t>August 2,</w:t>
            </w:r>
          </w:p>
        </w:tc>
        <w:tc>
          <w:tcPr>
            <w:tcW w:w="1240" w:type="dxa"/>
            <w:vAlign w:val="bottom"/>
            <w:tcBorders>
              <w:top w:val="single" w:sz="8" w:color="auto"/>
            </w:tcBorders>
          </w:tcPr>
          <w:p>
            <w:pPr>
              <w:jc w:val="right"/>
              <w:ind w:right="254"/>
              <w:spacing w:after="0" w:line="119" w:lineRule="exact"/>
              <w:rPr>
                <w:sz w:val="20"/>
                <w:szCs w:val="20"/>
                <w:color w:val="auto"/>
              </w:rPr>
            </w:pPr>
            <w:r>
              <w:rPr>
                <w:rFonts w:ascii="Arial" w:cs="Arial" w:eastAsia="Arial" w:hAnsi="Arial"/>
                <w:sz w:val="13"/>
                <w:szCs w:val="13"/>
                <w:b w:val="1"/>
                <w:bCs w:val="1"/>
                <w:color w:val="auto"/>
              </w:rPr>
              <w:t>August 3,</w:t>
            </w:r>
          </w:p>
        </w:tc>
        <w:tc>
          <w:tcPr>
            <w:tcW w:w="160" w:type="dxa"/>
            <w:vAlign w:val="bottom"/>
          </w:tcPr>
          <w:p>
            <w:pPr>
              <w:spacing w:after="0"/>
              <w:rPr>
                <w:sz w:val="10"/>
                <w:szCs w:val="10"/>
                <w:color w:val="auto"/>
              </w:rPr>
            </w:pPr>
          </w:p>
        </w:tc>
      </w:tr>
      <w:tr>
        <w:trPr>
          <w:trHeight w:val="171"/>
        </w:trPr>
        <w:tc>
          <w:tcPr>
            <w:tcW w:w="52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100.0%</w:t>
            </w:r>
          </w:p>
        </w:tc>
        <w:tc>
          <w:tcPr>
            <w:tcW w:w="1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100.0%</w:t>
            </w:r>
          </w:p>
        </w:tc>
        <w:tc>
          <w:tcPr>
            <w:tcW w:w="1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Cost of sales</w:t>
            </w: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(65.1)</w:t>
            </w: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(64.7)</w:t>
            </w: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(64.1)</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(65.4)</w:t>
            </w:r>
          </w:p>
        </w:tc>
      </w:tr>
      <w:tr>
        <w:trPr>
          <w:trHeight w:val="210"/>
        </w:trPr>
        <w:tc>
          <w:tcPr>
            <w:tcW w:w="5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SG&amp;A expense</w:t>
            </w: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(23.4)</w:t>
            </w: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(23.2)</w:t>
            </w: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(22.5)</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(22.1)</w:t>
            </w:r>
          </w:p>
        </w:tc>
      </w:tr>
      <w:tr>
        <w:trPr>
          <w:trHeight w:val="210"/>
        </w:trPr>
        <w:tc>
          <w:tcPr>
            <w:tcW w:w="5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Interest expense</w:t>
            </w: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(0.8)</w:t>
            </w: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(0.8)</w:t>
            </w: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(0.7)</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(0.8)</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0.6</w:t>
            </w:r>
          </w:p>
        </w:tc>
        <w:tc>
          <w:tcPr>
            <w:tcW w:w="1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0.5</w:t>
            </w:r>
          </w:p>
        </w:tc>
        <w:tc>
          <w:tcPr>
            <w:tcW w:w="1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(3.4)</w:t>
            </w: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(3.8)</w:t>
            </w: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(4.1)</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(4.0)</w:t>
            </w:r>
          </w:p>
        </w:tc>
      </w:tr>
      <w:tr>
        <w:trPr>
          <w:trHeight w:val="223"/>
        </w:trPr>
        <w:tc>
          <w:tcPr>
            <w:tcW w:w="5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4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4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4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Worldwide consolidated net sales for the third quarter of fiscal 2013 were $509.9 million, up 1.2 percent compared to the third quarter of fiscal 2012. For the year-to-date period of fiscal 2013, net sales were $1,659.1 million, up 2.4 percent from the same period in the prior fiscal year. Worldwide professional segment net sales decreased 4.8 percent in the third quarter of fiscal 2013 compared to the third quarter of fiscal 2012 due primarily to strong sales in the first quarter of fiscal 2013 for products subject to Tier 4 diesel engine emission requirements that historically shipped to our customers in the second and third fiscal quarters. Specifically, additional Tier 4 emission requirements began to phase in for our products manufactured after January 1, 2013, having diesel engines greater than 25 but less than 75 horsepower. As a result, we implemented price increases on our products having technologies required to conform to Tier 4 diesel engine emission requirements in order to cover the additional cost associated with such technologies. Consequently, our professional segment net sales in the first quarter of fiscal 2013 were significantly higher than we experienced in the past because of strong demand during the first quarter of fiscal 2013 for products subject to Tier 4 diesel engine emission requirements. For the year-to-date period of fiscal 2013 compared to the year-to-date period of fiscal 2012, professional segment sales were up 6.2 percent, also driven by strong demand for our landscape contractor equipment, successful introduction of new products, higher global sales of our micro-irrigation products from continued market growth and demand for drip irrigation solutions in agricultural markets, and price increases on some products. Additionally, increased sales and demand in the rental market, as well as incremental net sales from acquisitions of approximately $6.4 million for the year-to-date period of fiscal 2013, contributed to our professional segment net sales growth in fiscal 2013. Worldwide residential segment net sales increased 14.4 percent in the third quarter of fiscal 2013 compared to the third quarter of fiscal 2012 as improved weather conditions this fiscal year compared to the severe drought weather conditions in third quarter of fiscal 2012 drove higher demand for our walk power mowers and riding products. Our recently introduced line of</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lithium-ion battery-powered string and hedge trimmers also contributed to our residential segment net sales for both the quarter and year-to-date periods of fiscal 2013. Additionally, Pope products in Australia were up due to increased demand for irrigation products as a result of dry weather conditions. However, for the year-to-date period of fiscal 2013 compared to the same period in fiscal 2012, residential segment net sales were down 5.5 percent primarily as a result of lower shipments of snow thrower products due to poor preseason demand and lack of snowfall during the past two winter seasons in key markets. In addition, shipments of walk power mowers were down for the year-to-date comparison due primarily to adverse spring weather conditions that negatively impacted demand and our sales during the key selling period. International net sales were up 3.9 percent and 2.5 percent for the third quarter and year-to-date periods of fiscal 2013, respectively, compared to the same periods in the prior fiscal year due primarily to increased sales in EMEA and Asia from higher micro-irrigation and golf equipment product sales. However, changes in foreign currency exchange rates resulted in a reduction of our net sales of approximately $1.6 million and $6.3 million for the third quarter and year-to-date periods of fiscal 2013, respectively. Field inventory levels were slightly down as of the end of the third quarter of fiscal 2013 compared to the end of the third quarter of fiscal 2012 due to strong retail demand in the third quarter of fiscal 2013, as well as efforts to improve asset management.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ectPr>
          <w:pgSz w:w="11900" w:h="16838" w:orient="portrait"/>
          <w:cols w:equalWidth="0" w:num="1">
            <w:col w:w="11420"/>
          </w:cols>
          <w:pgMar w:left="240" w:top="125" w:right="239" w:bottom="0" w:gutter="0" w:footer="0" w:header="0"/>
        </w:sectPr>
      </w:pPr>
    </w:p>
    <w:bookmarkStart w:id="12" w:name="page13"/>
    <w:bookmarkEnd w:id="12"/>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a percentage of net sales, gross profit for the third quarter of fiscal 2013 decreased 40 basis points to 34.9 percent compared to 35.3 percent in the third quarter of fiscal 2012 due mainly to higher sales of products that carry lower gross margins, somewhat offset by price increases on some professional segment products, cost reduction efforts, and slightly lower commodity prices. Gross profit as a percent of net sales for the year-to-date period of fiscal 2013 increased 130 basis points to 35.9 percent compared to 34.6 percent for the year-to-date period of fiscal 2012. This improvement was primarily due to price increases on some products, cost reduction efforts, slightly lower commodity prices, and a higher proportion of sales for our professional segment that carry higher gross margins compared to our residential segment, somewhat offset by changes in foreign currency exchange rates that hampered our gross margin growth 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SG&amp;A expense increased $2.3 million, or 2.0 percent, for the third quarter of fiscal 2013 compared to the third quarter of fiscal 2012 and increased $15.2 million, or 4.2 percent, for the year-to-date period of fiscal 2013 compared to the year-to-date period of fiscal 2012. As a percentage of net sales, SG&amp;A expense increased 20 basis points and 40 basis points for the third quarter and year-to-date periods of fiscal 2013, respectively, compared to the same periods in the prior fiscal year. These increases were primarily attributable to an increase in sales and marketing expense, higher warehousing costs related to our new distribution facility in Ankeny, Iowa, plus higher inventory levels, and an increase in engineering from investments in new product development. Additionally, incremental SG&amp;A costs from acquisitions of approximately $4 million for the year-to-date period of fiscal 2013 also contributed to the increase in SG&amp;A expense. These increases were somewhat offset by a decline in warranty expense and lower bad debt expense for both the third quarter and year-to-date periods of fiscal 2013 compared to the same periods in the prior fiscal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Interest expense for the third quarter and year-to-date periods of fiscal 2013 decreased 6.9 percent and 3.8 percent, respectively, compared to the same periods last fiscal year due mainly to lower average debt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Other income, net for the third quarter and year-to-date periods of fiscal 2013 increased $0.3 million and $2.2 million, respectively, compared to the same periods last fiscal year primarily due to higher income from our equity investment in Red Iron and a decrease in foreign currency exchange rate losses.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effective tax rate for the third quarter of fiscal 2013 was 30.5 percent compared to 31.8 percent for the third quarter of fiscal 2012. The effective tax rate for the year-to-date periods of fiscal 2013 and 2012 was 31.0 percent and 33.3 percent, respectively. The reductions in the effective tax rate were primarily the result of the retroactive reenactment of the domestic research and development tax credit.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As described previously, we operate in three reportable business segments: Professional, Residential, and Distribution. Our Distribution segment, which consists of our company-owned domestic distributorships, has been combined with our corporate activities and elimination of intersegment revenues and expenses that is shown as “Other” in the following tables. Operating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earnings for our Professional and Residential segments are defined as operating earnings plus other income, net. Operating loss for “Other” includes operating earnings (loss), corporate activities, other income, net, and interest expense.</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0"/>
                <w:szCs w:val="10"/>
                <w:color w:val="auto"/>
              </w:rPr>
            </w:pPr>
          </w:p>
        </w:tc>
        <w:tc>
          <w:tcPr>
            <w:tcW w:w="12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7"/>
              </w:rPr>
              <w:t>August 2,</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w w:val="97"/>
              </w:rPr>
              <w:t>August 3,</w:t>
            </w:r>
          </w:p>
        </w:tc>
        <w:tc>
          <w:tcPr>
            <w:tcW w:w="200" w:type="dxa"/>
            <w:vAlign w:val="bottom"/>
          </w:tcPr>
          <w:p>
            <w:pPr>
              <w:spacing w:after="0"/>
              <w:rPr>
                <w:sz w:val="10"/>
                <w:szCs w:val="10"/>
                <w:color w:val="auto"/>
              </w:rPr>
            </w:pPr>
          </w:p>
        </w:tc>
        <w:tc>
          <w:tcPr>
            <w:tcW w:w="13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15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1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2012</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343,866</w:t>
            </w:r>
          </w:p>
        </w:tc>
        <w:tc>
          <w:tcPr>
            <w:tcW w:w="1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361,120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(17,254)</w:t>
            </w:r>
          </w:p>
        </w:tc>
        <w:tc>
          <w:tcPr>
            <w:tcW w:w="32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155,452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135,894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19,558</w:t>
            </w:r>
          </w:p>
        </w:tc>
        <w:tc>
          <w:tcPr>
            <w:tcW w:w="3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509,918</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504,076</w:t>
            </w:r>
          </w:p>
        </w:tc>
        <w:tc>
          <w:tcPr>
            <w:tcW w:w="3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5,842</w:t>
            </w:r>
          </w:p>
        </w:tc>
        <w:tc>
          <w:tcPr>
            <w:tcW w:w="32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 Includes international sales of:</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133,623</w:t>
            </w:r>
          </w:p>
        </w:tc>
        <w:tc>
          <w:tcPr>
            <w:tcW w:w="3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w:t>
            </w:r>
          </w:p>
        </w:tc>
        <w:tc>
          <w:tcPr>
            <w:tcW w:w="3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right"/>
              <w:ind w:right="1160"/>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0"/>
                <w:szCs w:val="10"/>
                <w:color w:val="auto"/>
              </w:rPr>
            </w:pPr>
          </w:p>
        </w:tc>
        <w:tc>
          <w:tcPr>
            <w:tcW w:w="12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7"/>
              </w:rPr>
              <w:t>August 2,</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w w:val="97"/>
              </w:rPr>
              <w:t>August 3,</w:t>
            </w:r>
          </w:p>
        </w:tc>
        <w:tc>
          <w:tcPr>
            <w:tcW w:w="200" w:type="dxa"/>
            <w:vAlign w:val="bottom"/>
          </w:tcPr>
          <w:p>
            <w:pPr>
              <w:spacing w:after="0"/>
              <w:rPr>
                <w:sz w:val="10"/>
                <w:szCs w:val="10"/>
                <w:color w:val="auto"/>
              </w:rPr>
            </w:pPr>
          </w:p>
        </w:tc>
        <w:tc>
          <w:tcPr>
            <w:tcW w:w="13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15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1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2012</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1,169,446</w:t>
            </w:r>
          </w:p>
        </w:tc>
        <w:tc>
          <w:tcPr>
            <w:tcW w:w="1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1,100,899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68,547</w:t>
            </w: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477,789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505,399</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(27,610)</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11,830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13,098</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(1,268)</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1,659,065</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1,619,396</w:t>
            </w:r>
          </w:p>
        </w:tc>
        <w:tc>
          <w:tcPr>
            <w:tcW w:w="3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39,669</w:t>
            </w:r>
          </w:p>
        </w:tc>
        <w:tc>
          <w:tcPr>
            <w:tcW w:w="32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 Includes international sales of:</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492,526</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480,471</w:t>
            </w:r>
          </w:p>
        </w:tc>
        <w:tc>
          <w:tcPr>
            <w:tcW w:w="3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12,055</w:t>
            </w:r>
          </w:p>
        </w:tc>
        <w:tc>
          <w:tcPr>
            <w:tcW w:w="3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segment earnings (loss) before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August 2,</w:t>
            </w:r>
          </w:p>
        </w:tc>
        <w:tc>
          <w:tcPr>
            <w:tcW w:w="220" w:type="dxa"/>
            <w:vAlign w:val="bottom"/>
          </w:tcPr>
          <w:p>
            <w:pPr>
              <w:spacing w:after="0"/>
              <w:rPr>
                <w:sz w:val="10"/>
                <w:szCs w:val="10"/>
                <w:color w:val="auto"/>
              </w:rPr>
            </w:pPr>
          </w:p>
        </w:tc>
        <w:tc>
          <w:tcPr>
            <w:tcW w:w="140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w w:val="97"/>
              </w:rPr>
              <w:t>August 3,</w:t>
            </w:r>
          </w:p>
        </w:tc>
        <w:tc>
          <w:tcPr>
            <w:tcW w:w="200" w:type="dxa"/>
            <w:vAlign w:val="bottom"/>
          </w:tcPr>
          <w:p>
            <w:pPr>
              <w:spacing w:after="0"/>
              <w:rPr>
                <w:sz w:val="10"/>
                <w:szCs w:val="10"/>
                <w:color w:val="auto"/>
              </w:rPr>
            </w:pPr>
          </w:p>
        </w:tc>
        <w:tc>
          <w:tcPr>
            <w:tcW w:w="10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 Change</w:t>
            </w:r>
          </w:p>
        </w:tc>
        <w:tc>
          <w:tcPr>
            <w:tcW w:w="340" w:type="dxa"/>
            <w:vAlign w:val="bottom"/>
            <w:vMerge w:val="restart"/>
          </w:tcPr>
          <w:p>
            <w:pPr>
              <w:spacing w:after="0"/>
              <w:rPr>
                <w:sz w:val="10"/>
                <w:szCs w:val="10"/>
                <w:color w:val="auto"/>
              </w:rPr>
            </w:pPr>
          </w:p>
        </w:tc>
        <w:tc>
          <w:tcPr>
            <w:tcW w:w="12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7"/>
              </w:rPr>
              <w:t>70,537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w:t>
            </w: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15,070</w:t>
            </w:r>
          </w:p>
        </w:tc>
        <w:tc>
          <w:tcPr>
            <w:tcW w:w="220" w:type="dxa"/>
            <w:vAlign w:val="bottom"/>
          </w:tcPr>
          <w:p>
            <w:pPr>
              <w:spacing w:after="0"/>
              <w:rPr>
                <w:sz w:val="18"/>
                <w:szCs w:val="18"/>
                <w:color w:val="auto"/>
              </w:rPr>
            </w:pP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10,048</w:t>
            </w:r>
          </w:p>
        </w:tc>
        <w:tc>
          <w:tcPr>
            <w:tcW w:w="2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5,022</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92"/>
        </w:trPr>
        <w:tc>
          <w:tcPr>
            <w:tcW w:w="4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(17,925)</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(21,117)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57,653</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59,468</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340" w:type="dxa"/>
            <w:vAlign w:val="bottom"/>
            <w:gridSpan w:val="2"/>
          </w:tcPr>
          <w:p>
            <w:pPr>
              <w:jc w:val="right"/>
              <w:ind w:right="280"/>
              <w:spacing w:after="0"/>
              <w:rPr>
                <w:sz w:val="20"/>
                <w:szCs w:val="20"/>
                <w:color w:val="auto"/>
              </w:rPr>
            </w:pPr>
            <w:r>
              <w:rPr>
                <w:rFonts w:ascii="Arial" w:cs="Arial" w:eastAsia="Arial" w:hAnsi="Arial"/>
                <w:sz w:val="16"/>
                <w:szCs w:val="16"/>
                <w:color w:val="auto"/>
                <w:w w:val="74"/>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1160"/>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August 2,</w:t>
            </w:r>
          </w:p>
        </w:tc>
        <w:tc>
          <w:tcPr>
            <w:tcW w:w="220" w:type="dxa"/>
            <w:vAlign w:val="bottom"/>
          </w:tcPr>
          <w:p>
            <w:pPr>
              <w:spacing w:after="0"/>
              <w:rPr>
                <w:sz w:val="10"/>
                <w:szCs w:val="10"/>
                <w:color w:val="auto"/>
              </w:rPr>
            </w:pPr>
          </w:p>
        </w:tc>
        <w:tc>
          <w:tcPr>
            <w:tcW w:w="140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August 3,</w:t>
            </w:r>
          </w:p>
        </w:tc>
        <w:tc>
          <w:tcPr>
            <w:tcW w:w="200" w:type="dxa"/>
            <w:vAlign w:val="bottom"/>
          </w:tcPr>
          <w:p>
            <w:pPr>
              <w:spacing w:after="0"/>
              <w:rPr>
                <w:sz w:val="10"/>
                <w:szCs w:val="10"/>
                <w:color w:val="auto"/>
              </w:rPr>
            </w:pPr>
          </w:p>
        </w:tc>
        <w:tc>
          <w:tcPr>
            <w:tcW w:w="10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 Change</w:t>
            </w:r>
          </w:p>
        </w:tc>
        <w:tc>
          <w:tcPr>
            <w:tcW w:w="340" w:type="dxa"/>
            <w:vAlign w:val="bottom"/>
            <w:gridSpan w:val="2"/>
            <w:vMerge w:val="restart"/>
          </w:tcPr>
          <w:p>
            <w:pPr>
              <w:spacing w:after="0"/>
              <w:rPr>
                <w:sz w:val="10"/>
                <w:szCs w:val="10"/>
                <w:color w:val="auto"/>
              </w:rPr>
            </w:pPr>
          </w:p>
        </w:tc>
        <w:tc>
          <w:tcPr>
            <w:tcW w:w="12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gridSpan w:val="2"/>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233,521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211,329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51,903</w:t>
            </w:r>
          </w:p>
        </w:tc>
        <w:tc>
          <w:tcPr>
            <w:tcW w:w="2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51,174</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3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(68,056)</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(68,557)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0"/>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217,368</w:t>
            </w:r>
          </w:p>
        </w:tc>
        <w:tc>
          <w:tcPr>
            <w:tcW w:w="3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193,946</w:t>
            </w:r>
          </w:p>
        </w:tc>
        <w:tc>
          <w:tcPr>
            <w:tcW w:w="3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23,422</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net sales for the professional segment in the third quarter of fiscal 2013 decreased 4.8 percent compared to the third quarter in the prior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due primarily to strong sales in the first quarter of fiscal 2013 for products subject to Tier 4 diesel engine emission requirements that historically shipped to our customers in the second and third fiscal quarters, as previously discussed. For the year-to-date period of fiscal 2013 compared to the year-to-date period of fiscal 2012, professional segment net sales were up 6.2 percent, driven primarily by strong demand for our landscape contractor equipment , successful introduction of new products, higher global sales of our micro-irrigation products from continued market growth and demand, as well as additional manufacturing capacity that increased production and enabled higher sales for our drip irrigation solutions, and price increases on some products. Additionally, increased sales and demand in the rental market, as well as incremental net sales from acquisitions of approximately $6.4 million, contributed to our professional segment net sales growth in the year-to-date period of fiscal 2013. However, sales of our retail irrigation products were down as a result of reduced product placement at a key customer. Overall retail demand for our professional segment was strong for both the third quarter and year-to-date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periods of fiscal 2013 compared to the same periods last fiscal year, and field inventory levels were slightly up as of the end of the third quarter of fiscal 2013 compared to the end of the same period in the prior fiscal year.</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u w:val="single" w:color="auto"/>
          <w:color w:val="auto"/>
        </w:rPr>
        <w:t>Operating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earnings for the professional segment in the third quarter decreased 14.2 percent compared to the third quarter of fiscal 2012,</w:t>
      </w:r>
      <w:r>
        <w:rPr>
          <w:rFonts w:ascii="Arial" w:cs="Arial" w:eastAsia="Arial" w:hAnsi="Arial"/>
          <w:sz w:val="17"/>
          <w:szCs w:val="17"/>
          <w:i w:val="1"/>
          <w:iCs w:val="1"/>
          <w:color w:val="auto"/>
        </w:rPr>
        <w:t xml:space="preserve"> </w:t>
      </w:r>
      <w:r>
        <w:rPr>
          <w:rFonts w:ascii="Arial" w:cs="Arial" w:eastAsia="Arial" w:hAnsi="Arial"/>
          <w:sz w:val="17"/>
          <w:szCs w:val="17"/>
          <w:color w:val="auto"/>
        </w:rPr>
        <w:t>and decreased as a percentage of sales to 17.6 percent in the third quarter of fiscal 2013 compared to 19.5 percent in the third quarter of fiscal 2012. These profit declines were mainly due to lower sales volumes, a slight decline in gross margin, and an increase in SG&amp;A costs primarily from the same factors discussed previously in the Selling, General, and Administrative Expense section. For the year-to-date period of fiscal 2013, operating earnings for the professional segment increased 10.5 percent compared to the same period in the prior fiscal year. Expressed as a percentage of net sales, professional segment operating earnings increased to 20.0 percent for the year-to-date period of fiscal 2013 compared to 19.2 percent for the year-to-date period in fiscal 2012. These profit improvements were primarily attributable to higher sales volumes and an increase in gross margin due to price increases on some products, cost reduction efforts, and slightly lower commodity prices.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net sales for the residential segment in the third quarter of fiscal 2013 increased 14.4 percent compared to the third quarter of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2012 as improved weather conditions this fiscal year, compared to the severe drought weather conditions in third quarter of fiscal 2012, drove higher shipments for our walk power mowers and riding products. Retail demand for our lawn and garden products was significantly up during our third quarter of fiscal 2013 compared to the third quarter of fiscal 2012, which also resulted in a decline of our field inventory levels as of the end of the third quarter of fiscal 2013 compared to the end of our third quarter of fiscal 2012. Our recently introduced line of lithium-ion battery-powered string trimmers and hedge trimmers also contributed to our residential segment net sales for both the recent quarter and year-to-date periods. Additionally, Pope products in Australia were up due to increased demand for irrigation products as a result of dry weather conditions. However, for the year-to-date period of fiscal 2013 compared to the same period in fiscal 2012, residential segment net sales were down 5.5 percent as a result of lower shipments of snow thrower products due to poor preseason demand and lack of snowfall during the past two winter seasons in key markets. In addition, shipments of walk power mowers were down for the year-to-date comparison due to adverse spring weather conditions that negatively impacted demand and our sales during the key selling period.</w:t>
      </w:r>
    </w:p>
    <w:p>
      <w:pPr>
        <w:spacing w:after="0" w:line="16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residential segment in the third quarter and year-to-date periods of fiscal 2013 increased 50.0 percent and 1.4</w:t>
      </w:r>
      <w:r>
        <w:rPr>
          <w:rFonts w:ascii="Arial" w:cs="Arial" w:eastAsia="Arial" w:hAnsi="Arial"/>
          <w:sz w:val="16"/>
          <w:szCs w:val="16"/>
          <w:i w:val="1"/>
          <w:iCs w:val="1"/>
          <w:color w:val="auto"/>
        </w:rPr>
        <w:t xml:space="preserve"> </w:t>
      </w:r>
      <w:r>
        <w:rPr>
          <w:rFonts w:ascii="Arial" w:cs="Arial" w:eastAsia="Arial" w:hAnsi="Arial"/>
          <w:sz w:val="16"/>
          <w:szCs w:val="16"/>
          <w:color w:val="auto"/>
        </w:rPr>
        <w:t>percent, respectively, compared to the same periods in the prior fiscal year. Expressed as a percentage of net sales, residential segment operating margin increased to 9.7 percent in the third quarter of fiscal 2013 compared to 7.4 percent in the third quarter of fiscal 2012, and fiscal 2013 year-to-date residential segment operating margin also increased to 10.9 percent compared to 10.1 percent in the same period in the prior fiscal year. These increases were primarily attributable to an improvement in gross margin mainly as a result of cost reduction efforts and lower commodity costs, as well as lower SG&amp;A expenses as a percentage of net sales due to leveraging fixed SG&amp;A costs over higher sales volumes for the third quarter comparison. However, for the year-to-date comparison, SG&amp;A expenses as a percentage of net sales were higher as a result of fixed SG&amp;A costs over lower sales volumes.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color w:val="auto"/>
        </w:rPr>
        <w:t>. Net sales for the other segment include sales from our wholly owned domestic distribution companies less sales from the professional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residential segments to those distribution companies. The other segment net sales for the third quarter of fiscal 2013 increased $3.5 million compared to the third quarter of fiscal 2012 due to a decline in sales eliminated in the other segment resulting from reduced shipments to our company-owned distribution companies. For the year-to-date period of fiscal 2013, the other segment net sales decreased $1.3 million compared to the same period in the prior fiscal year due to strong professional segment sales in the first quarter of fiscal 2013, mainly for products manufactured prior to the phase-in of applicable Tier 4 diesel engine emission requirements, as previously discussed, to our wholly owned distribution companies that are eliminated in our other segment.</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u w:val="single" w:color="auto"/>
          <w:color w:val="auto"/>
        </w:rPr>
        <w:t>Operating Losses.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losses for the other segment decreased $3.2 million in the third quarter of fiscal 2013 compared to the third quarter of fiscal 2012</w:t>
      </w:r>
      <w:r>
        <w:rPr>
          <w:rFonts w:ascii="Arial" w:cs="Arial" w:eastAsia="Arial" w:hAnsi="Arial"/>
          <w:sz w:val="17"/>
          <w:szCs w:val="17"/>
          <w:i w:val="1"/>
          <w:iCs w:val="1"/>
          <w:color w:val="auto"/>
        </w:rPr>
        <w:t xml:space="preserve"> </w:t>
      </w:r>
      <w:r>
        <w:rPr>
          <w:rFonts w:ascii="Arial" w:cs="Arial" w:eastAsia="Arial" w:hAnsi="Arial"/>
          <w:sz w:val="17"/>
          <w:szCs w:val="17"/>
          <w:color w:val="auto"/>
        </w:rPr>
        <w:t>due to lower bad debt expense and a decline in health insurance expense from favorable claims experience. For the year-to-date period of fiscal 2013 compared to the same period last fiscal year, operating losses for the other segment decreased slightly by $0.5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ectPr>
          <w:pgSz w:w="11900" w:h="16838" w:orient="portrait"/>
          <w:cols w:equalWidth="0" w:num="1">
            <w:col w:w="11420"/>
          </w:cols>
          <w:pgMar w:left="240" w:top="140" w:right="239" w:bottom="0" w:gutter="0" w:footer="0" w:header="0"/>
        </w:sectPr>
      </w:pPr>
    </w:p>
    <w:bookmarkStart w:id="14" w:name="page15"/>
    <w:bookmarkEnd w:id="14"/>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Throughout fiscal 2013, our average net working capital increased mainly due to higher average inventory levels as we built inventory in anticipation of higher demand for our products prior to the phase-in of applicable Tier 4 diesel engine emission requirements, as well as higher average residential segment inventory levels from lower sales volumes as a result of unfavorable weather conditions in the first half of fiscal 2013. We have placed emphasis on improving asset management to drive inventory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levels down, with a focus on minimizing the amount of working capital in the supply chain, adjusting production plans, and maintaining or improving order replenishment and service levels to end users. We define average net working capital as accounts receivable plus inventory less trade payables as a percentage of net sales for a twelve month period.</w:t>
      </w:r>
    </w:p>
    <w:p>
      <w:pPr>
        <w:spacing w:after="0" w:line="181"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Our inventory levels were up 10.3 percent as of the end of the third quarter of fiscal 2013 compared to the end of the third quarter of fiscal 2012 as we built inventory in anticipation of strong demand for products impacted by Tier 4 diesel engine emission requirements, described previously, higher inventory levels of micro-irrigation products, and an increase in inventory to support our growing rental and construction businesses. Our receivables increased 2.6 percent as of the end of the third quarter of fiscal 2013 compared to the end of the third quarter of fiscal 2012 due to higher sales volumes. Our average days sales outstanding for receivables were slightly up, to 36 days based on sales for the twelve months ended August 2, 2013, compared to 34.1 days for the twelve months ended August 3, 2012. In addition, accounts payable slightly increased as of the end of our third quarter of fiscal 2013 by $0.1 million compared to the end of our third quarter of fiscal 2012. The combination of these increases resulted in a higher average net working capital as a percentage of net sales for the twelve months ended August 2, 2013 of 16.9 percent compared to 14.8 percent for the twelve months ended August 3, 2012.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businesses are seasonally working capital intensive and require funding for purchases of raw materials used in production, replacement parts inventory, payroll and other administrative costs, capital expenditures, establishment or construction of new facilities, expansion and upgrading of existing facilities, as well as for financing of receivables from customers that are not financed with Red Iron. We believe that our anticipated cash generated from operations, together with our fixed rate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178" w:lineRule="exact"/>
        <w:rPr>
          <w:sz w:val="20"/>
          <w:szCs w:val="20"/>
          <w:color w:val="auto"/>
        </w:rPr>
      </w:pPr>
    </w:p>
    <w:p>
      <w:pPr>
        <w:ind w:right="240" w:firstLine="270"/>
        <w:spacing w:after="0" w:line="277" w:lineRule="auto"/>
        <w:rPr>
          <w:sz w:val="20"/>
          <w:szCs w:val="20"/>
          <w:color w:val="auto"/>
        </w:rPr>
      </w:pPr>
      <w:r>
        <w:rPr>
          <w:rFonts w:ascii="Arial" w:cs="Arial" w:eastAsia="Arial" w:hAnsi="Arial"/>
          <w:sz w:val="18"/>
          <w:szCs w:val="18"/>
          <w:color w:val="auto"/>
        </w:rPr>
        <w:t>Our Board of Directors approved a cash dividend of $0.14 per share for the third quarter of fiscal 2013 paid on July 15, 2013, which was an increase of 27.3 percent over our cash dividend of $0.11 per share for the third quarter of fiscal 2012.</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u w:val="single" w:color="auto"/>
          <w:color w:val="auto"/>
        </w:rPr>
        <w:t>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Cash provided by operating activities for the first nine months of fiscal 2013 decreased $7.3 million, or 4.4 percent, compared to the first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of fiscal 2012, mainly as a result of a higher increase in working capital requirements, primarily from higher inventory levels and receivables, as well as a decrease in other accruals, somewhat offset by higher net earnings. Cash used for investing activities was down by $4.9 million, or 13.5 percent, compared to the first nine months of fiscal 2012, due mainly to cash utilized for acquisitions last fiscal year, somewhat offset by an increase in cash used for purchases of property, plant and equipment in the first nine months of fiscal 2013 compared to the first nine months of fiscal 2012. Cash used for financing activities for the first nine months of fiscal 2013 was up by $24.8 million, or 38.4 percent, due mainly to higher amounts of cash paid for dividends and repurchases of our common stock, somewhat offset by lower amounts of proceeds from stock option exercises during the first nine months of fiscal 2013 compared to the first nine months of fiscal 2012.</w:t>
      </w:r>
    </w:p>
    <w:p>
      <w:pPr>
        <w:spacing w:after="0" w:line="179"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u w:val="single" w:color="auto"/>
          <w:color w:val="auto"/>
        </w:rPr>
        <w:t>Credit Lines and Other Capital Resources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businesses are seasonal, with accounts receivable balances historically increasing between January and</w:t>
      </w:r>
      <w:r>
        <w:rPr>
          <w:rFonts w:ascii="Arial" w:cs="Arial" w:eastAsia="Arial" w:hAnsi="Arial"/>
          <w:sz w:val="16"/>
          <w:szCs w:val="16"/>
          <w:i w:val="1"/>
          <w:iCs w:val="1"/>
          <w:color w:val="auto"/>
        </w:rPr>
        <w:t xml:space="preserve"> </w:t>
      </w:r>
      <w:r>
        <w:rPr>
          <w:rFonts w:ascii="Arial" w:cs="Arial" w:eastAsia="Arial" w:hAnsi="Arial"/>
          <w:sz w:val="16"/>
          <w:szCs w:val="16"/>
          <w:color w:val="auto"/>
        </w:rPr>
        <w:t>April as a result of typically higher sales volumes and extended payment terms made available to our customers, and typically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our $150.0 million unsecured senior revolving credit facility that expires in July 2015. Included in our $150.0 million revolving credit facility is a sublimit for standby letters of credit and a sublimit for swingline loans. At our election and with the approval of the named borrowers on the revolving credit facility, the aggregate maximum 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unsecured short-term lines of credit in the aggregate amount of approximately $11.9 million. These facilities bear interest at various rates depending on the rates in their respective countries of operation. As of August 2, 2013, we had no outstanding short-term debt under our credit facilities and an aggregate of $13.7 million of outstanding letters of credit. As of August 2, 2013, we had an aggregate of $148.2 million of unutilized availability under our credit agreements.</w:t>
      </w:r>
    </w:p>
    <w:p>
      <w:pPr>
        <w:spacing w:after="0" w:line="175" w:lineRule="exact"/>
        <w:rPr>
          <w:sz w:val="20"/>
          <w:szCs w:val="20"/>
          <w:color w:val="auto"/>
        </w:rPr>
      </w:pPr>
    </w:p>
    <w:p>
      <w:pPr>
        <w:ind w:right="40" w:firstLine="270"/>
        <w:spacing w:after="0" w:line="297" w:lineRule="auto"/>
        <w:rPr>
          <w:sz w:val="20"/>
          <w:szCs w:val="20"/>
          <w:color w:val="auto"/>
        </w:rPr>
      </w:pPr>
      <w:r>
        <w:rPr>
          <w:rFonts w:ascii="Arial" w:cs="Arial" w:eastAsia="Arial" w:hAnsi="Arial"/>
          <w:sz w:val="16"/>
          <w:szCs w:val="16"/>
          <w:color w:val="auto"/>
        </w:rPr>
        <w:t>The revolving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to payments of cash dividends and stock repurchases as long as our debt to earnings before interest, taxes, depreciation, and amortization (“EBITDA”)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ratio from the previous quarter compliance certificate is less than or equal to 2.75; however, we are limited to $50 million per fiscal year if our debt to EBITDA ratio from the previous quarter compliance certificate is greater than 2.75. As of August 2, 2013, we were not limited to payments of cash dividends and stock repurchases as our debt to EBITDA ratio was below 2.75. We were also in compliance with all covenants related to our credit agreement for our revolving credit facility as of August 2, 2013, and we expect to be in compliance with all covenants during the remainder of fiscal 2013. If we were out of</w:t>
      </w:r>
    </w:p>
    <w:p>
      <w:pPr>
        <w:sectPr>
          <w:pgSz w:w="11900" w:h="16945" w:orient="portrait"/>
          <w:cols w:equalWidth="0" w:num="1">
            <w:col w:w="11400"/>
          </w:cols>
          <w:pgMar w:left="240" w:top="121" w:right="259" w:bottom="0" w:gutter="0" w:footer="0" w:header="0"/>
        </w:sectPr>
      </w:pPr>
    </w:p>
    <w:bookmarkStart w:id="15" w:name="page16"/>
    <w:bookmarkEnd w:id="15"/>
    <w:p>
      <w:pPr>
        <w:spacing w:after="0" w:line="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compliance with any debt covenant required by this credit agreement following the applicable cure period, the banks could terminate their commitments unless we could negotiate a covenant waiver from the banks. In addition, our long-term senior notes and debentures could become due and payable if we were unable to obtain a covenant waiver or refinance our short-term debt under our credit agreement. If our credit rating falls below investment grade and/or our average debt to EBITDA ratio rises above 2.00, the basis point spread over LIBOR, or other rates quoted by the Administrative Agent, Bank of America, N.A., we currently pay on our outstanding short-term debt under the credit agreement would increase. However, the credit commitment could not be cancelled by the banks based solely on a ratings downgrade. Our debt rating for long-term unsecured senior, non-credit enhanced debt was unchanged during the third quarter of fiscal 2013 by Standard and Poor’s Ratings Group at BBB and by Moody’s Investors Service at Baa3.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 and Contractual Obligations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fiscal 2009, we established our Red Iron joint venture with TCFIF. The purpose of Red Iron is to provide inventory financing, including floor plan and open accounts receivable financing, to distributors and dealers of our products in the United States and to select distributors of our products in Canada to enable our distributors and dealers to carry representative inventories of our products. Some independent international dealers continue to finance their products with a third party finance company. This third party financing company purchased $22.1 million of receivables from us during the first nine months of fiscal 2013. As of August 2, 2013, $11.1 million of receivables financed by the third party financing company, excluding Red Iron, were outstanding. See our most recently filed Annual Report on Form 10-K for further details regarding our customer financing arrangements and contractual obligations.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are subject to the effects of inflation, deflation, and changing prices. In the first nine months of fiscal 2013, average prices paid for commodities and components we purchase were slightly lower compared to the average prices paid for commodities and components in the first nine months of fiscal 2012, which benefited our gross margin growth rate. We will continue to closely follow the commodities and components that affect our product lines, and we anticipate average prices paid for commodities and components to be slightly lower for the remainder of fiscal 2013 as compared to the same period in fiscal 2012. However, we can provide no assurance that commodity costs will be lower; and accordingly, we expect to offset the impact of any inflationary pressures by collaborating with suppliers, reviewing alternative sourcing options, substituting materials, engaging in internal cost reduction efforts, and increasing prices on some of our products, all as appropriate.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our most recent Annual Report on Form 10-K for the fiscal year ended October 31, 2012 for a discussion of our critical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December 2011, the Financial Accounting Standards Board (“FASB”) issued Accounting Standards Update (“ASU”) No. 2011-11 related to disclosures on offsetting of assets and liabilities thereby amending ASC 210, </w:t>
      </w:r>
      <w:r>
        <w:rPr>
          <w:rFonts w:ascii="Arial" w:cs="Arial" w:eastAsia="Arial" w:hAnsi="Arial"/>
          <w:sz w:val="17"/>
          <w:szCs w:val="17"/>
          <w:i w:val="1"/>
          <w:iCs w:val="1"/>
          <w:color w:val="auto"/>
        </w:rPr>
        <w:t>Balance Sheet</w:t>
      </w:r>
      <w:r>
        <w:rPr>
          <w:rFonts w:ascii="Arial" w:cs="Arial" w:eastAsia="Arial" w:hAnsi="Arial"/>
          <w:sz w:val="17"/>
          <w:szCs w:val="17"/>
          <w:color w:val="auto"/>
        </w:rPr>
        <w:t xml:space="preserve">. ASU No. 2011-11 requires us to disclose information about offsetting and related arrangements to enable users of our financial statements to understand the effect of those arrangements on our financial position. In January 2013, the FASB issued ASU No. 2013-01 which clarified that the scope of ASU No. 2011-11 only applies to derivatives accounted for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We will adopt this guidance in our first quarter of fiscal 2014, as required. The adoption of this guidance is not expected to have a</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impact on our consolidated financial statements.</w:t>
      </w:r>
    </w:p>
    <w:p>
      <w:pPr>
        <w:spacing w:after="0" w:line="178" w:lineRule="exact"/>
        <w:rPr>
          <w:sz w:val="20"/>
          <w:szCs w:val="20"/>
          <w:color w:val="auto"/>
        </w:rPr>
      </w:pPr>
    </w:p>
    <w:p>
      <w:pPr>
        <w:ind w:firstLine="272"/>
        <w:spacing w:after="0" w:line="255" w:lineRule="auto"/>
        <w:rPr>
          <w:sz w:val="20"/>
          <w:szCs w:val="20"/>
          <w:color w:val="auto"/>
        </w:rPr>
      </w:pPr>
      <w:r>
        <w:rPr>
          <w:rFonts w:ascii="Arial" w:cs="Arial" w:eastAsia="Arial" w:hAnsi="Arial"/>
          <w:sz w:val="18"/>
          <w:szCs w:val="18"/>
          <w:color w:val="auto"/>
        </w:rPr>
        <w:t xml:space="preserve">In February 2013, FASB issued ASU No. 2013-02, </w:t>
      </w:r>
      <w:r>
        <w:rPr>
          <w:rFonts w:ascii="Arial" w:cs="Arial" w:eastAsia="Arial" w:hAnsi="Arial"/>
          <w:sz w:val="18"/>
          <w:szCs w:val="18"/>
          <w:i w:val="1"/>
          <w:iCs w:val="1"/>
          <w:color w:val="auto"/>
        </w:rPr>
        <w:t>Reporting of Amounts Reclassified Out of Accumulated Other Comprehensive Income</w:t>
      </w:r>
      <w:r>
        <w:rPr>
          <w:rFonts w:ascii="Arial" w:cs="Arial" w:eastAsia="Arial" w:hAnsi="Arial"/>
          <w:sz w:val="18"/>
          <w:szCs w:val="18"/>
          <w:color w:val="auto"/>
        </w:rPr>
        <w:t>. ASU No. 2013-02 requires entities to disclose, for items reclassified out of accumulated other comprehensive income (loss) and into net income in their entirety, the effect of the reclassification on each affected net income line item. ASU No. 2013-02 also requires a cross reference to other required U.S. GAAP disclosures for accumulated other comprehensive income (loss) reclassification items that are not reclassified in their entirety into net income. The effective date of ASU No. 2013-02 is for fiscal years, and interim periods within those fiscal years, beginning after December 15, 2012, and early adoption is permitted. We plan to early adopt this guidance in our fiscal 2013 fourth quarter. The adoption of this guidance is not expected to have a material impact on our consolidated financial statements.</w:t>
      </w:r>
    </w:p>
    <w:p>
      <w:pPr>
        <w:spacing w:after="0" w:line="189"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No other new accounting pronouncement that has been issued but not yet effective for us during the third quarter of fiscal 2013 has had or is expected to have a material impact on our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“strive,” “looking ahead,” “outlook,” “forecast,” “optimistic,” “plan,” “anticipate,” “continue,” “estimate,” “believe,” “could,” “should,” “will,” “would,” “may,” “possible,” “likely,” “intend,” and similar expressions and by using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Forward-looking statements involve risks and uncertainties that could cause actual results to differ materially from those projected or implied.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166" w:lineRule="exact"/>
        <w:rPr>
          <w:sz w:val="20"/>
          <w:szCs w:val="20"/>
          <w:color w:val="auto"/>
        </w:rPr>
      </w:pPr>
    </w:p>
    <w:p>
      <w:pPr>
        <w:ind w:left="260" w:hanging="252"/>
        <w:spacing w:after="0" w:line="302" w:lineRule="auto"/>
        <w:tabs>
          <w:tab w:leader="none" w:pos="2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Economic conditions and outlook in the United States and in other countries in which we conduct business could adversely affect our net sales and earnings, which include but are not limited to recessionary conditions; slow or negative economic growth rates; the impact of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w:t>
      </w:r>
    </w:p>
    <w:p>
      <w:pPr>
        <w:sectPr>
          <w:pgSz w:w="11900" w:h="16877" w:orient="portrait"/>
          <w:cols w:equalWidth="0" w:num="1">
            <w:col w:w="11400"/>
          </w:cols>
          <w:pgMar w:left="240" w:top="125" w:right="259" w:bottom="0" w:gutter="0" w:footer="0" w:header="0"/>
        </w:sectPr>
      </w:pPr>
    </w:p>
    <w:bookmarkStart w:id="16" w:name="page17"/>
    <w:bookmarkEnd w:id="16"/>
    <w:p>
      <w:pPr>
        <w:spacing w:after="0" w:line="55" w:lineRule="exact"/>
        <w:rPr>
          <w:sz w:val="20"/>
          <w:szCs w:val="20"/>
          <w:color w:val="auto"/>
        </w:rPr>
      </w:pPr>
    </w:p>
    <w:p>
      <w:pPr>
        <w:ind w:left="260" w:right="20"/>
        <w:spacing w:after="0" w:line="271" w:lineRule="auto"/>
        <w:rPr>
          <w:sz w:val="20"/>
          <w:szCs w:val="20"/>
          <w:color w:val="auto"/>
        </w:rPr>
      </w:pPr>
      <w:r>
        <w:rPr>
          <w:rFonts w:ascii="Arial" w:cs="Arial" w:eastAsia="Arial" w:hAnsi="Arial"/>
          <w:sz w:val="17"/>
          <w:szCs w:val="17"/>
          <w:color w:val="auto"/>
        </w:rPr>
        <w:t>consumer spending levels resulting from tax increases or otherwise; prolonged high unemployment rates; higher commodity and component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w:t>
      </w:r>
    </w:p>
    <w:p>
      <w:pPr>
        <w:ind w:left="260" w:right="160" w:hanging="252"/>
        <w:spacing w:after="0" w:line="281" w:lineRule="auto"/>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Weather conditions have and may continue to reduce demand for some of our products, which may adversely affect our net sales and operating results, or may affect the timing of demand for some of our products and may adversely affect net sales and operating results in subsequent periods.</w:t>
      </w:r>
    </w:p>
    <w:p>
      <w:pPr>
        <w:spacing w:after="0" w:line="1" w:lineRule="exact"/>
        <w:rPr>
          <w:rFonts w:ascii="Arial" w:cs="Arial" w:eastAsia="Arial" w:hAnsi="Arial"/>
          <w:sz w:val="16"/>
          <w:szCs w:val="16"/>
          <w:color w:val="auto"/>
        </w:rPr>
      </w:pPr>
    </w:p>
    <w:p>
      <w:pPr>
        <w:ind w:left="260" w:right="220" w:hanging="252"/>
        <w:spacing w:after="0" w:line="265"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Increases in the cost, or disruption in the availability, of raw materials, components, and parts containing various commodities that we purchase, such as steel, aluminum, fuel, resins, linerboard, copper, lead, rubber, engines, transmissions, transaxles, hydraulics, electric motors, and other commodities and components, and increases in our other costs of doing business, such as transportation costs or employee healthcare costs, including as the result of recently enacted or future healthcare laws or regulations, may adversely affect our profit margins and business.</w:t>
      </w:r>
    </w:p>
    <w:p>
      <w:pPr>
        <w:ind w:left="260" w:right="80" w:hanging="252"/>
        <w:spacing w:after="0" w:line="250"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professional segment net sales are dependent upon golf course revenues and the amount of investment in golf course renovations and improvements; the level of new golf course development and golf course closures; the level of homeowners who outsource their lawn care; the level of residential and commercial construction; continued acceptance of and demand for micro-irrigation solutions for agricultural markets; availability of credit to professional segment customers on acceptable terms to finance new product purchases; and the amount of government revenues, budget, and spending levels for grounds maintenance equipment; and other factors.</w:t>
      </w:r>
    </w:p>
    <w:p>
      <w:pPr>
        <w:spacing w:after="0" w:line="2" w:lineRule="exact"/>
        <w:rPr>
          <w:rFonts w:ascii="Arial" w:cs="Arial" w:eastAsia="Arial" w:hAnsi="Arial"/>
          <w:sz w:val="18"/>
          <w:szCs w:val="18"/>
          <w:color w:val="auto"/>
        </w:rPr>
      </w:pPr>
    </w:p>
    <w:p>
      <w:pPr>
        <w:ind w:left="260" w:right="200" w:hanging="252"/>
        <w:spacing w:after="0" w:line="265"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residential segment net sales are dependent upon mass retailers and home centers, such as The Home Depot, Inc. as a major customer, the amount of product placement at retailers, consumer confidence and spending levels, and changing buying patterns of customers.</w:t>
      </w:r>
    </w:p>
    <w:p>
      <w:pPr>
        <w:ind w:left="260" w:right="180" w:hanging="252"/>
        <w:spacing w:after="0" w:line="265"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A significant percentage of our consolidated net sales are generated outside of the United States, and we intend to continue to expand our international operations, as evidenced most recently by our anticipated acquisition of a Chinese micro-irrigation company. Our international operations also require significant management attention and financial resources, expose us to difficulties presented by international economic, political, legal, accounting, and business factors; including political, economic and/or social instability in the countries in which we sell products resulting in contraction or disruption of such markets;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1" w:lineRule="exact"/>
        <w:rPr>
          <w:rFonts w:ascii="Arial" w:cs="Arial" w:eastAsia="Arial" w:hAnsi="Arial"/>
          <w:sz w:val="17"/>
          <w:szCs w:val="17"/>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declines in our reported net sales and net earnings.</w:t>
      </w:r>
    </w:p>
    <w:p>
      <w:pPr>
        <w:spacing w:after="0" w:line="9" w:lineRule="exact"/>
        <w:rPr>
          <w:rFonts w:ascii="Arial" w:cs="Arial" w:eastAsia="Arial" w:hAnsi="Arial"/>
          <w:sz w:val="18"/>
          <w:szCs w:val="18"/>
          <w:color w:val="auto"/>
        </w:rPr>
      </w:pPr>
    </w:p>
    <w:p>
      <w:pPr>
        <w:ind w:left="260" w:right="260" w:hanging="252"/>
        <w:spacing w:after="0" w:line="253"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properties, and products are subject to governmental regulation with which compliance may require us to incur expenses or modify our products or operations and non-compliance may expose us to penalties. Governmental regulation may also adversely affect the demand for some of our products and our operating results. The United States Environmental Protection Agency adopted increasingly stringent engine emission regulations, including Tier 4 emission requirements applicable to diesel engines in specified horsepower ranges that are used in some of our products. Beginning January 1, 2013,</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spacing w:after="0" w:line="269" w:lineRule="auto"/>
        <w:rPr>
          <w:sz w:val="20"/>
          <w:szCs w:val="20"/>
          <w:color w:val="auto"/>
        </w:rPr>
      </w:pPr>
      <w:r>
        <w:rPr>
          <w:rFonts w:ascii="Arial" w:cs="Arial" w:eastAsia="Arial" w:hAnsi="Arial"/>
          <w:sz w:val="17"/>
          <w:szCs w:val="17"/>
          <w:color w:val="auto"/>
        </w:rPr>
        <w:t>such requirements expanded to additional horsepower categories and, accordingly, apply to more of our products. Although we have developed plans to achieve substantial compliance with Tier 4 diesel engine emission requirements, these plans are subject to many variables including, among others, the inability of our suppliers to provide compliant engines on a timely basis or our inability to complete the necessary engineering and testing to meet our production schedule. If we are unable to successfully execute such plans, our ability to sell our products into the market may be inhibited, which could adversely affect our competitive position and financial results. To the extent in which we are able to pass along costs we incurred related to research, development, engineering, and other costs to design Tier 4 diesel engine compliant products in the form of prices increases to our customers and/or our competitors implement different strategies with respect to compliance with Tier 4 diesel engine emission requirements, we may experience lower market demand for our products that may, ultimately, adversely affect our profit margins, net sales, and overall financial results. Additionally, as customers’ buying patterns change to purchasing our products in advance of price increases on compliant products, we have and may continue to experience abnormal fluctuation in sales and our financial results of any one period may not be representative of expected financial results in subsequent periods. We believe our financial results during the first quarter and year-to-date period of fiscal 2013 were positively impacted by these patterns and our second and third quarter periods of fiscal 2013 were negatively impacted.</w:t>
      </w:r>
    </w:p>
    <w:p>
      <w:pPr>
        <w:spacing w:after="0" w:line="180" w:lineRule="exact"/>
        <w:rPr>
          <w:sz w:val="20"/>
          <w:szCs w:val="20"/>
          <w:color w:val="auto"/>
        </w:rPr>
      </w:pPr>
    </w:p>
    <w:p>
      <w:pPr>
        <w:ind w:left="260" w:right="20" w:firstLine="261"/>
        <w:spacing w:after="0" w:line="290" w:lineRule="auto"/>
        <w:rPr>
          <w:sz w:val="20"/>
          <w:szCs w:val="20"/>
          <w:color w:val="auto"/>
        </w:rPr>
      </w:pPr>
      <w:r>
        <w:rPr>
          <w:rFonts w:ascii="Arial" w:cs="Arial" w:eastAsia="Arial" w:hAnsi="Arial"/>
          <w:sz w:val="16"/>
          <w:szCs w:val="16"/>
          <w:color w:val="auto"/>
        </w:rPr>
        <w:t>As required under the Dodd-Frank Wall Street Reform and Consumer Protection Act, in August 2012 the SEC promulgated final rules regarding disclosure of the use of certain minerals, known as “conflict minerals,” which are mined from the Democratic Republic of the Congo and adjoining countries, as well as procedures regarding a manufacturer’s efforts to discover the origin of such minerals and metals produced from those minerals. These conflict minerals are commonly referred to as “3TG” and include tin, tantalum, tungsten, and gold. The new rules will require us to engage in due diligence efforts for the 2013 calendar year, with initial disclosures required no later than May 31, 2014, and subsequent disclosures required no later than May 31 of each following year. We expect that we will incur additional costs and expenses, which may be significant, in order to comply with these rules. Since our supply chain is complex, ultimately we may not be able to sufficiently discover the original for all 3TG used in our products through the due diligence procedures that we implement, which may adversely affect our reputation with our customers, shareholders, and other stakeholders.</w:t>
      </w:r>
    </w:p>
    <w:p>
      <w:pPr>
        <w:spacing w:after="0" w:line="166" w:lineRule="exact"/>
        <w:rPr>
          <w:sz w:val="20"/>
          <w:szCs w:val="20"/>
          <w:color w:val="auto"/>
        </w:rPr>
      </w:pPr>
    </w:p>
    <w:p>
      <w:pPr>
        <w:ind w:left="260" w:right="60" w:firstLine="261"/>
        <w:spacing w:after="0" w:line="259" w:lineRule="auto"/>
        <w:rPr>
          <w:sz w:val="20"/>
          <w:szCs w:val="20"/>
          <w:color w:val="auto"/>
        </w:rPr>
      </w:pPr>
      <w:r>
        <w:rPr>
          <w:rFonts w:ascii="Arial" w:cs="Arial" w:eastAsia="Arial" w:hAnsi="Arial"/>
          <w:sz w:val="18"/>
          <w:szCs w:val="18"/>
          <w:color w:val="auto"/>
        </w:rPr>
        <w:t>In addition, other changes in laws and regulations also may adversely affect our operating results, including, in particular, (i) taxation changes, tax rate changes, new tax laws, revised tax law interpretations, or expiration of the domestic research and development tax credit, which individually or in combination may cause our effective tax rate to increase, or (ii) new, recently enacted or revised healthcare laws or regulations, which may cause us to incur higher employee healthcare and other costs.</w:t>
      </w:r>
    </w:p>
    <w:p>
      <w:pPr>
        <w:spacing w:after="0" w:line="187" w:lineRule="exact"/>
        <w:rPr>
          <w:sz w:val="20"/>
          <w:szCs w:val="20"/>
          <w:color w:val="auto"/>
        </w:rPr>
      </w:pPr>
    </w:p>
    <w:p>
      <w:pPr>
        <w:ind w:left="260" w:right="180" w:hanging="252"/>
        <w:spacing w:after="0" w:line="271"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business could suffer.</w:t>
      </w:r>
    </w:p>
    <w:p>
      <w:pPr>
        <w:ind w:left="260" w:right="420" w:hanging="252"/>
        <w:spacing w:after="0" w:line="250"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ind w:left="260" w:right="100" w:hanging="252"/>
        <w:spacing w:after="0" w:line="265"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manufacture our products at and distribute our products from several locations in the United States and internationally. Any disruption at any of these facilities or our inability to cost-effectively expand existing, open and manage new facilities, including our new distribution facility in Ankeny, Iowa, and/or move production between manufacturing facilities could adversely affect our business and operating results. In fiscal 2012, we began operations at our new micro-irrigation facility in Romania. If this facility does not produce the anticipated manufacturing or operational efficiencies, or if the micro-irrigation products to be produced at this facility are not accepted into the new geographic markets at expected levels, we may not recover the costs of the new facility and our operating results may be adversely affected.</w:t>
      </w:r>
    </w:p>
    <w:p>
      <w:pPr>
        <w:spacing w:after="0" w:line="1" w:lineRule="exact"/>
        <w:rPr>
          <w:rFonts w:ascii="Arial" w:cs="Arial" w:eastAsia="Arial" w:hAnsi="Arial"/>
          <w:sz w:val="17"/>
          <w:szCs w:val="17"/>
          <w:color w:val="auto"/>
        </w:rPr>
      </w:pPr>
    </w:p>
    <w:p>
      <w:pPr>
        <w:jc w:val="both"/>
        <w:ind w:left="260" w:right="120" w:hanging="252"/>
        <w:spacing w:after="0" w:line="323"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intend to grow our business in part through additional acquisitions and alliances, stronger customer relations, and new joint ventures and partnerships, all of which are risky and could harm our business, particularly if we are not able to successfully integrate such acquisitions and alliances, joint ventures,</w:t>
      </w:r>
    </w:p>
    <w:p>
      <w:pPr>
        <w:sectPr>
          <w:pgSz w:w="11900" w:h="16893" w:orient="portrait"/>
          <w:cols w:equalWidth="0" w:num="1">
            <w:col w:w="11420"/>
          </w:cols>
          <w:pgMar w:left="240" w:top="125" w:right="239" w:bottom="0" w:gutter="0" w:footer="0" w:header="0"/>
        </w:sectPr>
      </w:pPr>
    </w:p>
    <w:bookmarkStart w:id="17" w:name="page18"/>
    <w:bookmarkEnd w:id="17"/>
    <w:p>
      <w:pPr>
        <w:ind w:left="260" w:right="60"/>
        <w:spacing w:after="0" w:line="258" w:lineRule="auto"/>
        <w:rPr>
          <w:sz w:val="20"/>
          <w:szCs w:val="20"/>
          <w:color w:val="auto"/>
        </w:rPr>
      </w:pPr>
      <w:r>
        <w:rPr>
          <w:rFonts w:ascii="Arial" w:cs="Arial" w:eastAsia="Arial" w:hAnsi="Arial"/>
          <w:sz w:val="18"/>
          <w:szCs w:val="18"/>
          <w:color w:val="auto"/>
        </w:rPr>
        <w:t>and partnerships. Additionally, factors could affect completion of our proposed acquisition of a micro-irrigation company in China, including whether and when the required regulatory approvals will be obtained, and whether and when other closing conditions will be satisfied.</w:t>
      </w:r>
    </w:p>
    <w:p>
      <w:pPr>
        <w:spacing w:after="0" w:line="1" w:lineRule="exact"/>
        <w:rPr>
          <w:sz w:val="20"/>
          <w:szCs w:val="20"/>
          <w:color w:val="auto"/>
        </w:rPr>
      </w:pPr>
    </w:p>
    <w:p>
      <w:pPr>
        <w:ind w:left="260" w:right="180" w:hanging="252"/>
        <w:spacing w:after="0" w:line="281" w:lineRule="auto"/>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on our management information systems for inventory management, distribution, and other key functions. If our information systems fail to adequately perform these functions, or if we experience an interruption in their operation, our business and operating results could be adversely affected.</w:t>
      </w:r>
    </w:p>
    <w:p>
      <w:pPr>
        <w:spacing w:after="0" w:line="1" w:lineRule="exact"/>
        <w:rPr>
          <w:rFonts w:ascii="Arial" w:cs="Arial" w:eastAsia="Arial" w:hAnsi="Arial"/>
          <w:sz w:val="16"/>
          <w:szCs w:val="16"/>
          <w:color w:val="auto"/>
        </w:rPr>
      </w:pPr>
    </w:p>
    <w:p>
      <w:pPr>
        <w:ind w:left="260" w:right="12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intense competition in all of our product lines with numerous manufacturers, including from some competitors that have larger operations and greater financial resources than us. We may not be able to compete effectively against competitors’ actions, which could harm our business and operating results.</w:t>
      </w:r>
    </w:p>
    <w:p>
      <w:pPr>
        <w:spacing w:after="0" w:line="1" w:lineRule="exact"/>
        <w:rPr>
          <w:rFonts w:ascii="Arial" w:cs="Arial" w:eastAsia="Arial" w:hAnsi="Arial"/>
          <w:sz w:val="18"/>
          <w:szCs w:val="18"/>
          <w:color w:val="auto"/>
        </w:rPr>
      </w:pPr>
    </w:p>
    <w:p>
      <w:pPr>
        <w:ind w:left="260" w:right="16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product liability claims, product quality issues, and other litigation from time to time that could adversely affect our operating results or financial condition.</w:t>
      </w:r>
    </w:p>
    <w:p>
      <w:pPr>
        <w:ind w:left="260" w:right="460" w:hanging="252"/>
        <w:spacing w:after="0" w:line="261"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retain our key employees, and attract and retain other qualified personnel, we may not be able to meet strategic objectives and our business could suffer.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200" w:hanging="252"/>
        <w:spacing w:after="0" w:line="254"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result of our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any termination or disruption of our joint venture relationship or any delay in securing replacement credit sources could adversely affect our net sales and operating results.</w:t>
      </w:r>
    </w:p>
    <w:p>
      <w:pPr>
        <w:spacing w:after="0" w:line="2" w:lineRule="exact"/>
        <w:rPr>
          <w:rFonts w:ascii="Arial" w:cs="Arial" w:eastAsia="Arial" w:hAnsi="Arial"/>
          <w:sz w:val="18"/>
          <w:szCs w:val="18"/>
          <w:color w:val="auto"/>
        </w:rPr>
      </w:pPr>
    </w:p>
    <w:p>
      <w:pPr>
        <w:ind w:left="260" w:right="40" w:hanging="252"/>
        <w:spacing w:after="0" w:line="265" w:lineRule="auto"/>
        <w:tabs>
          <w:tab w:leader="none" w:pos="22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and debentures could become due and payable.</w:t>
      </w: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9" w:lineRule="exact"/>
        <w:rPr>
          <w:rFonts w:ascii="Arial" w:cs="Arial" w:eastAsia="Arial" w:hAnsi="Arial"/>
          <w:sz w:val="18"/>
          <w:szCs w:val="18"/>
          <w:color w:val="auto"/>
        </w:rPr>
      </w:pPr>
    </w:p>
    <w:p>
      <w:pPr>
        <w:ind w:left="260" w:right="60" w:hanging="252"/>
        <w:spacing w:after="0" w:line="268" w:lineRule="auto"/>
        <w:tabs>
          <w:tab w:leader="none" w:pos="224"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is subject to a number of other factors that may adversely affect our operating results, financial condition, or business, such as: our ability to achieve the revenue growth, operating earnings, and employee engagement goals of our multi-year employee initiative called “Destination 2014”; natural or man-made disasters or global pandemics that may result in shortages of raw materials and components, higher fuel and commodity costs, delays in shipments to customers, and an increase in insurance premiums; financial difficulties and viability of our distributors and dealers, changes in distributor ownership, changes in channel distribution of our products, relationships with our distribution channel partners, our success in partnering with new dealers, and our customers’ ability to pay amounts owed to us; ability of management to adapt to unplanned events; drug cartel-related violence, which may disrupt our production activities and maquiladora operations based in Juarez, Mexico; and continued threat of terrorist acts and war that may result in heightened security and higher costs for import and export shipments of components or finished goods, reduced leisure travel, and contraction of the United States and world economies.</w:t>
      </w:r>
    </w:p>
    <w:p>
      <w:pPr>
        <w:spacing w:after="0" w:line="18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181"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w:t>
      </w:r>
    </w:p>
    <w:p>
      <w:pPr>
        <w:spacing w:after="0" w:line="18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i w:val="1"/>
          <w:iCs w:val="1"/>
          <w:u w:val="single" w:color="auto"/>
          <w:color w:val="auto"/>
        </w:rPr>
        <w:t>Foreign Currency Exchange Rate Risk.</w:t>
      </w:r>
      <w:r>
        <w:rPr>
          <w:rFonts w:ascii="Arial" w:cs="Arial" w:eastAsia="Arial" w:hAnsi="Arial"/>
          <w:sz w:val="16"/>
          <w:szCs w:val="16"/>
          <w:i w:val="1"/>
          <w:iCs w:val="1"/>
          <w:color w:val="auto"/>
        </w:rPr>
        <w:t xml:space="preserve"> </w:t>
      </w:r>
      <w:r>
        <w:rPr>
          <w:rFonts w:ascii="Arial" w:cs="Arial" w:eastAsia="Arial" w:hAnsi="Arial"/>
          <w:sz w:val="16"/>
          <w:szCs w:val="16"/>
          <w:color w:val="auto"/>
        </w:rPr>
        <w:t>In the normal course of business, we actively manage the exposure of our foreign currency exchange rate market risk</w:t>
      </w:r>
      <w:r>
        <w:rPr>
          <w:rFonts w:ascii="Arial" w:cs="Arial" w:eastAsia="Arial" w:hAnsi="Arial"/>
          <w:sz w:val="16"/>
          <w:szCs w:val="16"/>
          <w:i w:val="1"/>
          <w:iCs w:val="1"/>
          <w:color w:val="auto"/>
        </w:rPr>
        <w:t xml:space="preserve"> </w:t>
      </w:r>
      <w:r>
        <w:rPr>
          <w:rFonts w:ascii="Arial" w:cs="Arial" w:eastAsia="Arial" w:hAnsi="Arial"/>
          <w:sz w:val="16"/>
          <w:szCs w:val="16"/>
          <w:color w:val="auto"/>
        </w:rPr>
        <w:t>by entering into various hedging instruments, authorized under company policies that place controls on these activities, with counterparties that are highly rated financial institutions. Our hedging activities involve the primary use of forward currency contracts. We also utilize cross currency swaps to offset intercompany loan exposures.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United States and Mexico, a stronger U.S. dollar and Mexican peso generally have a negative impact on our results from operations, while a weaker dollar and peso generally have a positive effect. Our primary foreign currency exchange rate exposures are with the Euro, the Australian dollar, the Canadian dollar, the British pound, the Mexican peso, the Japanese yen, the Chinese Yuan, the Romanian New Leu against the U.S. dollar, as well as the Romanian New Leu against the Euro.</w:t>
      </w:r>
    </w:p>
    <w:p>
      <w:pPr>
        <w:spacing w:after="0" w:line="169" w:lineRule="exact"/>
        <w:rPr>
          <w:sz w:val="20"/>
          <w:szCs w:val="20"/>
          <w:color w:val="auto"/>
        </w:rPr>
      </w:pPr>
    </w:p>
    <w:p>
      <w:pPr>
        <w:ind w:right="480" w:firstLine="270"/>
        <w:spacing w:after="0" w:line="277" w:lineRule="auto"/>
        <w:rPr>
          <w:sz w:val="20"/>
          <w:szCs w:val="20"/>
          <w:color w:val="auto"/>
        </w:rPr>
      </w:pPr>
      <w:r>
        <w:rPr>
          <w:rFonts w:ascii="Arial" w:cs="Arial" w:eastAsia="Arial" w:hAnsi="Arial"/>
          <w:sz w:val="18"/>
          <w:szCs w:val="18"/>
          <w:color w:val="auto"/>
        </w:rPr>
        <w:t>We enter into various contracts, principally forward contracts that change in value as foreign currency exchange rates change, to protect the value of existing foreign currency assets, liabilities, anticipated sales, and probable commitments. Decisions 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18" w:name="page19"/>
    <w:bookmarkEnd w:id="18"/>
    <w:p>
      <w:pPr>
        <w:ind w:right="120"/>
        <w:spacing w:after="0" w:line="273" w:lineRule="auto"/>
        <w:rPr>
          <w:sz w:val="20"/>
          <w:szCs w:val="20"/>
          <w:color w:val="auto"/>
        </w:rPr>
      </w:pPr>
      <w:r>
        <w:rPr>
          <w:rFonts w:ascii="Arial" w:cs="Arial" w:eastAsia="Arial" w:hAnsi="Arial"/>
          <w:sz w:val="17"/>
          <w:szCs w:val="17"/>
          <w:color w:val="auto"/>
        </w:rPr>
        <w:t>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 the life of the hedge contract. Additional information regarding gains and losses on our derivative instruments is presented in the Notes to Condensed Consolidated Financial Statements (Unaudited) in Item 1 of this Quarterly Report on Form 10-Q, in the section entitled “Derivative Instruments and Hedging Activities.”</w:t>
      </w:r>
    </w:p>
    <w:p>
      <w:pPr>
        <w:spacing w:after="0" w:line="178" w:lineRule="exact"/>
        <w:rPr>
          <w:sz w:val="20"/>
          <w:szCs w:val="20"/>
          <w:color w:val="auto"/>
        </w:rPr>
      </w:pPr>
    </w:p>
    <w:p>
      <w:pPr>
        <w:ind w:right="120" w:firstLine="270"/>
        <w:spacing w:after="0" w:line="302" w:lineRule="auto"/>
        <w:rPr>
          <w:sz w:val="20"/>
          <w:szCs w:val="20"/>
          <w:color w:val="auto"/>
        </w:rPr>
      </w:pPr>
      <w:r>
        <w:rPr>
          <w:rFonts w:ascii="Arial" w:cs="Arial" w:eastAsia="Arial" w:hAnsi="Arial"/>
          <w:sz w:val="16"/>
          <w:szCs w:val="16"/>
          <w:color w:val="auto"/>
        </w:rPr>
        <w:t>The following foreign currency exchange contracts held by us have maturity dates in fiscal 2013, 2014, and 2015. All items are non-trading and stated in U.S. dollars. Some derivative instruments we enter into do not meet the cash flow hedging criteria; therefore, changes in fair value are recorded in other income, net. The average contracted rate, notional amount, pre-tax value of derivative instruments in accumulated other comprehensive loss, and fair value impact of derivative instruments in other income, net as of and for the fiscal period ended August 2, 2013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Value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vMerge w:val="continue"/>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Contracted</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171"/>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(except average contracted rate)</w:t>
            </w: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Rate</w:t>
            </w: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(Loss) Gain</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Buy US dollar/Sell Australian dollar</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3"/>
              </w:rPr>
              <w:t>0.9792</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27,025.8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Buy US dollar/Sell Canadian dollar</w:t>
            </w:r>
          </w:p>
        </w:tc>
        <w:tc>
          <w:tcPr>
            <w:tcW w:w="1660" w:type="dxa"/>
            <w:vAlign w:val="bottom"/>
            <w:gridSpan w:val="2"/>
          </w:tcPr>
          <w:p>
            <w:pPr>
              <w:ind w:left="880"/>
              <w:spacing w:after="0"/>
              <w:rPr>
                <w:sz w:val="20"/>
                <w:szCs w:val="20"/>
                <w:color w:val="auto"/>
              </w:rPr>
            </w:pPr>
            <w:r>
              <w:rPr>
                <w:rFonts w:ascii="Arial" w:cs="Arial" w:eastAsia="Arial" w:hAnsi="Arial"/>
                <w:sz w:val="18"/>
                <w:szCs w:val="18"/>
                <w:color w:val="auto"/>
              </w:rPr>
              <w:t>1.0317</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34.9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1.3232</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92,492.3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(1,734.1)</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Buy US dollar/Sell British pound</w:t>
            </w:r>
          </w:p>
        </w:tc>
        <w:tc>
          <w:tcPr>
            <w:tcW w:w="1660" w:type="dxa"/>
            <w:vAlign w:val="bottom"/>
            <w:gridSpan w:val="2"/>
          </w:tcPr>
          <w:p>
            <w:pPr>
              <w:ind w:left="880"/>
              <w:spacing w:after="0"/>
              <w:rPr>
                <w:sz w:val="20"/>
                <w:szCs w:val="20"/>
                <w:color w:val="auto"/>
              </w:rPr>
            </w:pPr>
            <w:r>
              <w:rPr>
                <w:rFonts w:ascii="Arial" w:cs="Arial" w:eastAsia="Arial" w:hAnsi="Arial"/>
                <w:sz w:val="18"/>
                <w:szCs w:val="18"/>
                <w:color w:val="auto"/>
              </w:rPr>
              <w:t>1.5244</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11,432.9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US dollar</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1.3301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Buy Mexican peso/Sell US dollar</w:t>
            </w:r>
          </w:p>
        </w:tc>
        <w:tc>
          <w:tcPr>
            <w:tcW w:w="1360" w:type="dxa"/>
            <w:vAlign w:val="bottom"/>
          </w:tcPr>
          <w:p>
            <w:pPr>
              <w:ind w:left="780"/>
              <w:spacing w:after="0"/>
              <w:rPr>
                <w:sz w:val="20"/>
                <w:szCs w:val="20"/>
                <w:color w:val="auto"/>
              </w:rPr>
            </w:pPr>
            <w:r>
              <w:rPr>
                <w:rFonts w:ascii="Arial" w:cs="Arial" w:eastAsia="Arial" w:hAnsi="Arial"/>
                <w:sz w:val="18"/>
                <w:szCs w:val="18"/>
                <w:color w:val="auto"/>
                <w:w w:val="86"/>
              </w:rPr>
              <w:t>13.4728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35,783.3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654.2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Romanian New Leu</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4.4155</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11,304.6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2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u w:val="single" w:color="auto"/>
          <w:color w:val="auto"/>
        </w:rPr>
        <w:t>Interest Rate Risk.</w:t>
      </w:r>
      <w:r>
        <w:rPr>
          <w:rFonts w:ascii="Arial" w:cs="Arial" w:eastAsia="Arial" w:hAnsi="Arial"/>
          <w:sz w:val="16"/>
          <w:szCs w:val="16"/>
          <w:i w:val="1"/>
          <w:iCs w:val="1"/>
          <w:color w:val="auto"/>
        </w:rPr>
        <w:t xml:space="preserve"> </w:t>
      </w:r>
      <w:r>
        <w:rPr>
          <w:rFonts w:ascii="Arial" w:cs="Arial" w:eastAsia="Arial" w:hAnsi="Arial"/>
          <w:sz w:val="16"/>
          <w:szCs w:val="16"/>
          <w:color w:val="auto"/>
        </w:rPr>
        <w:t>Our market risk on interest rates relates primarily to LIBOR-based short-term debt from commercial banks, as well as the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fair value of long-term debt resulting from a potential decrease in interest rates. However, we do not have cash flow or earnings exposure due to market risks on long-term debt. We generally do not use interest rate swaps to mitigate the impact of fluctuations in interest rates. See our most recently filed Annual Report on Form 10-K (Item 7A Quantitative and Qualitative Disclosures about Market Risk). There has been no material change in this information.</w:t>
      </w:r>
    </w:p>
    <w:p>
      <w:pPr>
        <w:spacing w:after="0" w:line="15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u w:val="single" w:color="auto"/>
          <w:color w:val="auto"/>
        </w:rPr>
        <w:t>Commodity Price Risk</w:t>
      </w:r>
      <w:r>
        <w:rPr>
          <w:rFonts w:ascii="Arial" w:cs="Arial" w:eastAsia="Arial" w:hAnsi="Arial"/>
          <w:sz w:val="18"/>
          <w:szCs w:val="18"/>
          <w:i w:val="1"/>
          <w:iCs w:val="1"/>
          <w:color w:val="auto"/>
        </w:rPr>
        <w:t xml:space="preserve">. </w:t>
      </w:r>
      <w:r>
        <w:rPr>
          <w:rFonts w:ascii="Arial" w:cs="Arial" w:eastAsia="Arial" w:hAnsi="Arial"/>
          <w:sz w:val="18"/>
          <w:szCs w:val="18"/>
          <w:color w:val="auto"/>
        </w:rPr>
        <w:t>Some raw materials used in our products are exposed to commodity price changes. The primary commodity price exposures are with</w:t>
      </w:r>
      <w:r>
        <w:rPr>
          <w:rFonts w:ascii="Arial" w:cs="Arial" w:eastAsia="Arial" w:hAnsi="Arial"/>
          <w:sz w:val="18"/>
          <w:szCs w:val="18"/>
          <w:i w:val="1"/>
          <w:iCs w:val="1"/>
          <w:color w:val="auto"/>
        </w:rPr>
        <w:t xml:space="preserve"> </w:t>
      </w:r>
      <w:r>
        <w:rPr>
          <w:rFonts w:ascii="Arial" w:cs="Arial" w:eastAsia="Arial" w:hAnsi="Arial"/>
          <w:sz w:val="18"/>
          <w:szCs w:val="18"/>
          <w:color w:val="auto"/>
        </w:rPr>
        <w:t>steel, aluminum, fuel, petroleum-based resin, and linerboard. In addition, we are a purchaser of components and parts containing various commodities, including steel, aluminum, copper, lead, rubber, and others that are integrated into our end products. Further information regarding prices for commodities is presented in Item 2 of this Quarterly Report on Form 10-Q, in the section entitled “Inflation.”</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We enter into fixed-price contracts for future purchases of natural gas in the normal course of operations as a means to manage natural gas price risks.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third quarter ended August 2, 2013 that has materially affected, or is reasonably likely to materially affect, our internal control over financial reporting.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where we are asserting and defending against patent infringement.</w:t>
      </w:r>
    </w:p>
    <w:p>
      <w:pPr>
        <w:sectPr>
          <w:pgSz w:w="11900" w:h="16838" w:orient="portrait"/>
          <w:cols w:equalWidth="0" w:num="1">
            <w:col w:w="11420"/>
          </w:cols>
          <w:pgMar w:left="240" w:top="125" w:right="239" w:bottom="149" w:gutter="0" w:footer="0" w:header="0"/>
        </w:sectPr>
      </w:pPr>
    </w:p>
    <w:bookmarkStart w:id="19" w:name="page20"/>
    <w:bookmarkEnd w:id="19"/>
    <w:p>
      <w:pPr>
        <w:ind w:right="40" w:firstLine="270"/>
        <w:spacing w:after="0" w:line="277" w:lineRule="auto"/>
        <w:rPr>
          <w:sz w:val="20"/>
          <w:szCs w:val="20"/>
          <w:color w:val="auto"/>
        </w:rPr>
      </w:pPr>
      <w:r>
        <w:rPr>
          <w:rFonts w:ascii="Arial" w:cs="Arial" w:eastAsia="Arial" w:hAnsi="Arial"/>
          <w:sz w:val="18"/>
          <w:szCs w:val="18"/>
          <w:color w:val="auto"/>
        </w:rPr>
        <w:t>For a description of our material legal proceedings, see Notes to Condensed Consolidated Financial Statements under the heading “Litigation” included in Part 1. Item 1 of this Quarterly Report on Form 10-Q, which is incorporated into this Part II. Item 1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16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third quarter of fiscal 2013 stock repurchase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Average</w:t>
            </w: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Total Number of</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Price</w:t>
            </w: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Purchased</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Paid per</w:t>
            </w: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Share</w:t>
            </w: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300" w:type="dxa"/>
            <w:vAlign w:val="bottom"/>
            <w:gridSpan w:val="3"/>
            <w:vMerge w:val="continue"/>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 (1,2,3,4)</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(or Unit)</w:t>
            </w: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or Programs (1,2)</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Programs (1,2)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4, 2013 through May 31, 2013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133,416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45.82</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133,416</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5,178,331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2013 through June 28, 2013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271,474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46.29</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264,132</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4,914,199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29, 2013 through August 2, 2013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149,585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45.98</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148,530</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4,765,669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554,475</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46.09</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546,078</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60" w:hanging="328"/>
        <w:spacing w:after="0" w:line="259" w:lineRule="auto"/>
        <w:tabs>
          <w:tab w:leader="none" w:pos="667"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December 1, 2010, the company’s Board of Directors authorized the repurchase of 6,000,000 shares of the company’s common stock in open-market or in privately negotiated transactions. This program has no expiration date but may be terminated by the company’s Board of Directors at any time. The company repurchased an aggregate of 311,747 shares during the period indicated above under this program. There are no shares remaining for repurchase under this program.</w:t>
      </w:r>
    </w:p>
    <w:p>
      <w:pPr>
        <w:spacing w:after="0" w:line="186" w:lineRule="exact"/>
        <w:rPr>
          <w:rFonts w:ascii="Arial" w:cs="Arial" w:eastAsia="Arial" w:hAnsi="Arial"/>
          <w:sz w:val="18"/>
          <w:szCs w:val="18"/>
          <w:color w:val="auto"/>
        </w:rPr>
      </w:pPr>
    </w:p>
    <w:p>
      <w:pPr>
        <w:ind w:left="660" w:right="180" w:hanging="328"/>
        <w:spacing w:after="0" w:line="286" w:lineRule="auto"/>
        <w:tabs>
          <w:tab w:leader="none" w:pos="667"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December 11, 2012, the company’s Board of Directors authorized the repurchase of 5,000,000 shares of the company’s common stock in open-market or in privately negotiated transactions. This program has no expiration date but may be terminated by the company’s Board of Directors at any time. The company repurchased an aggregate of 234,331 shares during the period indicated above under this program.</w:t>
      </w:r>
    </w:p>
    <w:p>
      <w:pPr>
        <w:spacing w:after="0" w:line="165" w:lineRule="exact"/>
        <w:rPr>
          <w:rFonts w:ascii="Arial" w:cs="Arial" w:eastAsia="Arial" w:hAnsi="Arial"/>
          <w:sz w:val="17"/>
          <w:szCs w:val="17"/>
          <w:color w:val="auto"/>
        </w:rPr>
      </w:pPr>
    </w:p>
    <w:p>
      <w:pPr>
        <w:ind w:left="660" w:right="240" w:hanging="328"/>
        <w:spacing w:after="0" w:line="264" w:lineRule="auto"/>
        <w:tabs>
          <w:tab w:leader="none" w:pos="66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7,342 shares of the company’s common stock surrendered by employees to satisfy minimum tax withholding obligations upon vesting of restricted stock granted under the company’s incentive plan. These 7,342 shares were not repurchased under the company’s repurchase program described in footnotes 1 and 2 above.</w:t>
      </w:r>
    </w:p>
    <w:p>
      <w:pPr>
        <w:spacing w:after="0" w:line="181" w:lineRule="exact"/>
        <w:rPr>
          <w:rFonts w:ascii="Arial" w:cs="Arial" w:eastAsia="Arial" w:hAnsi="Arial"/>
          <w:sz w:val="18"/>
          <w:szCs w:val="18"/>
          <w:color w:val="auto"/>
        </w:rPr>
      </w:pPr>
    </w:p>
    <w:p>
      <w:pPr>
        <w:ind w:left="660" w:right="100" w:hanging="328"/>
        <w:spacing w:after="0" w:line="264" w:lineRule="auto"/>
        <w:tabs>
          <w:tab w:leader="none" w:pos="66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1,055 units (shares) of the company’s common stock purchased in open-market transactions at an average price of $49.43 per share on behalf of a rabbi trust formed to pay benefit obligations of the company to participants in deferred compensation plans. These 1,055 shares were not repurchased under the company’s repurchase program described in footnotes 1 and 2 above.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800" w:hanging="792"/>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2040" w:right="420" w:hanging="1256"/>
        <w:spacing w:after="0" w:line="277" w:lineRule="auto"/>
        <w:rPr>
          <w:rFonts w:ascii="Arial" w:cs="Arial" w:eastAsia="Arial" w:hAnsi="Arial"/>
          <w:sz w:val="18"/>
          <w:szCs w:val="18"/>
          <w:color w:val="auto"/>
        </w:rPr>
      </w:pPr>
      <w:r>
        <w:rPr>
          <w:rFonts w:ascii="Arial" w:cs="Arial" w:eastAsia="Arial" w:hAnsi="Arial"/>
          <w:sz w:val="18"/>
          <w:szCs w:val="18"/>
          <w:color w:val="auto"/>
        </w:rPr>
        <w:t>3.1 and 4.1Restated Certificate of Incorporation of The Toro Company (incorporated by reference to Exhibit 3.1 to Registrant’s Current Report on Form 8-K dated June 17, 2008, Commission File No. 1-8649).</w:t>
      </w:r>
    </w:p>
    <w:p>
      <w:pPr>
        <w:spacing w:after="0" w:line="170" w:lineRule="exact"/>
        <w:rPr>
          <w:rFonts w:ascii="Arial" w:cs="Arial" w:eastAsia="Arial" w:hAnsi="Arial"/>
          <w:sz w:val="18"/>
          <w:szCs w:val="18"/>
          <w:color w:val="auto"/>
        </w:rPr>
      </w:pPr>
    </w:p>
    <w:p>
      <w:pPr>
        <w:ind w:left="2040" w:right="820" w:hanging="1256"/>
        <w:spacing w:after="0" w:line="342" w:lineRule="auto"/>
        <w:rPr>
          <w:rFonts w:ascii="Arial" w:cs="Arial" w:eastAsia="Arial" w:hAnsi="Arial"/>
          <w:sz w:val="18"/>
          <w:szCs w:val="18"/>
          <w:color w:val="auto"/>
        </w:rPr>
      </w:pPr>
      <w:r>
        <w:rPr>
          <w:rFonts w:ascii="Arial" w:cs="Arial" w:eastAsia="Arial" w:hAnsi="Arial"/>
          <w:sz w:val="18"/>
          <w:szCs w:val="18"/>
          <w:color w:val="auto"/>
        </w:rPr>
        <w:t>3.2 and 4.2</w:t>
      </w:r>
      <w:r>
        <w:rPr>
          <w:rFonts w:ascii="Arial" w:cs="Arial" w:eastAsia="Arial" w:hAnsi="Arial"/>
          <w:sz w:val="16"/>
          <w:szCs w:val="16"/>
          <w:color w:val="auto"/>
        </w:rPr>
        <w:t>Certificate of Amendment to Restated Certificate of Incorporation of The Toro Company (incorporated by reference to Exhibit 3.1 to Registrant’s Current Report on Form 8-K dated March 13, 2013, Commission File No. 1-8649).</w:t>
      </w:r>
    </w:p>
    <w:p>
      <w:pPr>
        <w:spacing w:after="0" w:line="124"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3.3 and 4.3</w:t>
            </w:r>
          </w:p>
        </w:tc>
        <w:tc>
          <w:tcPr>
            <w:tcW w:w="9560" w:type="dxa"/>
            <w:vAlign w:val="bottom"/>
          </w:tcPr>
          <w:p>
            <w:pPr>
              <w:ind w:left="220"/>
              <w:spacing w:after="0"/>
              <w:rPr>
                <w:sz w:val="20"/>
                <w:szCs w:val="20"/>
                <w:color w:val="auto"/>
              </w:rPr>
            </w:pPr>
            <w:r>
              <w:rPr>
                <w:rFonts w:ascii="Arial" w:cs="Arial" w:eastAsia="Arial" w:hAnsi="Arial"/>
                <w:sz w:val="18"/>
                <w:szCs w:val="18"/>
                <w:color w:val="auto"/>
                <w:w w:val="90"/>
              </w:rPr>
              <w:t>Amended and Restated Bylaws of The Toro Company (incorporated by reference to Exhibit 3.2 to Registrant’s Current Report on</w:t>
            </w:r>
          </w:p>
        </w:tc>
      </w:tr>
      <w:tr>
        <w:trPr>
          <w:trHeight w:val="230"/>
        </w:trPr>
        <w:tc>
          <w:tcPr>
            <w:tcW w:w="102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rPr>
              <w:t>Form 8-K dated June 17, 2008, Commission File No. 1-8649).</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4.4</w:t>
            </w:r>
          </w:p>
        </w:tc>
        <w:tc>
          <w:tcPr>
            <w:tcW w:w="9560" w:type="dxa"/>
            <w:vAlign w:val="bottom"/>
          </w:tcPr>
          <w:p>
            <w:pPr>
              <w:ind w:left="220"/>
              <w:spacing w:after="0"/>
              <w:rPr>
                <w:sz w:val="20"/>
                <w:szCs w:val="20"/>
                <w:color w:val="auto"/>
              </w:rPr>
            </w:pPr>
            <w:r>
              <w:rPr>
                <w:rFonts w:ascii="Arial" w:cs="Arial" w:eastAsia="Arial" w:hAnsi="Arial"/>
                <w:sz w:val="18"/>
                <w:szCs w:val="18"/>
                <w:color w:val="auto"/>
                <w:w w:val="95"/>
              </w:rPr>
              <w:t>Specimen Form of Common Stock Certificate (incorporated by reference to Exhibit 4(c) to Registrant’s Quarterly Report on</w:t>
            </w:r>
          </w:p>
        </w:tc>
      </w:tr>
      <w:tr>
        <w:trPr>
          <w:trHeight w:val="230"/>
        </w:trPr>
        <w:tc>
          <w:tcPr>
            <w:tcW w:w="102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rPr>
              <w:t>Form 10-Q for the fiscal quarter ended August 1, 2008, Commission File No. 1-8649).</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4.5</w:t>
            </w:r>
          </w:p>
        </w:tc>
        <w:tc>
          <w:tcPr>
            <w:tcW w:w="9560" w:type="dxa"/>
            <w:vAlign w:val="bottom"/>
          </w:tcPr>
          <w:p>
            <w:pPr>
              <w:ind w:left="220"/>
              <w:spacing w:after="0"/>
              <w:rPr>
                <w:sz w:val="20"/>
                <w:szCs w:val="20"/>
                <w:color w:val="auto"/>
              </w:rPr>
            </w:pPr>
            <w:r>
              <w:rPr>
                <w:rFonts w:ascii="Arial" w:cs="Arial" w:eastAsia="Arial" w:hAnsi="Arial"/>
                <w:sz w:val="18"/>
                <w:szCs w:val="18"/>
                <w:color w:val="auto"/>
                <w:w w:val="90"/>
              </w:rPr>
              <w:t>Indenture dated as of January 31, 1997, between Registrant and First National Trust Association, as Trustee, relating to The Toro</w:t>
            </w:r>
          </w:p>
        </w:tc>
      </w:tr>
      <w:tr>
        <w:trPr>
          <w:trHeight w:val="216"/>
        </w:trPr>
        <w:tc>
          <w:tcPr>
            <w:tcW w:w="1020" w:type="dxa"/>
            <w:vAlign w:val="bottom"/>
          </w:tcPr>
          <w:p>
            <w:pPr>
              <w:spacing w:after="0"/>
              <w:rPr>
                <w:sz w:val="18"/>
                <w:szCs w:val="18"/>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w w:val="93"/>
              </w:rPr>
              <w:t>Company’s 7.80% Debentures due June 15, 2027 (incorporated by reference to Exhibit 4(a) to Registrant’s Current Report on</w:t>
            </w:r>
          </w:p>
        </w:tc>
      </w:tr>
      <w:tr>
        <w:trPr>
          <w:trHeight w:val="230"/>
        </w:trPr>
        <w:tc>
          <w:tcPr>
            <w:tcW w:w="102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rPr>
              <w:t>Form 8-K dated June 24, 1997, Commission File No. 1-8649).</w:t>
            </w:r>
          </w:p>
        </w:tc>
      </w:tr>
    </w:tbl>
    <w:p>
      <w:pPr>
        <w:sectPr>
          <w:pgSz w:w="11900" w:h="16838" w:orient="portrait"/>
          <w:cols w:equalWidth="0" w:num="1">
            <w:col w:w="11420"/>
          </w:cols>
          <w:pgMar w:left="240" w:top="125" w:right="239" w:bottom="0" w:gutter="0" w:footer="0" w:header="0"/>
        </w:sectPr>
      </w:pPr>
    </w:p>
    <w:bookmarkStart w:id="20" w:name="page21"/>
    <w:bookmarkEnd w:id="20"/>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4.6</w:t>
            </w:r>
          </w:p>
        </w:tc>
        <w:tc>
          <w:tcPr>
            <w:tcW w:w="9820" w:type="dxa"/>
            <w:vAlign w:val="bottom"/>
          </w:tcPr>
          <w:p>
            <w:pPr>
              <w:ind w:left="460"/>
              <w:spacing w:after="0"/>
              <w:rPr>
                <w:sz w:val="20"/>
                <w:szCs w:val="20"/>
                <w:color w:val="auto"/>
              </w:rPr>
            </w:pPr>
            <w:r>
              <w:rPr>
                <w:rFonts w:ascii="Arial" w:cs="Arial" w:eastAsia="Arial" w:hAnsi="Arial"/>
                <w:sz w:val="18"/>
                <w:szCs w:val="18"/>
                <w:color w:val="auto"/>
                <w:w w:val="90"/>
              </w:rPr>
              <w:t>Indenture dated as of April 20, 2007, between Registrant and The Bank of New York Trust Company, N.A., as Trustee, relating to</w:t>
            </w:r>
          </w:p>
        </w:tc>
      </w:tr>
      <w:tr>
        <w:trPr>
          <w:trHeight w:val="216"/>
        </w:trPr>
        <w:tc>
          <w:tcPr>
            <w:tcW w:w="780" w:type="dxa"/>
            <w:vAlign w:val="bottom"/>
          </w:tcPr>
          <w:p>
            <w:pPr>
              <w:spacing w:after="0"/>
              <w:rPr>
                <w:sz w:val="18"/>
                <w:szCs w:val="18"/>
                <w:color w:val="auto"/>
              </w:rPr>
            </w:pPr>
          </w:p>
        </w:tc>
        <w:tc>
          <w:tcPr>
            <w:tcW w:w="9820" w:type="dxa"/>
            <w:vAlign w:val="bottom"/>
          </w:tcPr>
          <w:p>
            <w:pPr>
              <w:ind w:left="460"/>
              <w:spacing w:after="0"/>
              <w:rPr>
                <w:sz w:val="20"/>
                <w:szCs w:val="20"/>
                <w:color w:val="auto"/>
              </w:rPr>
            </w:pPr>
            <w:r>
              <w:rPr>
                <w:rFonts w:ascii="Arial" w:cs="Arial" w:eastAsia="Arial" w:hAnsi="Arial"/>
                <w:sz w:val="18"/>
                <w:szCs w:val="18"/>
                <w:color w:val="auto"/>
                <w:w w:val="96"/>
              </w:rPr>
              <w:t>The Toro Company’s 6.625% Notes due May 1, 2037 (incorporated by reference to Exhibit 4.3 to Registrant’s Registration</w:t>
            </w:r>
          </w:p>
        </w:tc>
      </w:tr>
      <w:tr>
        <w:trPr>
          <w:trHeight w:val="230"/>
        </w:trPr>
        <w:tc>
          <w:tcPr>
            <w:tcW w:w="780" w:type="dxa"/>
            <w:vAlign w:val="bottom"/>
          </w:tcPr>
          <w:p>
            <w:pPr>
              <w:spacing w:after="0"/>
              <w:rPr>
                <w:sz w:val="20"/>
                <w:szCs w:val="20"/>
                <w:color w:val="auto"/>
              </w:rPr>
            </w:pPr>
          </w:p>
        </w:tc>
        <w:tc>
          <w:tcPr>
            <w:tcW w:w="9820" w:type="dxa"/>
            <w:vAlign w:val="bottom"/>
          </w:tcPr>
          <w:p>
            <w:pPr>
              <w:ind w:left="460"/>
              <w:spacing w:after="0"/>
              <w:rPr>
                <w:sz w:val="20"/>
                <w:szCs w:val="20"/>
                <w:color w:val="auto"/>
              </w:rPr>
            </w:pPr>
            <w:r>
              <w:rPr>
                <w:rFonts w:ascii="Arial" w:cs="Arial" w:eastAsia="Arial" w:hAnsi="Arial"/>
                <w:sz w:val="18"/>
                <w:szCs w:val="18"/>
                <w:color w:val="auto"/>
                <w:w w:val="94"/>
              </w:rPr>
              <w:t>Statement on Form S-3 filed with the Securities and Exchange Commission on April 23, 2007, Registration No. 333-142282).</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4.7</w:t>
            </w:r>
          </w:p>
        </w:tc>
        <w:tc>
          <w:tcPr>
            <w:tcW w:w="9820" w:type="dxa"/>
            <w:vAlign w:val="bottom"/>
          </w:tcPr>
          <w:p>
            <w:pPr>
              <w:ind w:left="460"/>
              <w:spacing w:after="0"/>
              <w:rPr>
                <w:sz w:val="20"/>
                <w:szCs w:val="20"/>
                <w:color w:val="auto"/>
              </w:rPr>
            </w:pPr>
            <w:r>
              <w:rPr>
                <w:rFonts w:ascii="Arial" w:cs="Arial" w:eastAsia="Arial" w:hAnsi="Arial"/>
                <w:sz w:val="18"/>
                <w:szCs w:val="18"/>
                <w:color w:val="auto"/>
                <w:w w:val="90"/>
              </w:rPr>
              <w:t>First Supplemental Indenture dated as of April 26, 2007, between Registrant and The Bank of New York Trust Company, N.A., as</w:t>
            </w:r>
          </w:p>
        </w:tc>
      </w:tr>
      <w:tr>
        <w:trPr>
          <w:trHeight w:val="216"/>
        </w:trPr>
        <w:tc>
          <w:tcPr>
            <w:tcW w:w="780" w:type="dxa"/>
            <w:vAlign w:val="bottom"/>
          </w:tcPr>
          <w:p>
            <w:pPr>
              <w:spacing w:after="0"/>
              <w:rPr>
                <w:sz w:val="18"/>
                <w:szCs w:val="18"/>
                <w:color w:val="auto"/>
              </w:rPr>
            </w:pPr>
          </w:p>
        </w:tc>
        <w:tc>
          <w:tcPr>
            <w:tcW w:w="9820" w:type="dxa"/>
            <w:vAlign w:val="bottom"/>
          </w:tcPr>
          <w:p>
            <w:pPr>
              <w:ind w:left="460"/>
              <w:spacing w:after="0"/>
              <w:rPr>
                <w:sz w:val="20"/>
                <w:szCs w:val="20"/>
                <w:color w:val="auto"/>
              </w:rPr>
            </w:pPr>
            <w:r>
              <w:rPr>
                <w:rFonts w:ascii="Arial" w:cs="Arial" w:eastAsia="Arial" w:hAnsi="Arial"/>
                <w:sz w:val="18"/>
                <w:szCs w:val="18"/>
                <w:color w:val="auto"/>
                <w:w w:val="91"/>
              </w:rPr>
              <w:t>Trustee, relating to The Toro Company’s 6.625% Notes due May 1, 2037 (incorporated by reference to Exhibit 4.1 to Registrant’s</w:t>
            </w:r>
          </w:p>
        </w:tc>
      </w:tr>
      <w:tr>
        <w:trPr>
          <w:trHeight w:val="230"/>
        </w:trPr>
        <w:tc>
          <w:tcPr>
            <w:tcW w:w="780" w:type="dxa"/>
            <w:vAlign w:val="bottom"/>
          </w:tcPr>
          <w:p>
            <w:pPr>
              <w:spacing w:after="0"/>
              <w:rPr>
                <w:sz w:val="20"/>
                <w:szCs w:val="20"/>
                <w:color w:val="auto"/>
              </w:rPr>
            </w:pPr>
          </w:p>
        </w:tc>
        <w:tc>
          <w:tcPr>
            <w:tcW w:w="9820" w:type="dxa"/>
            <w:vAlign w:val="bottom"/>
          </w:tcPr>
          <w:p>
            <w:pPr>
              <w:ind w:left="460"/>
              <w:spacing w:after="0"/>
              <w:rPr>
                <w:sz w:val="20"/>
                <w:szCs w:val="20"/>
                <w:color w:val="auto"/>
              </w:rPr>
            </w:pPr>
            <w:r>
              <w:rPr>
                <w:rFonts w:ascii="Arial" w:cs="Arial" w:eastAsia="Arial" w:hAnsi="Arial"/>
                <w:sz w:val="18"/>
                <w:szCs w:val="18"/>
                <w:color w:val="auto"/>
              </w:rPr>
              <w:t>Current Report on Form 8-K dated April 23, 2007, Commission File No. 1-8649).</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4.8</w:t>
            </w:r>
          </w:p>
        </w:tc>
        <w:tc>
          <w:tcPr>
            <w:tcW w:w="9820" w:type="dxa"/>
            <w:vAlign w:val="bottom"/>
          </w:tcPr>
          <w:p>
            <w:pPr>
              <w:ind w:left="460"/>
              <w:spacing w:after="0"/>
              <w:rPr>
                <w:sz w:val="20"/>
                <w:szCs w:val="20"/>
                <w:color w:val="auto"/>
              </w:rPr>
            </w:pPr>
            <w:r>
              <w:rPr>
                <w:rFonts w:ascii="Arial" w:cs="Arial" w:eastAsia="Arial" w:hAnsi="Arial"/>
                <w:sz w:val="18"/>
                <w:szCs w:val="18"/>
                <w:color w:val="auto"/>
                <w:w w:val="95"/>
              </w:rPr>
              <w:t>Form of The Toro Company 6.625% Note due May 1, 2037 (incorporated by reference to Exhibit 4.2 to Registrant’s Current</w:t>
            </w:r>
          </w:p>
        </w:tc>
      </w:tr>
      <w:tr>
        <w:trPr>
          <w:trHeight w:val="230"/>
        </w:trPr>
        <w:tc>
          <w:tcPr>
            <w:tcW w:w="780" w:type="dxa"/>
            <w:vAlign w:val="bottom"/>
          </w:tcPr>
          <w:p>
            <w:pPr>
              <w:spacing w:after="0"/>
              <w:rPr>
                <w:sz w:val="20"/>
                <w:szCs w:val="20"/>
                <w:color w:val="auto"/>
              </w:rPr>
            </w:pPr>
          </w:p>
        </w:tc>
        <w:tc>
          <w:tcPr>
            <w:tcW w:w="9820" w:type="dxa"/>
            <w:vAlign w:val="bottom"/>
          </w:tcPr>
          <w:p>
            <w:pPr>
              <w:ind w:left="460"/>
              <w:spacing w:after="0"/>
              <w:rPr>
                <w:sz w:val="20"/>
                <w:szCs w:val="20"/>
                <w:color w:val="auto"/>
              </w:rPr>
            </w:pPr>
            <w:r>
              <w:rPr>
                <w:rFonts w:ascii="Arial" w:cs="Arial" w:eastAsia="Arial" w:hAnsi="Arial"/>
                <w:sz w:val="18"/>
                <w:szCs w:val="18"/>
                <w:color w:val="auto"/>
              </w:rPr>
              <w:t>Report on Form 8-K dated April 23, 2007, Commission File No. 1-8649).</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9820" w:type="dxa"/>
            <w:vAlign w:val="bottom"/>
          </w:tcPr>
          <w:p>
            <w:pPr>
              <w:ind w:left="460"/>
              <w:spacing w:after="0"/>
              <w:rPr>
                <w:sz w:val="20"/>
                <w:szCs w:val="20"/>
                <w:color w:val="auto"/>
              </w:rPr>
            </w:pPr>
            <w:r>
              <w:rPr>
                <w:rFonts w:ascii="Arial" w:cs="Arial" w:eastAsia="Arial" w:hAnsi="Arial"/>
                <w:sz w:val="18"/>
                <w:szCs w:val="18"/>
                <w:color w:val="auto"/>
                <w:w w:val="97"/>
              </w:rPr>
              <w:t>Certification of Chief Executive Officer Pursuant to Rule 13a-14(a) (Section 302 of the Sarbanes-Oxley Act of 2002) (filed</w:t>
            </w:r>
          </w:p>
        </w:tc>
      </w:tr>
      <w:tr>
        <w:trPr>
          <w:trHeight w:val="230"/>
        </w:trPr>
        <w:tc>
          <w:tcPr>
            <w:tcW w:w="780" w:type="dxa"/>
            <w:vAlign w:val="bottom"/>
          </w:tcPr>
          <w:p>
            <w:pPr>
              <w:spacing w:after="0"/>
              <w:rPr>
                <w:sz w:val="20"/>
                <w:szCs w:val="20"/>
                <w:color w:val="auto"/>
              </w:rPr>
            </w:pPr>
          </w:p>
        </w:tc>
        <w:tc>
          <w:tcPr>
            <w:tcW w:w="9820" w:type="dxa"/>
            <w:vAlign w:val="bottom"/>
          </w:tcPr>
          <w:p>
            <w:pPr>
              <w:ind w:left="460"/>
              <w:spacing w:after="0"/>
              <w:rPr>
                <w:sz w:val="20"/>
                <w:szCs w:val="20"/>
                <w:color w:val="auto"/>
              </w:rPr>
            </w:pPr>
            <w:r>
              <w:rPr>
                <w:rFonts w:ascii="Arial" w:cs="Arial" w:eastAsia="Arial" w:hAnsi="Arial"/>
                <w:sz w:val="18"/>
                <w:szCs w:val="18"/>
                <w:color w:val="auto"/>
              </w:rPr>
              <w:t>herewith).</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9820" w:type="dxa"/>
            <w:vAlign w:val="bottom"/>
          </w:tcPr>
          <w:p>
            <w:pPr>
              <w:ind w:left="460"/>
              <w:spacing w:after="0"/>
              <w:rPr>
                <w:sz w:val="20"/>
                <w:szCs w:val="20"/>
                <w:color w:val="auto"/>
              </w:rPr>
            </w:pPr>
            <w:r>
              <w:rPr>
                <w:rFonts w:ascii="Arial" w:cs="Arial" w:eastAsia="Arial" w:hAnsi="Arial"/>
                <w:sz w:val="18"/>
                <w:szCs w:val="18"/>
                <w:color w:val="auto"/>
                <w:w w:val="97"/>
              </w:rPr>
              <w:t>Certification of Chief Financial Officer Pursuant to Rule 13a-14(a) (Section 302 of the Sarbanes-Oxley Act of 2002) (filed</w:t>
            </w:r>
          </w:p>
        </w:tc>
      </w:tr>
      <w:tr>
        <w:trPr>
          <w:trHeight w:val="230"/>
        </w:trPr>
        <w:tc>
          <w:tcPr>
            <w:tcW w:w="780" w:type="dxa"/>
            <w:vAlign w:val="bottom"/>
          </w:tcPr>
          <w:p>
            <w:pPr>
              <w:spacing w:after="0"/>
              <w:rPr>
                <w:sz w:val="20"/>
                <w:szCs w:val="20"/>
                <w:color w:val="auto"/>
              </w:rPr>
            </w:pPr>
          </w:p>
        </w:tc>
        <w:tc>
          <w:tcPr>
            <w:tcW w:w="9820" w:type="dxa"/>
            <w:vAlign w:val="bottom"/>
          </w:tcPr>
          <w:p>
            <w:pPr>
              <w:ind w:left="460"/>
              <w:spacing w:after="0"/>
              <w:rPr>
                <w:sz w:val="20"/>
                <w:szCs w:val="20"/>
                <w:color w:val="auto"/>
              </w:rPr>
            </w:pPr>
            <w:r>
              <w:rPr>
                <w:rFonts w:ascii="Arial" w:cs="Arial" w:eastAsia="Arial" w:hAnsi="Arial"/>
                <w:sz w:val="18"/>
                <w:szCs w:val="18"/>
                <w:color w:val="auto"/>
              </w:rPr>
              <w:t>herewith).</w:t>
            </w:r>
          </w:p>
        </w:tc>
      </w:tr>
    </w:tbl>
    <w:p>
      <w:pPr>
        <w:spacing w:after="0" w:line="202" w:lineRule="exact"/>
        <w:rPr>
          <w:sz w:val="20"/>
          <w:szCs w:val="20"/>
          <w:color w:val="auto"/>
        </w:rPr>
      </w:pPr>
    </w:p>
    <w:p>
      <w:pPr>
        <w:ind w:left="2040" w:right="140" w:hanging="1249"/>
        <w:spacing w:after="0" w:line="277" w:lineRule="auto"/>
        <w:tabs>
          <w:tab w:leader="none" w:pos="2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170" w:lineRule="exact"/>
        <w:rPr>
          <w:sz w:val="20"/>
          <w:szCs w:val="20"/>
          <w:color w:val="auto"/>
        </w:rPr>
      </w:pPr>
    </w:p>
    <w:p>
      <w:pPr>
        <w:ind w:left="2040" w:right="320" w:hanging="1249"/>
        <w:spacing w:after="0" w:line="291" w:lineRule="auto"/>
        <w:tabs>
          <w:tab w:leader="none" w:pos="2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financial information from The Toro Company’s Quarterly Report on Form 10-Q for the quarterly period ended August 2, 2013, filed with the SEC on September 4, 2013, formatted in eXtensible Business Reporting Language (XBRL):</w:t>
      </w:r>
    </w:p>
    <w:p>
      <w:pPr>
        <w:ind w:left="2040" w:right="220"/>
        <w:spacing w:after="0" w:line="271" w:lineRule="auto"/>
        <w:rPr>
          <w:rFonts w:ascii="Arial" w:cs="Arial" w:eastAsia="Arial" w:hAnsi="Arial"/>
          <w:sz w:val="16"/>
          <w:szCs w:val="16"/>
          <w:color w:val="auto"/>
        </w:rPr>
      </w:pPr>
      <w:r>
        <w:rPr>
          <w:rFonts w:ascii="Arial" w:cs="Arial" w:eastAsia="Arial" w:hAnsi="Arial"/>
          <w:sz w:val="17"/>
          <w:szCs w:val="17"/>
          <w:color w:val="auto"/>
        </w:rPr>
        <w:t>(i) Condensed Consolidated Statements of Earnings for the three and nine-month periods ended August 2, 2013 and August 3, 2012, (ii) Condensed Consolidated Statements of Comprehensive Income for the three and nine-month periods ended August 2, 2013 and August 3, 2012, (iii) Condensed Consolidated Balance Sheets as of August 2, 2013, August 3, 2012, and October 31, 2012, (iv) Condensed Consolidated Statement of Cash Flows for the three and nine-month periods ended August 2, 2013 and August 3, 2012, and (v) Notes to Condensed Consolidated Financial Statements.</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8120" w:type="dxa"/>
            <w:vAlign w:val="bottom"/>
            <w:gridSpan w:val="2"/>
          </w:tcPr>
          <w:p>
            <w:pPr>
              <w:jc w:val="center"/>
              <w:ind w:right="3210"/>
              <w:spacing w:after="0"/>
              <w:rPr>
                <w:sz w:val="20"/>
                <w:szCs w:val="20"/>
                <w:color w:val="auto"/>
              </w:rPr>
            </w:pPr>
            <w:r>
              <w:rPr>
                <w:rFonts w:ascii="Arial" w:cs="Arial" w:eastAsia="Arial" w:hAnsi="Arial"/>
                <w:sz w:val="18"/>
                <w:szCs w:val="18"/>
                <w:color w:val="auto"/>
                <w:w w:val="96"/>
              </w:rPr>
              <w:t>THE TORO COMPANY</w:t>
            </w:r>
          </w:p>
        </w:tc>
        <w:tc>
          <w:tcPr>
            <w:tcW w:w="40" w:type="dxa"/>
            <w:vAlign w:val="bottom"/>
          </w:tcPr>
          <w:p>
            <w:pPr>
              <w:spacing w:after="0"/>
              <w:rPr>
                <w:sz w:val="18"/>
                <w:szCs w:val="18"/>
                <w:color w:val="auto"/>
              </w:rPr>
            </w:pPr>
          </w:p>
        </w:tc>
      </w:tr>
      <w:tr>
        <w:trPr>
          <w:trHeight w:val="230"/>
        </w:trPr>
        <w:tc>
          <w:tcPr>
            <w:tcW w:w="3300" w:type="dxa"/>
            <w:vAlign w:val="bottom"/>
          </w:tcPr>
          <w:p>
            <w:pPr>
              <w:spacing w:after="0"/>
              <w:rPr>
                <w:sz w:val="20"/>
                <w:szCs w:val="20"/>
                <w:color w:val="auto"/>
              </w:rPr>
            </w:pPr>
          </w:p>
        </w:tc>
        <w:tc>
          <w:tcPr>
            <w:tcW w:w="8120" w:type="dxa"/>
            <w:vAlign w:val="bottom"/>
            <w:gridSpan w:val="2"/>
          </w:tcPr>
          <w:p>
            <w:pPr>
              <w:jc w:val="center"/>
              <w:ind w:right="3210"/>
              <w:spacing w:after="0"/>
              <w:rPr>
                <w:sz w:val="20"/>
                <w:szCs w:val="20"/>
                <w:color w:val="auto"/>
              </w:rPr>
            </w:pPr>
            <w:r>
              <w:rPr>
                <w:rFonts w:ascii="Arial" w:cs="Arial" w:eastAsia="Arial" w:hAnsi="Arial"/>
                <w:sz w:val="18"/>
                <w:szCs w:val="18"/>
                <w:color w:val="auto"/>
                <w:w w:val="91"/>
              </w:rPr>
              <w:t>(Registrant)</w:t>
            </w:r>
          </w:p>
        </w:tc>
        <w:tc>
          <w:tcPr>
            <w:tcW w:w="40" w:type="dxa"/>
            <w:vAlign w:val="bottom"/>
          </w:tcPr>
          <w:p>
            <w:pPr>
              <w:spacing w:after="0"/>
              <w:rPr>
                <w:sz w:val="20"/>
                <w:szCs w:val="20"/>
                <w:color w:val="auto"/>
              </w:rPr>
            </w:pP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 September 4, 2013</w:t>
            </w: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3300" w:type="dxa"/>
            <w:vAlign w:val="bottom"/>
          </w:tcPr>
          <w:p>
            <w:pPr>
              <w:spacing w:after="0"/>
              <w:rPr>
                <w:sz w:val="15"/>
                <w:szCs w:val="15"/>
                <w:color w:val="auto"/>
              </w:rPr>
            </w:pPr>
          </w:p>
        </w:tc>
        <w:tc>
          <w:tcPr>
            <w:tcW w:w="2800" w:type="dxa"/>
            <w:vAlign w:val="bottom"/>
          </w:tcPr>
          <w:p>
            <w:pPr>
              <w:ind w:left="2420"/>
              <w:spacing w:after="0" w:line="182" w:lineRule="exact"/>
              <w:rPr>
                <w:sz w:val="20"/>
                <w:szCs w:val="20"/>
                <w:color w:val="auto"/>
              </w:rPr>
            </w:pPr>
            <w:r>
              <w:rPr>
                <w:rFonts w:ascii="Arial" w:cs="Arial" w:eastAsia="Arial" w:hAnsi="Arial"/>
                <w:sz w:val="17"/>
                <w:szCs w:val="17"/>
                <w:color w:val="auto"/>
                <w:w w:val="71"/>
              </w:rPr>
              <w:t>Renee</w:t>
            </w:r>
          </w:p>
        </w:tc>
        <w:tc>
          <w:tcPr>
            <w:tcW w:w="532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rPr>
              <w:t>Vice President, Treasurer</w:t>
            </w:r>
          </w:p>
        </w:tc>
        <w:tc>
          <w:tcPr>
            <w:tcW w:w="4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rPr>
              <w:t>and Chief Financial Officer</w:t>
            </w:r>
          </w:p>
        </w:tc>
        <w:tc>
          <w:tcPr>
            <w:tcW w:w="40" w:type="dxa"/>
            <w:vAlign w:val="bottom"/>
          </w:tcPr>
          <w:p>
            <w:pPr>
              <w:spacing w:after="0"/>
              <w:rPr>
                <w:sz w:val="18"/>
                <w:szCs w:val="18"/>
                <w:color w:val="auto"/>
              </w:rPr>
            </w:pPr>
          </w:p>
        </w:tc>
      </w:tr>
      <w:tr>
        <w:trPr>
          <w:trHeight w:val="230"/>
        </w:trPr>
        <w:tc>
          <w:tcPr>
            <w:tcW w:w="3300" w:type="dxa"/>
            <w:vAlign w:val="bottom"/>
          </w:tcPr>
          <w:p>
            <w:pPr>
              <w:spacing w:after="0"/>
              <w:rPr>
                <w:sz w:val="20"/>
                <w:szCs w:val="20"/>
                <w:color w:val="auto"/>
              </w:rPr>
            </w:pP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rPr>
              <w:t>(duly authorized officer and principal financial officer)</w:t>
            </w:r>
          </w:p>
        </w:tc>
        <w:tc>
          <w:tcPr>
            <w:tcW w:w="40" w:type="dxa"/>
            <w:vAlign w:val="bottom"/>
          </w:tcPr>
          <w:p>
            <w:pPr>
              <w:spacing w:after="0"/>
              <w:rPr>
                <w:sz w:val="20"/>
                <w:szCs w:val="20"/>
                <w:color w:val="auto"/>
              </w:rPr>
            </w:pPr>
          </w:p>
        </w:tc>
      </w:tr>
      <w:tr>
        <w:trPr>
          <w:trHeight w:val="432"/>
        </w:trPr>
        <w:tc>
          <w:tcPr>
            <w:tcW w:w="3300" w:type="dxa"/>
            <w:vAlign w:val="bottom"/>
          </w:tcPr>
          <w:p>
            <w:pPr>
              <w:spacing w:after="0"/>
              <w:rPr>
                <w:sz w:val="24"/>
                <w:szCs w:val="24"/>
                <w:color w:val="auto"/>
              </w:rPr>
            </w:pPr>
          </w:p>
        </w:tc>
        <w:tc>
          <w:tcPr>
            <w:tcW w:w="2800" w:type="dxa"/>
            <w:vAlign w:val="bottom"/>
          </w:tcPr>
          <w:p>
            <w:pPr>
              <w:jc w:val="center"/>
              <w:ind w:left="1931"/>
              <w:spacing w:after="0"/>
              <w:rPr>
                <w:sz w:val="20"/>
                <w:szCs w:val="20"/>
                <w:color w:val="auto"/>
              </w:rPr>
            </w:pPr>
            <w:r>
              <w:rPr>
                <w:rFonts w:ascii="Arial" w:cs="Arial" w:eastAsia="Arial" w:hAnsi="Arial"/>
                <w:sz w:val="18"/>
                <w:szCs w:val="18"/>
                <w:color w:val="auto"/>
                <w:w w:val="89"/>
              </w:rPr>
              <w:t>30</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30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5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40" w:hanging="328"/>
        <w:spacing w:after="0" w:line="308" w:lineRule="auto"/>
        <w:tabs>
          <w:tab w:leader="none" w:pos="701"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00" w:hanging="328"/>
        <w:spacing w:after="0" w:line="264" w:lineRule="auto"/>
        <w:tabs>
          <w:tab w:leader="none" w:pos="66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August 2, 2013 as filed with the Securities and Exchange Commission on the date hereof (the “Report”), we, Michael J. Hoffman,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2013</w:t>
      </w:r>
    </w:p>
    <w:p>
      <w:pPr>
        <w:spacing w:after="0" w:line="21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decimal"/>
      <w:start w:val="32"/>
    </w:lvl>
  </w:abstractNum>
  <w:abstractNum w:abstractNumId="8">
    <w:nsid w:val="216231B"/>
    <w:multiLevelType w:val="hybridMultilevel"/>
    <w:lvl w:ilvl="0">
      <w:lvlJc w:val="left"/>
      <w:lvlText w:val="%1"/>
      <w:numFmt w:val="decimal"/>
      <w:start w:val="10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2019-12-05T21:10:01Z</dcterms:created>
  <dcterms:modified xsi:type="dcterms:W3CDTF">2019-12-05T21:10:01Z</dcterms:modified>
</cp:coreProperties>
</file>