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80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8002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02/23/2015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G</w:t>
            </w:r>
          </w:p>
        </w:tc>
        <w:tc>
          <w:tcPr>
            <w:tcW w:w="420" w:type="dxa"/>
            <w:vAlign w:val="bottom"/>
            <w:tcBorders>
              <w:bottom w:val="single" w:sz="8" w:color="2C2C2C"/>
            </w:tcBorders>
          </w:tcPr>
          <w:p>
            <w:pPr>
              <w:jc w:val="right"/>
              <w:ind w:right="118"/>
              <w:spacing w:after="0"/>
              <w:rPr>
                <w:sz w:val="20"/>
                <w:szCs w:val="20"/>
                <w:color w:val="auto"/>
              </w:rPr>
            </w:pPr>
            <w:r>
              <w:rPr>
                <w:rFonts w:ascii="Arial" w:cs="Arial" w:eastAsia="Arial" w:hAnsi="Arial"/>
                <w:sz w:val="14"/>
                <w:szCs w:val="14"/>
                <w:color w:val="0000FF"/>
              </w:rPr>
              <w:t>V</w:t>
            </w:r>
          </w:p>
        </w:tc>
        <w:tc>
          <w:tcPr>
            <w:tcW w:w="78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6"/>
              </w:rPr>
              <w:t>150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169.32</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03/12/2015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ind w:left="14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5,340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21.165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5,509.32</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03/12/2015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5,340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68.166</w:t>
            </w:r>
            <w:r>
              <w:rPr>
                <w:rFonts w:ascii="Arial" w:cs="Arial" w:eastAsia="Arial" w:hAnsi="Arial"/>
                <w:sz w:val="22"/>
                <w:szCs w:val="22"/>
                <w:color w:val="008000"/>
                <w:w w:val="86"/>
                <w:vertAlign w:val="superscript"/>
              </w:rPr>
              <w:t>(2)</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169.32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145.437</w:t>
            </w:r>
            <w:r>
              <w:rPr>
                <w:rFonts w:ascii="Arial" w:cs="Arial" w:eastAsia="Arial" w:hAnsi="Arial"/>
                <w:sz w:val="22"/>
                <w:szCs w:val="22"/>
                <w:color w:val="008000"/>
                <w:w w:val="84"/>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6"/>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117.162</w:t>
            </w:r>
            <w:r>
              <w:rPr>
                <w:rFonts w:ascii="Arial" w:cs="Arial" w:eastAsia="Arial" w:hAnsi="Arial"/>
                <w:sz w:val="22"/>
                <w:szCs w:val="22"/>
                <w:color w:val="008000"/>
                <w:w w:val="84"/>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41,521.292</w:t>
            </w:r>
            <w:r>
              <w:rPr>
                <w:rFonts w:ascii="Arial" w:cs="Arial" w:eastAsia="Arial" w:hAnsi="Arial"/>
                <w:sz w:val="22"/>
                <w:szCs w:val="22"/>
                <w:color w:val="008000"/>
                <w:w w:val="85"/>
                <w:vertAlign w:val="superscript"/>
              </w:rPr>
              <w:t>(5)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Date</w:t>
            </w:r>
          </w:p>
        </w:tc>
        <w:tc>
          <w:tcPr>
            <w:tcW w:w="42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21.165</w:t>
            </w:r>
          </w:p>
        </w:tc>
        <w:tc>
          <w:tcPr>
            <w:tcW w:w="1140" w:type="dxa"/>
            <w:vAlign w:val="bottom"/>
          </w:tcPr>
          <w:p>
            <w:pPr>
              <w:ind w:left="260"/>
              <w:spacing w:after="0"/>
              <w:rPr>
                <w:sz w:val="20"/>
                <w:szCs w:val="20"/>
                <w:color w:val="auto"/>
              </w:rPr>
            </w:pPr>
            <w:r>
              <w:rPr>
                <w:rFonts w:ascii="Arial" w:cs="Arial" w:eastAsia="Arial" w:hAnsi="Arial"/>
                <w:sz w:val="14"/>
                <w:szCs w:val="14"/>
                <w:color w:val="0000FF"/>
              </w:rPr>
              <w:t>03/12/2015</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5,340</w:t>
            </w:r>
          </w:p>
        </w:tc>
        <w:tc>
          <w:tcPr>
            <w:tcW w:w="400" w:type="dxa"/>
            <w:vAlign w:val="bottom"/>
          </w:tcPr>
          <w:p>
            <w:pPr>
              <w:spacing w:after="0"/>
              <w:rPr>
                <w:sz w:val="17"/>
                <w:szCs w:val="17"/>
                <w:color w:val="auto"/>
              </w:rPr>
            </w:pPr>
          </w:p>
        </w:tc>
        <w:tc>
          <w:tcPr>
            <w:tcW w:w="420" w:type="dxa"/>
            <w:vAlign w:val="bottom"/>
          </w:tcPr>
          <w:p>
            <w:pPr>
              <w:jc w:val="right"/>
              <w:ind w:right="218"/>
              <w:spacing w:after="0"/>
              <w:rPr>
                <w:sz w:val="20"/>
                <w:szCs w:val="20"/>
                <w:color w:val="auto"/>
              </w:rPr>
            </w:pPr>
            <w:r>
              <w:rPr>
                <w:rFonts w:ascii="Arial" w:cs="Arial" w:eastAsia="Arial" w:hAnsi="Arial"/>
                <w:sz w:val="11"/>
                <w:szCs w:val="11"/>
                <w:color w:val="008000"/>
                <w:w w:val="88"/>
              </w:rPr>
              <w:t>(6)</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09/19/2016</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5,340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4"/>
                <w:szCs w:val="14"/>
                <w:color w:val="0000FF"/>
                <w:w w:val="76"/>
              </w:rPr>
              <w:t>0</w:t>
            </w:r>
          </w:p>
        </w:tc>
        <w:tc>
          <w:tcPr>
            <w:tcW w:w="32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owned directly by Mr. Dordell were inadvertently reported as being owned through a trust on previous Form 4 filings.</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$68.085 to $68.355,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0.592 shares of common stock acquired by the reporting person since the date of his last report under The Toro Company Dividend Reinvestment Plan.</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0.035 net shares acquired under the dividend reinvestment feature of The Toro Company Investment, Savings &amp; ESOP (the "IS&amp;ESOP") less quarterly non-discretionary administrative fees; and 57.894 shares acquired through issuer annual investment fund contributions to the IS&amp;ESOP.</w:t>
      </w: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168.38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anniversay of the date of grant, which was September 19,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03/16/2015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2019-12-23T20:45:16Z</dcterms:created>
  <dcterms:modified xsi:type="dcterms:W3CDTF">2019-12-23T20:45:16Z</dcterms:modified>
</cp:coreProperties>
</file>