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9153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Larson Thomas J</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12/03/2008</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6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4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40" w:type="dxa"/>
            <w:vAlign w:val="bottom"/>
          </w:tcPr>
          <w:p>
            <w:pPr>
              <w:ind w:left="1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6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40" w:type="dxa"/>
            <w:vAlign w:val="bottom"/>
          </w:tcPr>
          <w:p>
            <w:pPr>
              <w:spacing w:after="0"/>
              <w:rPr>
                <w:sz w:val="21"/>
                <w:szCs w:val="21"/>
                <w:color w:val="auto"/>
              </w:rPr>
            </w:pPr>
          </w:p>
        </w:tc>
        <w:tc>
          <w:tcPr>
            <w:tcW w:w="1640" w:type="dxa"/>
            <w:vAlign w:val="bottom"/>
          </w:tcPr>
          <w:p>
            <w:pPr>
              <w:ind w:left="880"/>
              <w:spacing w:after="0"/>
              <w:rPr>
                <w:sz w:val="20"/>
                <w:szCs w:val="20"/>
                <w:color w:val="auto"/>
              </w:rPr>
            </w:pPr>
            <w:r>
              <w:rPr>
                <w:rFonts w:ascii="Arial" w:cs="Arial" w:eastAsia="Arial" w:hAnsi="Arial"/>
                <w:sz w:val="17"/>
                <w:szCs w:val="17"/>
                <w:color w:val="0000FF"/>
              </w:rPr>
              <w:t>Treasurer</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5"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8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6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800"/>
              <w:spacing w:after="0"/>
              <w:rPr>
                <w:sz w:val="20"/>
                <w:szCs w:val="20"/>
                <w:color w:val="auto"/>
              </w:rPr>
            </w:pPr>
            <w:r>
              <w:rPr>
                <w:rFonts w:ascii="Arial" w:cs="Arial" w:eastAsia="Arial" w:hAnsi="Arial"/>
                <w:sz w:val="17"/>
                <w:szCs w:val="17"/>
                <w:color w:val="0000FF"/>
              </w:rPr>
              <w:t>12/04/2008</w:t>
            </w: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M</w:t>
            </w:r>
          </w:p>
        </w:tc>
        <w:tc>
          <w:tcPr>
            <w:tcW w:w="740" w:type="dxa"/>
            <w:vAlign w:val="bottom"/>
          </w:tcPr>
          <w:p>
            <w:pPr>
              <w:ind w:left="200"/>
              <w:spacing w:after="0"/>
              <w:rPr>
                <w:sz w:val="20"/>
                <w:szCs w:val="20"/>
                <w:color w:val="auto"/>
              </w:rPr>
            </w:pPr>
            <w:r>
              <w:rPr>
                <w:rFonts w:ascii="Arial" w:cs="Arial" w:eastAsia="Arial" w:hAnsi="Arial"/>
                <w:sz w:val="17"/>
                <w:szCs w:val="17"/>
                <w:color w:val="0000FF"/>
              </w:rPr>
              <w:t>3,080</w:t>
            </w:r>
          </w:p>
        </w:tc>
        <w:tc>
          <w:tcPr>
            <w:tcW w:w="66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Pr>
          <w:p>
            <w:pPr>
              <w:jc w:val="right"/>
              <w:ind w:right="2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24.16</w:t>
            </w: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89"/>
              </w:rPr>
              <w:t>3,336.288</w:t>
            </w:r>
          </w:p>
        </w:tc>
        <w:tc>
          <w:tcPr>
            <w:tcW w:w="320" w:type="dxa"/>
            <w:vAlign w:val="bottom"/>
          </w:tcPr>
          <w:p>
            <w:pPr>
              <w:spacing w:after="0"/>
              <w:rPr>
                <w:sz w:val="23"/>
                <w:szCs w:val="23"/>
                <w:color w:val="auto"/>
              </w:rPr>
            </w:pP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800"/>
              <w:spacing w:after="0"/>
              <w:rPr>
                <w:sz w:val="20"/>
                <w:szCs w:val="20"/>
                <w:color w:val="auto"/>
              </w:rPr>
            </w:pPr>
            <w:r>
              <w:rPr>
                <w:rFonts w:ascii="Arial" w:cs="Arial" w:eastAsia="Arial" w:hAnsi="Arial"/>
                <w:sz w:val="17"/>
                <w:szCs w:val="17"/>
                <w:color w:val="0000FF"/>
              </w:rPr>
              <w:t>12/04/2008</w:t>
            </w: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Pr>
          <w:p>
            <w:pPr>
              <w:ind w:left="200"/>
              <w:spacing w:after="0"/>
              <w:rPr>
                <w:sz w:val="20"/>
                <w:szCs w:val="20"/>
                <w:color w:val="auto"/>
              </w:rPr>
            </w:pPr>
            <w:r>
              <w:rPr>
                <w:rFonts w:ascii="Arial" w:cs="Arial" w:eastAsia="Arial" w:hAnsi="Arial"/>
                <w:sz w:val="17"/>
                <w:szCs w:val="17"/>
                <w:color w:val="0000FF"/>
              </w:rPr>
              <w:t>2,767</w:t>
            </w:r>
          </w:p>
        </w:tc>
        <w:tc>
          <w:tcPr>
            <w:tcW w:w="660" w:type="dxa"/>
            <w:vAlign w:val="bottom"/>
          </w:tcPr>
          <w:p>
            <w:pPr>
              <w:jc w:val="center"/>
              <w:spacing w:after="0"/>
              <w:rPr>
                <w:sz w:val="20"/>
                <w:szCs w:val="20"/>
                <w:color w:val="auto"/>
              </w:rPr>
            </w:pPr>
            <w:r>
              <w:rPr>
                <w:rFonts w:ascii="Arial" w:cs="Arial" w:eastAsia="Arial" w:hAnsi="Arial"/>
                <w:sz w:val="17"/>
                <w:szCs w:val="17"/>
                <w:color w:val="0000FF"/>
              </w:rPr>
              <w:t>D</w:t>
            </w:r>
          </w:p>
        </w:tc>
        <w:tc>
          <w:tcPr>
            <w:tcW w:w="600" w:type="dxa"/>
            <w:vAlign w:val="bottom"/>
          </w:tcPr>
          <w:p>
            <w:pPr>
              <w:jc w:val="right"/>
              <w:ind w:right="2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28.45</w:t>
            </w: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569.288</w:t>
            </w:r>
          </w:p>
        </w:tc>
        <w:tc>
          <w:tcPr>
            <w:tcW w:w="320" w:type="dxa"/>
            <w:vAlign w:val="bottom"/>
          </w:tcPr>
          <w:p>
            <w:pPr>
              <w:spacing w:after="0"/>
              <w:rPr>
                <w:sz w:val="23"/>
                <w:szCs w:val="23"/>
                <w:color w:val="auto"/>
              </w:rPr>
            </w:pP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89"/>
              </w:rPr>
              <w:t>1,248.183</w:t>
            </w:r>
          </w:p>
        </w:tc>
        <w:tc>
          <w:tcPr>
            <w:tcW w:w="320" w:type="dxa"/>
            <w:vAlign w:val="bottom"/>
          </w:tcPr>
          <w:p>
            <w:pPr>
              <w:spacing w:after="0"/>
              <w:rPr>
                <w:sz w:val="18"/>
                <w:szCs w:val="18"/>
                <w:color w:val="auto"/>
              </w:rPr>
            </w:pPr>
          </w:p>
        </w:tc>
        <w:tc>
          <w:tcPr>
            <w:tcW w:w="600" w:type="dxa"/>
            <w:vAlign w:val="bottom"/>
          </w:tcPr>
          <w:p>
            <w:pPr>
              <w:jc w:val="center"/>
              <w:ind w:right="31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10"/>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Acquired (A)</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90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1380" w:type="dxa"/>
            <w:vAlign w:val="bottom"/>
            <w:gridSpan w:val="3"/>
            <w:vMerge w:val="restart"/>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28.62</w:t>
            </w:r>
          </w:p>
        </w:tc>
        <w:tc>
          <w:tcPr>
            <w:tcW w:w="1080" w:type="dxa"/>
            <w:vAlign w:val="bottom"/>
          </w:tcPr>
          <w:p>
            <w:pPr>
              <w:jc w:val="right"/>
              <w:ind w:right="157"/>
              <w:spacing w:after="0"/>
              <w:rPr>
                <w:sz w:val="20"/>
                <w:szCs w:val="20"/>
                <w:color w:val="auto"/>
              </w:rPr>
            </w:pPr>
            <w:r>
              <w:rPr>
                <w:rFonts w:ascii="Arial" w:cs="Arial" w:eastAsia="Arial" w:hAnsi="Arial"/>
                <w:sz w:val="13"/>
                <w:szCs w:val="13"/>
                <w:color w:val="0000FF"/>
              </w:rPr>
              <w:t>12/03/2008</w:t>
            </w:r>
          </w:p>
        </w:tc>
        <w:tc>
          <w:tcPr>
            <w:tcW w:w="116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20"/>
                <w:szCs w:val="20"/>
                <w:color w:val="auto"/>
              </w:rPr>
            </w:pPr>
          </w:p>
        </w:tc>
        <w:tc>
          <w:tcPr>
            <w:tcW w:w="460" w:type="dxa"/>
            <w:vAlign w:val="bottom"/>
          </w:tcPr>
          <w:p>
            <w:pPr>
              <w:ind w:left="100"/>
              <w:spacing w:after="0"/>
              <w:rPr>
                <w:sz w:val="20"/>
                <w:szCs w:val="20"/>
                <w:color w:val="auto"/>
              </w:rPr>
            </w:pPr>
            <w:r>
              <w:rPr>
                <w:rFonts w:ascii="Arial" w:cs="Arial" w:eastAsia="Arial" w:hAnsi="Arial"/>
                <w:sz w:val="13"/>
                <w:szCs w:val="13"/>
                <w:color w:val="0000FF"/>
              </w:rPr>
              <w:t>4,200</w:t>
            </w:r>
          </w:p>
        </w:tc>
        <w:tc>
          <w:tcPr>
            <w:tcW w:w="44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1"/>
                <w:szCs w:val="11"/>
                <w:color w:val="008000"/>
              </w:rPr>
              <w:t>(1)</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12/03/2018</w:t>
            </w:r>
          </w:p>
        </w:tc>
        <w:tc>
          <w:tcPr>
            <w:tcW w:w="660" w:type="dxa"/>
            <w:vAlign w:val="bottom"/>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tcPr>
          <w:p>
            <w:pPr>
              <w:jc w:val="right"/>
              <w:ind w:right="49"/>
              <w:spacing w:after="0"/>
              <w:rPr>
                <w:sz w:val="20"/>
                <w:szCs w:val="20"/>
                <w:color w:val="auto"/>
              </w:rPr>
            </w:pPr>
            <w:r>
              <w:rPr>
                <w:rFonts w:ascii="Arial" w:cs="Arial" w:eastAsia="Arial" w:hAnsi="Arial"/>
                <w:sz w:val="17"/>
                <w:szCs w:val="17"/>
                <w:color w:val="0000FF"/>
              </w:rPr>
              <w:t>4,200</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0000FF"/>
              </w:rPr>
              <w:t>4,200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Stock</w:t>
            </w:r>
          </w:p>
        </w:tc>
        <w:tc>
          <w:tcPr>
            <w:tcW w:w="6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24.16</w:t>
            </w:r>
          </w:p>
        </w:tc>
        <w:tc>
          <w:tcPr>
            <w:tcW w:w="1080" w:type="dxa"/>
            <w:vAlign w:val="bottom"/>
          </w:tcPr>
          <w:p>
            <w:pPr>
              <w:jc w:val="right"/>
              <w:ind w:right="157"/>
              <w:spacing w:after="0"/>
              <w:rPr>
                <w:sz w:val="20"/>
                <w:szCs w:val="20"/>
                <w:color w:val="auto"/>
              </w:rPr>
            </w:pPr>
            <w:r>
              <w:rPr>
                <w:rFonts w:ascii="Arial" w:cs="Arial" w:eastAsia="Arial" w:hAnsi="Arial"/>
                <w:sz w:val="13"/>
                <w:szCs w:val="13"/>
                <w:color w:val="0000FF"/>
              </w:rPr>
              <w:t>12/04/2008</w:t>
            </w:r>
          </w:p>
        </w:tc>
        <w:tc>
          <w:tcPr>
            <w:tcW w:w="1160" w:type="dxa"/>
            <w:vAlign w:val="bottom"/>
          </w:tcPr>
          <w:p>
            <w:pPr>
              <w:spacing w:after="0"/>
              <w:rPr>
                <w:sz w:val="20"/>
                <w:szCs w:val="20"/>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ind w:left="80"/>
              <w:spacing w:after="0"/>
              <w:rPr>
                <w:sz w:val="20"/>
                <w:szCs w:val="20"/>
                <w:color w:val="auto"/>
              </w:rPr>
            </w:pPr>
            <w:r>
              <w:rPr>
                <w:rFonts w:ascii="Arial" w:cs="Arial" w:eastAsia="Arial" w:hAnsi="Arial"/>
                <w:sz w:val="13"/>
                <w:szCs w:val="13"/>
                <w:color w:val="0000FF"/>
              </w:rPr>
              <w:t>3,080</w:t>
            </w:r>
          </w:p>
        </w:tc>
        <w:tc>
          <w:tcPr>
            <w:tcW w:w="820" w:type="dxa"/>
            <w:vAlign w:val="bottom"/>
          </w:tcPr>
          <w:p>
            <w:pPr>
              <w:jc w:val="right"/>
              <w:ind w:right="39"/>
              <w:spacing w:after="0"/>
              <w:rPr>
                <w:sz w:val="20"/>
                <w:szCs w:val="20"/>
                <w:color w:val="auto"/>
              </w:rPr>
            </w:pPr>
            <w:r>
              <w:rPr>
                <w:rFonts w:ascii="Arial" w:cs="Arial" w:eastAsia="Arial" w:hAnsi="Arial"/>
                <w:sz w:val="13"/>
                <w:szCs w:val="13"/>
                <w:color w:val="0000FF"/>
              </w:rPr>
              <w:t>12/04/2003</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12/04/2008</w:t>
            </w:r>
          </w:p>
        </w:tc>
        <w:tc>
          <w:tcPr>
            <w:tcW w:w="660" w:type="dxa"/>
            <w:vAlign w:val="bottom"/>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tcPr>
          <w:p>
            <w:pPr>
              <w:jc w:val="right"/>
              <w:ind w:right="49"/>
              <w:spacing w:after="0"/>
              <w:rPr>
                <w:sz w:val="20"/>
                <w:szCs w:val="20"/>
                <w:color w:val="auto"/>
              </w:rPr>
            </w:pPr>
            <w:r>
              <w:rPr>
                <w:rFonts w:ascii="Arial" w:cs="Arial" w:eastAsia="Arial" w:hAnsi="Arial"/>
                <w:sz w:val="17"/>
                <w:szCs w:val="17"/>
                <w:color w:val="0000FF"/>
              </w:rPr>
              <w:t>3,080</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60" w:type="dxa"/>
            <w:vAlign w:val="bottom"/>
          </w:tcPr>
          <w:p>
            <w:pPr>
              <w:jc w:val="right"/>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20"/>
                <w:szCs w:val="20"/>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The option vests in three equal annual installments commencing on the first anniversary of the date of grant.</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60" w:type="dxa"/>
            <w:vAlign w:val="bottom"/>
            <w:gridSpan w:val="2"/>
          </w:tcPr>
          <w:p>
            <w:pPr>
              <w:spacing w:after="0"/>
              <w:rPr>
                <w:sz w:val="20"/>
                <w:szCs w:val="20"/>
                <w:color w:val="auto"/>
              </w:rPr>
            </w:pPr>
            <w:r>
              <w:rPr>
                <w:rFonts w:ascii="Arial" w:cs="Arial" w:eastAsia="Arial" w:hAnsi="Arial"/>
                <w:sz w:val="17"/>
                <w:szCs w:val="17"/>
                <w:color w:val="0000FF"/>
              </w:rPr>
              <w:t>Stacy L. Bogart, Atty-in-Fact</w:t>
            </w:r>
          </w:p>
        </w:tc>
        <w:tc>
          <w:tcPr>
            <w:tcW w:w="920" w:type="dxa"/>
            <w:vAlign w:val="bottom"/>
            <w:gridSpan w:val="2"/>
          </w:tcPr>
          <w:p>
            <w:pPr>
              <w:ind w:left="140"/>
              <w:spacing w:after="0"/>
              <w:rPr>
                <w:sz w:val="20"/>
                <w:szCs w:val="20"/>
                <w:color w:val="auto"/>
              </w:rPr>
            </w:pPr>
            <w:r>
              <w:rPr>
                <w:rFonts w:ascii="Arial" w:cs="Arial" w:eastAsia="Arial" w:hAnsi="Arial"/>
                <w:sz w:val="17"/>
                <w:szCs w:val="17"/>
                <w:color w:val="0000FF"/>
                <w:w w:val="89"/>
              </w:rPr>
              <w:t>12/05/2008</w:t>
            </w:r>
          </w:p>
        </w:tc>
      </w:tr>
      <w:tr>
        <w:trPr>
          <w:trHeight w:val="20"/>
        </w:trPr>
        <w:tc>
          <w:tcPr>
            <w:tcW w:w="2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4"/>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8"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Stacy L. Bogart, Timothy P. Dordell and Stephen P. Wolfe, signing singly, true and lawful attorneys-in-fact relative to the filings identified below in connection with the undersigned's derivative and non-derivative securities of The Toro Company (the "Company") to:</w:t>
      </w:r>
    </w:p>
    <w:p>
      <w:pPr>
        <w:spacing w:after="0" w:line="199" w:lineRule="exact"/>
        <w:rPr>
          <w:sz w:val="20"/>
          <w:szCs w:val="20"/>
          <w:color w:val="auto"/>
        </w:rPr>
      </w:pP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in</w:t>
      </w:r>
    </w:p>
    <w:p>
      <w:pPr>
        <w:spacing w:after="0" w:line="7" w:lineRule="exact"/>
        <w:rPr>
          <w:rFonts w:ascii="Courier New" w:cs="Courier New" w:eastAsia="Courier New" w:hAnsi="Courier New"/>
          <w:sz w:val="17"/>
          <w:szCs w:val="17"/>
          <w:color w:val="auto"/>
        </w:rPr>
      </w:pPr>
    </w:p>
    <w:p>
      <w:pPr>
        <w:ind w:right="271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accordance with Section 16(a) of the Securities Exchange Act of 1934, as amended, and the rules thereunder;</w:t>
      </w:r>
    </w:p>
    <w:p>
      <w:pPr>
        <w:spacing w:after="0" w:line="196" w:lineRule="exact"/>
        <w:rPr>
          <w:rFonts w:ascii="Courier New" w:cs="Courier New" w:eastAsia="Courier New" w:hAnsi="Courier New"/>
          <w:sz w:val="17"/>
          <w:szCs w:val="17"/>
          <w:color w:val="auto"/>
        </w:rPr>
      </w:pPr>
    </w:p>
    <w:p>
      <w:pPr>
        <w:ind w:right="2619" w:firstLine="7"/>
        <w:spacing w:after="0" w:line="250" w:lineRule="auto"/>
        <w:tabs>
          <w:tab w:leader="none" w:pos="41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and the timely filing of such form with the United States Securities and Exchange Commission and any stock exchange or similar authority; and</w:t>
      </w:r>
    </w:p>
    <w:p>
      <w:pPr>
        <w:spacing w:after="0" w:line="198"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7" w:lineRule="exact"/>
        <w:rPr>
          <w:rFonts w:ascii="Courier New" w:cs="Courier New" w:eastAsia="Courier New" w:hAnsi="Courier New"/>
          <w:sz w:val="17"/>
          <w:szCs w:val="17"/>
          <w:color w:val="auto"/>
        </w:rPr>
      </w:pPr>
    </w:p>
    <w:p>
      <w:pPr>
        <w:ind w:right="2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either of their discretions.</w:t>
      </w:r>
    </w:p>
    <w:p>
      <w:pPr>
        <w:spacing w:after="0" w:line="198" w:lineRule="exact"/>
        <w:rPr>
          <w:sz w:val="20"/>
          <w:szCs w:val="20"/>
          <w:color w:val="auto"/>
        </w:rPr>
      </w:pPr>
    </w:p>
    <w:p>
      <w:pPr>
        <w:ind w:right="2199"/>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w:t>
      </w:r>
    </w:p>
    <w:p>
      <w:pPr>
        <w:spacing w:after="0" w:line="206" w:lineRule="exact"/>
        <w:rPr>
          <w:sz w:val="20"/>
          <w:szCs w:val="20"/>
          <w:color w:val="auto"/>
        </w:rPr>
      </w:pPr>
    </w:p>
    <w:p>
      <w:pPr>
        <w:ind w:right="2299"/>
        <w:spacing w:after="0" w:line="250"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effective as of this 24th day of November, 2008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42" w:right="1440"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Pring Name: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Thomas J. Larson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Thomas J. Larson</w:t>
      </w:r>
    </w:p>
    <w:sectPr>
      <w:pgSz w:w="11900" w:h="16838" w:orient="portrait"/>
      <w:cols w:equalWidth="0" w:num="3">
        <w:col w:w="1160" w:space="200"/>
        <w:col w:w="320" w:space="200"/>
        <w:col w:w="833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81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2019-12-16T04:17:53Z</dcterms:created>
  <dcterms:modified xsi:type="dcterms:W3CDTF">2019-12-16T04:17:53Z</dcterms:modified>
</cp:coreProperties>
</file>