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ind w:left="530"/>
        <w:spacing w:after="0"/>
        <w:rPr>
          <w:sz w:val="20"/>
          <w:szCs w:val="20"/>
          <w:color w:val="auto"/>
        </w:rPr>
      </w:pPr>
      <w:r>
        <w:rPr>
          <w:rFonts w:ascii="Courier New" w:cs="Courier New" w:eastAsia="Courier New" w:hAnsi="Courier New"/>
          <w:sz w:val="15"/>
          <w:szCs w:val="15"/>
          <w:color w:val="auto"/>
        </w:rPr>
        <w:t>AS FILED WITH THE SECURITIES AND EXCHANGE COMMISSION ON JUNE 9, 1997</w:t>
      </w:r>
    </w:p>
    <w:p>
      <w:pPr>
        <w:spacing w:after="0" w:line="169" w:lineRule="exact"/>
        <w:rPr>
          <w:sz w:val="24"/>
          <w:szCs w:val="24"/>
          <w:color w:val="auto"/>
        </w:rPr>
      </w:pPr>
    </w:p>
    <w:p>
      <w:pPr>
        <w:ind w:left="4770"/>
        <w:spacing w:after="0"/>
        <w:rPr>
          <w:sz w:val="20"/>
          <w:szCs w:val="20"/>
          <w:color w:val="auto"/>
        </w:rPr>
      </w:pPr>
      <w:r>
        <w:rPr>
          <w:rFonts w:ascii="Courier New" w:cs="Courier New" w:eastAsia="Courier New" w:hAnsi="Courier New"/>
          <w:sz w:val="15"/>
          <w:szCs w:val="15"/>
          <w:color w:val="auto"/>
        </w:rPr>
        <w:t>REGISTRATION NO. 333-20901</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ind w:left="291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4"/>
          <w:szCs w:val="24"/>
          <w:color w:val="auto"/>
        </w:rPr>
      </w:pPr>
    </w:p>
    <w:p>
      <w:pPr>
        <w:ind w:left="2830"/>
        <w:spacing w:after="0"/>
        <w:rPr>
          <w:sz w:val="20"/>
          <w:szCs w:val="20"/>
          <w:color w:val="auto"/>
        </w:rPr>
      </w:pPr>
      <w:r>
        <w:rPr>
          <w:rFonts w:ascii="Courier New" w:cs="Courier New" w:eastAsia="Courier New" w:hAnsi="Courier New"/>
          <w:sz w:val="15"/>
          <w:szCs w:val="15"/>
          <w:color w:val="auto"/>
        </w:rPr>
        <w:t>AMENDMENT NO. 1</w:t>
      </w:r>
    </w:p>
    <w:p>
      <w:pPr>
        <w:spacing w:after="0" w:line="33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TO</w:t>
      </w:r>
    </w:p>
    <w:p>
      <w:pPr>
        <w:spacing w:after="0" w:line="339"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S-3</w:t>
      </w:r>
    </w:p>
    <w:p>
      <w:pPr>
        <w:ind w:left="2550"/>
        <w:spacing w:after="0"/>
        <w:rPr>
          <w:sz w:val="20"/>
          <w:szCs w:val="20"/>
          <w:color w:val="auto"/>
        </w:rPr>
      </w:pPr>
      <w:r>
        <w:rPr>
          <w:rFonts w:ascii="Courier New" w:cs="Courier New" w:eastAsia="Courier New" w:hAnsi="Courier New"/>
          <w:sz w:val="15"/>
          <w:szCs w:val="15"/>
          <w:color w:val="auto"/>
        </w:rPr>
        <w:t>REGISTRATION STATEMENT</w:t>
      </w:r>
    </w:p>
    <w:p>
      <w:pPr>
        <w:ind w:left="3270"/>
        <w:spacing w:after="0"/>
        <w:rPr>
          <w:sz w:val="20"/>
          <w:szCs w:val="20"/>
          <w:color w:val="auto"/>
        </w:rPr>
      </w:pPr>
      <w:r>
        <w:rPr>
          <w:rFonts w:ascii="Courier New" w:cs="Courier New" w:eastAsia="Courier New" w:hAnsi="Courier New"/>
          <w:sz w:val="15"/>
          <w:szCs w:val="15"/>
          <w:color w:val="auto"/>
        </w:rPr>
        <w:t>UNDER</w:t>
      </w:r>
    </w:p>
    <w:p>
      <w:pPr>
        <w:ind w:left="2390"/>
        <w:spacing w:after="0" w:line="238" w:lineRule="auto"/>
        <w:rPr>
          <w:sz w:val="20"/>
          <w:szCs w:val="20"/>
          <w:color w:val="auto"/>
        </w:rPr>
      </w:pPr>
      <w:r>
        <w:rPr>
          <w:rFonts w:ascii="Courier New" w:cs="Courier New" w:eastAsia="Courier New" w:hAnsi="Courier New"/>
          <w:sz w:val="15"/>
          <w:szCs w:val="15"/>
          <w:color w:val="auto"/>
        </w:rPr>
        <w:t>THE SECURITIES ACT OF 1933</w:t>
      </w:r>
    </w:p>
    <w:p>
      <w:pPr>
        <w:ind w:left="29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THE TORO COMPANY</w:t>
      </w:r>
    </w:p>
    <w:p>
      <w:pPr>
        <w:spacing w:after="0" w:line="169"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8" w:lineRule="exact"/>
        <w:rPr>
          <w:sz w:val="24"/>
          <w:szCs w:val="24"/>
          <w:color w:val="auto"/>
        </w:rPr>
      </w:pPr>
    </w:p>
    <w:tbl>
      <w:tblPr>
        <w:tblLayout w:type="fixed"/>
        <w:tblInd w:w="270" w:type="dxa"/>
        <w:tblCellMar>
          <w:top w:w="0" w:type="dxa"/>
          <w:left w:w="0" w:type="dxa"/>
          <w:bottom w:w="0" w:type="dxa"/>
          <w:right w:w="0" w:type="dxa"/>
        </w:tblCellMar>
      </w:tblPr>
      <w:tr>
        <w:trPr>
          <w:trHeight w:val="170"/>
        </w:trPr>
        <w:tc>
          <w:tcPr>
            <w:tcW w:w="3480" w:type="dxa"/>
            <w:vAlign w:val="bottom"/>
          </w:tcPr>
          <w:p>
            <w:pPr>
              <w:jc w:val="right"/>
              <w:ind w:right="1647"/>
              <w:spacing w:after="0"/>
              <w:rPr>
                <w:sz w:val="20"/>
                <w:szCs w:val="20"/>
                <w:color w:val="auto"/>
              </w:rPr>
            </w:pPr>
            <w:r>
              <w:rPr>
                <w:rFonts w:ascii="Courier New" w:cs="Courier New" w:eastAsia="Courier New" w:hAnsi="Courier New"/>
                <w:sz w:val="15"/>
                <w:szCs w:val="15"/>
                <w:color w:val="auto"/>
              </w:rPr>
              <w:t>DELAWARE</w:t>
            </w:r>
          </w:p>
        </w:tc>
        <w:tc>
          <w:tcPr>
            <w:tcW w:w="2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41-0580470</w:t>
            </w:r>
          </w:p>
        </w:tc>
      </w:tr>
      <w:tr>
        <w:trPr>
          <w:trHeight w:val="170"/>
        </w:trPr>
        <w:tc>
          <w:tcPr>
            <w:tcW w:w="3480" w:type="dxa"/>
            <w:vAlign w:val="bottom"/>
          </w:tcPr>
          <w:p>
            <w:pPr>
              <w:jc w:val="right"/>
              <w:ind w:right="687"/>
              <w:spacing w:after="0"/>
              <w:rPr>
                <w:sz w:val="20"/>
                <w:szCs w:val="20"/>
                <w:color w:val="auto"/>
              </w:rPr>
            </w:pPr>
            <w:r>
              <w:rPr>
                <w:rFonts w:ascii="Courier New" w:cs="Courier New" w:eastAsia="Courier New" w:hAnsi="Courier New"/>
                <w:sz w:val="15"/>
                <w:szCs w:val="15"/>
                <w:color w:val="auto"/>
                <w:w w:val="96"/>
              </w:rPr>
              <w:t>(State or other jurisdiction of</w:t>
            </w:r>
          </w:p>
        </w:tc>
        <w:tc>
          <w:tcPr>
            <w:tcW w:w="242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8"/>
              </w:rPr>
              <w:t>(I.R.S. Employer</w:t>
            </w:r>
          </w:p>
        </w:tc>
      </w:tr>
      <w:tr>
        <w:trPr>
          <w:trHeight w:val="170"/>
        </w:trPr>
        <w:tc>
          <w:tcPr>
            <w:tcW w:w="3480" w:type="dxa"/>
            <w:vAlign w:val="bottom"/>
          </w:tcPr>
          <w:p>
            <w:pPr>
              <w:jc w:val="right"/>
              <w:ind w:right="687"/>
              <w:spacing w:after="0"/>
              <w:rPr>
                <w:sz w:val="20"/>
                <w:szCs w:val="20"/>
                <w:color w:val="auto"/>
              </w:rPr>
            </w:pPr>
            <w:r>
              <w:rPr>
                <w:rFonts w:ascii="Courier New" w:cs="Courier New" w:eastAsia="Courier New" w:hAnsi="Courier New"/>
                <w:sz w:val="15"/>
                <w:szCs w:val="15"/>
                <w:color w:val="auto"/>
                <w:w w:val="99"/>
              </w:rPr>
              <w:t>incorporation or organization)</w:t>
            </w:r>
          </w:p>
        </w:tc>
        <w:tc>
          <w:tcPr>
            <w:tcW w:w="2420" w:type="dxa"/>
            <w:vAlign w:val="bottom"/>
          </w:tcPr>
          <w:p>
            <w:pPr>
              <w:ind w:left="740"/>
              <w:spacing w:after="0"/>
              <w:rPr>
                <w:sz w:val="20"/>
                <w:szCs w:val="20"/>
                <w:color w:val="auto"/>
              </w:rPr>
            </w:pPr>
            <w:r>
              <w:rPr>
                <w:rFonts w:ascii="Courier New" w:cs="Courier New" w:eastAsia="Courier New" w:hAnsi="Courier New"/>
                <w:sz w:val="15"/>
                <w:szCs w:val="15"/>
                <w:color w:val="auto"/>
                <w:w w:val="97"/>
              </w:rPr>
              <w:t>Identification No.)</w:t>
            </w:r>
          </w:p>
        </w:tc>
      </w:tr>
    </w:tbl>
    <w:p>
      <w:pPr>
        <w:spacing w:after="0" w:line="33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8111 LYNDALE AVENUE SOUTH, BLOOMINGTON, MINNESOTA 55420-1196</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(612) 888-8801</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jc w:val="center"/>
        <w:ind w:right="3250"/>
        <w:spacing w:after="0"/>
        <w:rPr>
          <w:sz w:val="20"/>
          <w:szCs w:val="20"/>
          <w:color w:val="auto"/>
        </w:rPr>
      </w:pPr>
      <w:r>
        <w:rPr>
          <w:rFonts w:ascii="Courier New" w:cs="Courier New" w:eastAsia="Courier New" w:hAnsi="Courier New"/>
          <w:sz w:val="15"/>
          <w:szCs w:val="15"/>
          <w:color w:val="auto"/>
        </w:rPr>
        <w:t>registrant's principal executive offices)</w:t>
      </w:r>
    </w:p>
    <w:p>
      <w:pPr>
        <w:ind w:left="273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4"/>
          <w:szCs w:val="24"/>
          <w:color w:val="auto"/>
        </w:rPr>
      </w:pPr>
    </w:p>
    <w:p>
      <w:pPr>
        <w:ind w:left="2390"/>
        <w:spacing w:after="0"/>
        <w:rPr>
          <w:sz w:val="20"/>
          <w:szCs w:val="20"/>
          <w:color w:val="auto"/>
        </w:rPr>
      </w:pPr>
      <w:r>
        <w:rPr>
          <w:rFonts w:ascii="Courier New" w:cs="Courier New" w:eastAsia="Courier New" w:hAnsi="Courier New"/>
          <w:sz w:val="15"/>
          <w:szCs w:val="15"/>
          <w:color w:val="auto"/>
        </w:rPr>
        <w:t>J. LAWRENCE MCINTYRE, ESQ.</w:t>
      </w:r>
    </w:p>
    <w:p>
      <w:pPr>
        <w:ind w:left="1490"/>
        <w:spacing w:after="0"/>
        <w:rPr>
          <w:sz w:val="20"/>
          <w:szCs w:val="20"/>
          <w:color w:val="auto"/>
        </w:rPr>
      </w:pPr>
      <w:r>
        <w:rPr>
          <w:rFonts w:ascii="Courier New" w:cs="Courier New" w:eastAsia="Courier New" w:hAnsi="Courier New"/>
          <w:sz w:val="15"/>
          <w:szCs w:val="15"/>
          <w:color w:val="auto"/>
        </w:rPr>
        <w:t>VICE PRESIDENT, SECRETARY AND GENERAL COUNSEL</w:t>
      </w:r>
    </w:p>
    <w:p>
      <w:pPr>
        <w:ind w:left="2830"/>
        <w:spacing w:after="0"/>
        <w:rPr>
          <w:sz w:val="20"/>
          <w:szCs w:val="20"/>
          <w:color w:val="auto"/>
        </w:rPr>
      </w:pPr>
      <w:r>
        <w:rPr>
          <w:rFonts w:ascii="Courier New" w:cs="Courier New" w:eastAsia="Courier New" w:hAnsi="Courier New"/>
          <w:sz w:val="15"/>
          <w:szCs w:val="15"/>
          <w:color w:val="auto"/>
        </w:rPr>
        <w:t>THE TORO COMPANY</w:t>
      </w:r>
    </w:p>
    <w:p>
      <w:pPr>
        <w:ind w:left="2390"/>
        <w:spacing w:after="0" w:line="238" w:lineRule="auto"/>
        <w:rPr>
          <w:sz w:val="20"/>
          <w:szCs w:val="20"/>
          <w:color w:val="auto"/>
        </w:rPr>
      </w:pPr>
      <w:r>
        <w:rPr>
          <w:rFonts w:ascii="Courier New" w:cs="Courier New" w:eastAsia="Courier New" w:hAnsi="Courier New"/>
          <w:sz w:val="15"/>
          <w:szCs w:val="15"/>
          <w:color w:val="auto"/>
        </w:rPr>
        <w:t>8111 LYNDALE AVENUE SOUTH</w:t>
      </w:r>
    </w:p>
    <w:p>
      <w:pPr>
        <w:ind w:left="2030"/>
        <w:spacing w:after="0"/>
        <w:rPr>
          <w:sz w:val="20"/>
          <w:szCs w:val="20"/>
          <w:color w:val="auto"/>
        </w:rPr>
      </w:pPr>
      <w:r>
        <w:rPr>
          <w:rFonts w:ascii="Courier New" w:cs="Courier New" w:eastAsia="Courier New" w:hAnsi="Courier New"/>
          <w:sz w:val="15"/>
          <w:szCs w:val="15"/>
          <w:color w:val="auto"/>
        </w:rPr>
        <w:t>BLOOMINGTON, MINNESOTA 55420-1196</w:t>
      </w:r>
    </w:p>
    <w:p>
      <w:pPr>
        <w:ind w:left="2390"/>
        <w:spacing w:after="0"/>
        <w:rPr>
          <w:sz w:val="20"/>
          <w:szCs w:val="20"/>
          <w:color w:val="auto"/>
        </w:rPr>
      </w:pPr>
      <w:r>
        <w:rPr>
          <w:rFonts w:ascii="Courier New" w:cs="Courier New" w:eastAsia="Courier New" w:hAnsi="Courier New"/>
          <w:sz w:val="15"/>
          <w:szCs w:val="15"/>
          <w:color w:val="auto"/>
        </w:rPr>
        <w:t>TELEPHONE: (612) 888-8801</w:t>
      </w:r>
    </w:p>
    <w:p>
      <w:pPr>
        <w:spacing w:after="0" w:line="168"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jc w:val="center"/>
        <w:ind w:right="3250"/>
        <w:spacing w:after="0"/>
        <w:rPr>
          <w:sz w:val="20"/>
          <w:szCs w:val="20"/>
          <w:color w:val="auto"/>
        </w:rPr>
      </w:pPr>
      <w:r>
        <w:rPr>
          <w:rFonts w:ascii="Courier New" w:cs="Courier New" w:eastAsia="Courier New" w:hAnsi="Courier New"/>
          <w:sz w:val="15"/>
          <w:szCs w:val="15"/>
          <w:color w:val="auto"/>
        </w:rPr>
        <w:t>of agent for service)</w:t>
      </w:r>
    </w:p>
    <w:p>
      <w:pPr>
        <w:ind w:left="273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COPIES TO:</w:t>
      </w:r>
    </w:p>
    <w:p>
      <w:pPr>
        <w:spacing w:after="0" w:line="200" w:lineRule="exact"/>
        <w:rPr>
          <w:sz w:val="24"/>
          <w:szCs w:val="24"/>
          <w:color w:val="auto"/>
        </w:rPr>
      </w:pPr>
    </w:p>
    <w:p>
      <w:pPr>
        <w:spacing w:after="0" w:line="308"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DEAN R. EDSTROM,</w:t>
            </w: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ESQ.</w:t>
            </w:r>
          </w:p>
        </w:tc>
        <w:tc>
          <w:tcPr>
            <w:tcW w:w="334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MITCHELL L. HOLLINS, ESQ.</w:t>
            </w: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5"/>
              </w:rPr>
              <w:t>DOHERTY, RUMBLE &amp;</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BUTLER</w:t>
            </w: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PROFESSIONAL</w:t>
            </w:r>
          </w:p>
        </w:tc>
        <w:tc>
          <w:tcPr>
            <w:tcW w:w="334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SONNENSCHEIN NATH &amp; ROSENTHAL</w:t>
            </w:r>
          </w:p>
        </w:tc>
      </w:tr>
      <w:tr>
        <w:trPr>
          <w:trHeight w:val="170"/>
        </w:trPr>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ASSOCIATION</w:t>
            </w:r>
          </w:p>
        </w:tc>
        <w:tc>
          <w:tcPr>
            <w:tcW w:w="1420" w:type="dxa"/>
            <w:vAlign w:val="bottom"/>
          </w:tcPr>
          <w:p>
            <w:pPr>
              <w:spacing w:after="0"/>
              <w:rPr>
                <w:sz w:val="14"/>
                <w:szCs w:val="14"/>
                <w:color w:val="auto"/>
              </w:rPr>
            </w:pPr>
          </w:p>
        </w:tc>
        <w:tc>
          <w:tcPr>
            <w:tcW w:w="334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8"/>
              </w:rPr>
              <w:t>8000 SEARS TOWER</w:t>
            </w: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3500 FIFTH</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STREET</w:t>
            </w: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TOWERS</w:t>
            </w:r>
          </w:p>
        </w:tc>
        <w:tc>
          <w:tcPr>
            <w:tcW w:w="334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CHICAGO, ILLINOIS 60606</w:t>
            </w: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150 SOUTH</w:t>
            </w:r>
          </w:p>
        </w:tc>
        <w:tc>
          <w:tcPr>
            <w:tcW w:w="1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FIFTH STREET</w:t>
            </w:r>
          </w:p>
        </w:tc>
        <w:tc>
          <w:tcPr>
            <w:tcW w:w="334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TELEPHONE: (312) 876-8144  TELEFAX:</w:t>
            </w:r>
          </w:p>
        </w:tc>
      </w:tr>
      <w:tr>
        <w:trPr>
          <w:trHeight w:val="170"/>
        </w:trPr>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MINNEAPOLIS, MINNESOTA</w:t>
            </w: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55402-4235</w:t>
            </w:r>
          </w:p>
        </w:tc>
        <w:tc>
          <w:tcPr>
            <w:tcW w:w="33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(312) 876-7934</w:t>
            </w: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TELEPHONE: (612)</w:t>
            </w:r>
          </w:p>
        </w:tc>
        <w:tc>
          <w:tcPr>
            <w:tcW w:w="1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340-5555  TELEFAX:</w:t>
            </w:r>
          </w:p>
        </w:tc>
        <w:tc>
          <w:tcPr>
            <w:tcW w:w="3340" w:type="dxa"/>
            <w:vAlign w:val="bottom"/>
          </w:tcPr>
          <w:p>
            <w:pPr>
              <w:spacing w:after="0"/>
              <w:rPr>
                <w:sz w:val="14"/>
                <w:szCs w:val="14"/>
                <w:color w:val="auto"/>
              </w:rPr>
            </w:pP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c>
          <w:tcPr>
            <w:tcW w:w="1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340-5584</w:t>
            </w:r>
          </w:p>
        </w:tc>
        <w:tc>
          <w:tcPr>
            <w:tcW w:w="3340" w:type="dxa"/>
            <w:vAlign w:val="bottom"/>
          </w:tcPr>
          <w:p>
            <w:pPr>
              <w:spacing w:after="0"/>
              <w:rPr>
                <w:sz w:val="14"/>
                <w:szCs w:val="14"/>
                <w:color w:val="auto"/>
              </w:rPr>
            </w:pPr>
          </w:p>
        </w:tc>
      </w:tr>
      <w:tr>
        <w:trPr>
          <w:trHeight w:val="509"/>
        </w:trPr>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w:t>
            </w:r>
          </w:p>
        </w:tc>
      </w:tr>
      <w:tr>
        <w:trPr>
          <w:trHeight w:val="339"/>
        </w:trPr>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APPROXIMATE DATE</w:t>
            </w:r>
          </w:p>
        </w:tc>
        <w:tc>
          <w:tcPr>
            <w:tcW w:w="47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COMMENCEMENT OF PROPOSED SALE TO THE PUBLIC:</w:t>
            </w:r>
          </w:p>
        </w:tc>
      </w:tr>
      <w:tr>
        <w:trPr>
          <w:trHeight w:val="170"/>
        </w:trPr>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FROM TIME TO TIME AFTER</w:t>
            </w:r>
          </w:p>
        </w:tc>
        <w:tc>
          <w:tcPr>
            <w:tcW w:w="47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THE EFFECTIVE DATE OF THIS REGISTRATION STATEMENT, AS</w:t>
            </w:r>
          </w:p>
        </w:tc>
      </w:tr>
      <w:tr>
        <w:trPr>
          <w:trHeight w:val="170"/>
        </w:trPr>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DETERMINED BY MARKET CONDITIONS.</w:t>
            </w:r>
          </w:p>
        </w:tc>
      </w:tr>
      <w:tr>
        <w:trPr>
          <w:trHeight w:val="170"/>
        </w:trPr>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4"/>
          <w:szCs w:val="24"/>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5" w:lineRule="exact"/>
        <w:rPr>
          <w:sz w:val="24"/>
          <w:szCs w:val="24"/>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6" w:lineRule="exact"/>
        <w:rPr>
          <w:sz w:val="24"/>
          <w:szCs w:val="24"/>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10" w:right="3359" w:firstLine="353"/>
        <w:spacing w:after="0" w:line="235"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ectPr>
          <w:pgSz w:w="11900" w:h="16868" w:orient="portrait"/>
          <w:cols w:equalWidth="0" w:num="1">
            <w:col w:w="10229"/>
          </w:cols>
          <w:pgMar w:left="230" w:top="565" w:right="1440" w:bottom="0" w:gutter="0" w:footer="0" w:header="0"/>
        </w:sectPr>
      </w:pPr>
    </w:p>
    <w:bookmarkStart w:id="1" w:name="page2"/>
    <w:bookmarkEnd w:id="1"/>
    <w:p>
      <w:pPr>
        <w:ind w:left="273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177" w:lineRule="exact"/>
        <w:rPr>
          <w:sz w:val="20"/>
          <w:szCs w:val="20"/>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136" w:right="1440" w:bottom="1440" w:gutter="0" w:footer="0" w:header="0"/>
        </w:sectPr>
      </w:pPr>
    </w:p>
    <w:bookmarkStart w:id="2" w:name="page3"/>
    <w:bookmarkEnd w:id="2"/>
    <w:p>
      <w:pPr>
        <w:ind w:right="3259"/>
        <w:spacing w:after="0" w:line="257"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 OF ANY SUCH STATE.</w:t>
      </w:r>
    </w:p>
    <w:p>
      <w:pPr>
        <w:sectPr>
          <w:pgSz w:w="11900" w:h="16838" w:orient="portrait"/>
          <w:cols w:equalWidth="0" w:num="1">
            <w:col w:w="10219"/>
          </w:cols>
          <w:pgMar w:left="240" w:top="458" w:right="1440"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PROSPECTUS</w:t>
            </w:r>
          </w:p>
        </w:tc>
        <w:tc>
          <w:tcPr>
            <w:tcW w:w="4020" w:type="dxa"/>
            <w:vAlign w:val="bottom"/>
          </w:tcPr>
          <w:p>
            <w:pPr>
              <w:spacing w:after="0"/>
              <w:rPr>
                <w:sz w:val="14"/>
                <w:szCs w:val="14"/>
                <w:color w:val="auto"/>
              </w:rPr>
            </w:pPr>
          </w:p>
        </w:tc>
      </w:tr>
      <w:tr>
        <w:trPr>
          <w:trHeight w:val="509"/>
        </w:trPr>
        <w:tc>
          <w:tcPr>
            <w:tcW w:w="1260" w:type="dxa"/>
            <w:vAlign w:val="bottom"/>
          </w:tcPr>
          <w:p>
            <w:pPr>
              <w:spacing w:after="0"/>
              <w:rPr>
                <w:sz w:val="20"/>
                <w:szCs w:val="20"/>
                <w:color w:val="auto"/>
              </w:rPr>
            </w:pPr>
            <w:r>
              <w:rPr>
                <w:rFonts w:ascii="Courier New" w:cs="Courier New" w:eastAsia="Courier New" w:hAnsi="Courier New"/>
                <w:sz w:val="15"/>
                <w:szCs w:val="15"/>
                <w:color w:val="auto"/>
              </w:rPr>
              <w:t>[LOGO]</w:t>
            </w:r>
          </w:p>
        </w:tc>
        <w:tc>
          <w:tcPr>
            <w:tcW w:w="402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8"/>
              </w:rPr>
              <w:t>SUBJECT TO COMPLETION, DATED JUNE 9, 1997</w:t>
            </w:r>
          </w:p>
        </w:tc>
      </w:tr>
      <w:tr>
        <w:trPr>
          <w:trHeight w:val="339"/>
        </w:trPr>
        <w:tc>
          <w:tcPr>
            <w:tcW w:w="1260" w:type="dxa"/>
            <w:vAlign w:val="bottom"/>
          </w:tcPr>
          <w:p>
            <w:pPr>
              <w:spacing w:after="0"/>
              <w:rPr>
                <w:sz w:val="24"/>
                <w:szCs w:val="24"/>
                <w:color w:val="auto"/>
              </w:rPr>
            </w:pPr>
          </w:p>
        </w:tc>
        <w:tc>
          <w:tcPr>
            <w:tcW w:w="402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$250,000,000</w:t>
            </w:r>
          </w:p>
        </w:tc>
      </w:tr>
      <w:tr>
        <w:trPr>
          <w:trHeight w:val="339"/>
        </w:trPr>
        <w:tc>
          <w:tcPr>
            <w:tcW w:w="1260" w:type="dxa"/>
            <w:vAlign w:val="bottom"/>
          </w:tcPr>
          <w:p>
            <w:pPr>
              <w:spacing w:after="0"/>
              <w:rPr>
                <w:sz w:val="24"/>
                <w:szCs w:val="24"/>
                <w:color w:val="auto"/>
              </w:rPr>
            </w:pPr>
          </w:p>
        </w:tc>
        <w:tc>
          <w:tcPr>
            <w:tcW w:w="402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THE TORO COMPANY</w:t>
            </w:r>
          </w:p>
        </w:tc>
      </w:tr>
      <w:tr>
        <w:trPr>
          <w:trHeight w:val="339"/>
        </w:trPr>
        <w:tc>
          <w:tcPr>
            <w:tcW w:w="1260" w:type="dxa"/>
            <w:vAlign w:val="bottom"/>
          </w:tcPr>
          <w:p>
            <w:pPr>
              <w:spacing w:after="0"/>
              <w:rPr>
                <w:sz w:val="24"/>
                <w:szCs w:val="24"/>
                <w:color w:val="auto"/>
              </w:rPr>
            </w:pPr>
          </w:p>
        </w:tc>
        <w:tc>
          <w:tcPr>
            <w:tcW w:w="402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7"/>
              </w:rPr>
              <w:t>DEBT SECURITIES</w:t>
            </w:r>
          </w:p>
        </w:tc>
      </w:tr>
      <w:tr>
        <w:trPr>
          <w:trHeight w:val="170"/>
        </w:trPr>
        <w:tc>
          <w:tcPr>
            <w:tcW w:w="1260" w:type="dxa"/>
            <w:vAlign w:val="bottom"/>
          </w:tcPr>
          <w:p>
            <w:pPr>
              <w:spacing w:after="0"/>
              <w:rPr>
                <w:sz w:val="14"/>
                <w:szCs w:val="14"/>
                <w:color w:val="auto"/>
              </w:rPr>
            </w:pPr>
          </w:p>
        </w:tc>
        <w:tc>
          <w:tcPr>
            <w:tcW w:w="402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8"/>
              </w:rPr>
              <w:t>COMMON STOCK</w:t>
            </w:r>
          </w:p>
        </w:tc>
      </w:tr>
      <w:tr>
        <w:trPr>
          <w:trHeight w:val="170"/>
        </w:trPr>
        <w:tc>
          <w:tcPr>
            <w:tcW w:w="1260" w:type="dxa"/>
            <w:vAlign w:val="bottom"/>
          </w:tcPr>
          <w:p>
            <w:pPr>
              <w:spacing w:after="0"/>
              <w:rPr>
                <w:sz w:val="14"/>
                <w:szCs w:val="14"/>
                <w:color w:val="auto"/>
              </w:rPr>
            </w:pPr>
          </w:p>
        </w:tc>
        <w:tc>
          <w:tcPr>
            <w:tcW w:w="402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7"/>
              </w:rPr>
              <w:t>WARRANTS</w:t>
            </w:r>
          </w:p>
        </w:tc>
      </w:tr>
      <w:tr>
        <w:trPr>
          <w:trHeight w:val="170"/>
        </w:trPr>
        <w:tc>
          <w:tcPr>
            <w:tcW w:w="1260" w:type="dxa"/>
            <w:vAlign w:val="bottom"/>
          </w:tcPr>
          <w:p>
            <w:pPr>
              <w:spacing w:after="0"/>
              <w:rPr>
                <w:sz w:val="14"/>
                <w:szCs w:val="14"/>
                <w:color w:val="auto"/>
              </w:rPr>
            </w:pPr>
          </w:p>
        </w:tc>
        <w:tc>
          <w:tcPr>
            <w:tcW w:w="402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UNITS OF SECURITIES</w:t>
            </w:r>
          </w:p>
        </w:tc>
      </w:tr>
      <w:tr>
        <w:trPr>
          <w:trHeight w:val="170"/>
        </w:trPr>
        <w:tc>
          <w:tcPr>
            <w:tcW w:w="1260" w:type="dxa"/>
            <w:vAlign w:val="bottom"/>
          </w:tcPr>
          <w:p>
            <w:pPr>
              <w:spacing w:after="0"/>
              <w:rPr>
                <w:sz w:val="14"/>
                <w:szCs w:val="14"/>
                <w:color w:val="auto"/>
              </w:rPr>
            </w:pPr>
          </w:p>
        </w:tc>
        <w:tc>
          <w:tcPr>
            <w:tcW w:w="402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The Toro Company (the "Company") may from time to time offer (i) its debt securities consisting of debentures, notes and/or other unsecured evidences of indebtedness (the "Debt Securities"), (ii) shares of its common stock, $1.00 par value per share (the "Common Stock"), (iii) warrants to purchase Debt Securities or Common Stock (the "Warrants") and (iv) units ("Units") consisting of two or more of the foregoing securities, with an aggregate initial public offering price of up to $250,000,000 or the equivalent thereof in one or more foreign currencies or composite currencies, on terms to be determined at the time of sale. The Debt Securities, Common Stock, Warrants and Units (collectively, the "Securities") may be offered separately or together, in separate series, in amounts, at prices and on terms to be set forth in one or more supplements to this Prospectus (a "Prospectus Supplement").</w:t>
      </w:r>
    </w:p>
    <w:p>
      <w:pPr>
        <w:spacing w:after="0" w:line="166" w:lineRule="exact"/>
        <w:rPr>
          <w:sz w:val="20"/>
          <w:szCs w:val="20"/>
          <w:color w:val="auto"/>
        </w:rPr>
      </w:pPr>
    </w:p>
    <w:p>
      <w:pPr>
        <w:ind w:left="10" w:right="3259" w:firstLine="353"/>
        <w:spacing w:after="0" w:line="256" w:lineRule="auto"/>
        <w:rPr>
          <w:sz w:val="20"/>
          <w:szCs w:val="20"/>
          <w:color w:val="auto"/>
        </w:rPr>
      </w:pPr>
      <w:r>
        <w:rPr>
          <w:rFonts w:ascii="Courier New" w:cs="Courier New" w:eastAsia="Courier New" w:hAnsi="Courier New"/>
          <w:sz w:val="14"/>
          <w:szCs w:val="14"/>
          <w:color w:val="auto"/>
        </w:rPr>
        <w:t>The specific terms of the Securities for which this Prospectus is being delivered will be set forth in the applicable Prospectus Supplement and will include, where applicable, (i) in the case of Debt Securities, the specific designation, aggregate principal amount, currency, denominations, maturity, premium, rate and time of payment of interest, terms for redemption at the option of the Company or repayment at the option of the holder, terms for sinking fund payments, covenants, terms for conversion or exchange into shares of Common Stock and the initial public offering price; (ii) in the case of shares of Common Stock, the initial public offering price; (iii) in the case of Warrants, the duration, offering price, exercise price and detachability, and</w:t>
      </w:r>
    </w:p>
    <w:p>
      <w:pPr>
        <w:spacing w:after="0" w:line="3" w:lineRule="exact"/>
        <w:rPr>
          <w:sz w:val="20"/>
          <w:szCs w:val="20"/>
          <w:color w:val="auto"/>
        </w:rPr>
      </w:pPr>
    </w:p>
    <w:p>
      <w:pPr>
        <w:ind w:left="10" w:right="3179" w:hanging="10"/>
        <w:spacing w:after="0" w:line="259" w:lineRule="auto"/>
        <w:tabs>
          <w:tab w:leader="none" w:pos="45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Units, a description of the Securities comprising such Units and the offering price thereof. Units may be issued in amounts, at prices, on terms and containing such conditions, covenants and other provisions, and consisting of such Securities, as will be set forth in a Prospectus Supplement.</w:t>
      </w:r>
    </w:p>
    <w:p>
      <w:pPr>
        <w:spacing w:after="0" w:line="332"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346"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The Securities may be offered directly, through agents designated from time to time by the Company, or to or through underwriters or dealers. If any agents or underwriters are involved in the sale of any of the Securities, their names, and any applicable fee, commission, purchase price or discount arrangements with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Securities.</w:t>
      </w:r>
    </w:p>
    <w:p>
      <w:pPr>
        <w:ind w:left="2910"/>
        <w:spacing w:after="0" w:line="235" w:lineRule="auto"/>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170" w:right="3539" w:hanging="175"/>
        <w:spacing w:after="0" w:line="235"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w:t>
      </w:r>
    </w:p>
    <w:p>
      <w:pPr>
        <w:spacing w:after="0" w:line="6" w:lineRule="exact"/>
        <w:rPr>
          <w:sz w:val="20"/>
          <w:szCs w:val="20"/>
          <w:color w:val="auto"/>
        </w:rPr>
      </w:pPr>
    </w:p>
    <w:p>
      <w:pPr>
        <w:ind w:left="530" w:right="3799" w:hanging="175"/>
        <w:spacing w:after="0" w:line="256" w:lineRule="auto"/>
        <w:rPr>
          <w:sz w:val="20"/>
          <w:szCs w:val="20"/>
          <w:color w:val="auto"/>
        </w:rPr>
      </w:pPr>
      <w:r>
        <w:rPr>
          <w:rFonts w:ascii="Courier New" w:cs="Courier New" w:eastAsia="Courier New" w:hAnsi="Courier New"/>
          <w:sz w:val="14"/>
          <w:szCs w:val="14"/>
          <w:color w:val="auto"/>
        </w:rPr>
        <w:t>SECURITIES AND EXCHANGE COMMISSION OR ANY STATE SECURITIES COMMISSION PASSED UPON THE ACCURACY OR ADEQUACY OF THIS PROSPECTUS.</w:t>
      </w:r>
    </w:p>
    <w:p>
      <w:pPr>
        <w:ind w:left="970"/>
        <w:spacing w:after="0" w:line="233" w:lineRule="auto"/>
        <w:rPr>
          <w:sz w:val="20"/>
          <w:szCs w:val="20"/>
          <w:color w:val="auto"/>
        </w:rPr>
      </w:pPr>
      <w:r>
        <w:rPr>
          <w:rFonts w:ascii="Courier New" w:cs="Courier New" w:eastAsia="Courier New" w:hAnsi="Courier New"/>
          <w:sz w:val="15"/>
          <w:szCs w:val="15"/>
          <w:color w:val="auto"/>
        </w:rPr>
        <w:t>ANY REPRESENTATION TO THE CONTRARY IS A CRIMINAL OFFENSE.</w:t>
      </w:r>
    </w:p>
    <w:p>
      <w:pPr>
        <w:spacing w:after="0" w:line="33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622" w:right="1440" w:bottom="1440" w:gutter="0" w:footer="0" w:header="0"/>
        </w:sectPr>
      </w:pPr>
    </w:p>
    <w:p>
      <w:pPr>
        <w:spacing w:after="0" w:line="344" w:lineRule="exact"/>
        <w:rPr>
          <w:sz w:val="20"/>
          <w:szCs w:val="20"/>
          <w:color w:val="auto"/>
        </w:rPr>
      </w:pPr>
    </w:p>
    <w:p>
      <w:pPr>
        <w:ind w:left="1490"/>
        <w:spacing w:after="0"/>
        <w:rPr>
          <w:sz w:val="20"/>
          <w:szCs w:val="20"/>
          <w:color w:val="auto"/>
        </w:rPr>
      </w:pPr>
      <w:r>
        <w:rPr>
          <w:rFonts w:ascii="Courier New" w:cs="Courier New" w:eastAsia="Courier New" w:hAnsi="Courier New"/>
          <w:sz w:val="14"/>
          <w:szCs w:val="14"/>
          <w:color w:val="auto"/>
        </w:rPr>
        <w:t>The date of this Prospectus is June</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1997.</w:t>
      </w:r>
    </w:p>
    <w:p>
      <w:pPr>
        <w:sectPr>
          <w:pgSz w:w="11900" w:h="16838" w:orient="portrait"/>
          <w:cols w:equalWidth="0" w:num="2">
            <w:col w:w="4590" w:space="260"/>
            <w:col w:w="5379"/>
          </w:cols>
          <w:pgMar w:left="230" w:top="622" w:right="1440" w:bottom="1440" w:gutter="0" w:footer="0" w:header="0"/>
          <w:type w:val="continuous"/>
        </w:sectPr>
      </w:pPr>
    </w:p>
    <w:bookmarkStart w:id="4" w:name="page5"/>
    <w:bookmarkEnd w:id="4"/>
    <w:p>
      <w:pPr>
        <w:ind w:right="3179" w:firstLine="353"/>
        <w:spacing w:after="0" w:line="257" w:lineRule="auto"/>
        <w:rPr>
          <w:sz w:val="20"/>
          <w:szCs w:val="20"/>
          <w:color w:val="auto"/>
        </w:rPr>
      </w:pPr>
      <w:r>
        <w:rPr>
          <w:rFonts w:ascii="Courier New" w:cs="Courier New" w:eastAsia="Courier New" w:hAnsi="Courier New"/>
          <w:sz w:val="14"/>
          <w:szCs w:val="14"/>
          <w:color w:val="auto"/>
        </w:rPr>
        <w:t>NO PERSON HAS BEEN AUTHORIZED TO GIVE ANY INFORMATION OR TO MAKE ANY REPRESENTATIONS OTHER THAN THOSE CONTAINED OR INCORPORATED BY REFERENCE IN THIS PROSPECTUS AND ANY ACCOMPANYING PROSPECTUS SUPPLEMENT IN CONNECTION WITH THE OFFERING DESCRIBED HEREIN AND THEREIN, AND IF GIVEN OR MADE, SUCH INFORMATION OR REPRESENTATIONS MUST NOT BE RELIED UPON AS HAVING BEEN AUTHORIZED. NEITHER THIS PROSPECTUS NOR ANY PROSPECTUS SUPPLEMENT CONSTITUTES AN OFFER TO SELL OR A SOLICITATION OF AN OFFER TO BUY ANY SECURITIES OTHER THAN THE REGISTERED SECURITIES TO WHICH IT RELATES OR AN OFFER TO SELL OR A SOLICITATION OF AN OFFER TO BUY SUCH SECURITIES IN ANY CIRCUMSTANCES IN WHICH SUCH OFFER OR SOLICITATION IS UNLAWFUL. NEITHER THE DELIVERY OF THIS PROSPECTUS OR ANY PROSPECTUS SUPPLEMENT NOR ANY SALE MADE THEREUNDER SHALL UNDER ANY CIRCUMSTANCES CREATE ANY IMPLICATION THAT THERE HAS BEEN NO CHANGE IN THE AFFAIRS OF THE COMPANY SINCE THE DATE OF SUCH PROSPECTUS OR PROSPECTUS SUPPLEMENT OR THAT THE INFORMATION CONTAINED OR INCORPORATED BY REFERENCE THEREIN IS CORRECT AS OF ANY DATE SUBSEQUENT TO THE DATE OF SUCH PROSPECTUS OR PROSPECTUS SUPPLEMENT.</w:t>
      </w:r>
    </w:p>
    <w:p>
      <w:pPr>
        <w:spacing w:after="0" w:line="15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AVAILABLE INFORMATION</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maintained by the Commission at Room 1024, 450 Fifth Street, N.W., Washington, D.C. 20549 and at the Commission's regional offices located at Seven World Trade Center, 13th Floor, New York, New York 10048 and Citicorp Center, 14th Floor, 500 West Madison Street, Chicago, Illinois 60661. Copies of such materials can be obtained from the Public Reference Section of the Commission at Room 1024, 450 Fifth Street, N.W., Washington, D.C. 20549, at prescribed rates. The Commission maintains a Web site (located at http://www.sec.gov) which includes reports, proxy statements and other information filed electronically by registrants, including the Company, with the Commission. The Company's Common Stock is listed on the New York Stock Exchange. Reports, proxy statements and other information concerning the Company can also be inspected at the offices of the New York Stock Exchange, 20 Broad Street, New York, New York 10005.</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has filed with the Commission a Registration Statement on Form S-3 (together with all amendments, exhibits and schedules thereto, the "Registration Statement") under the Securities Act of 1933, as amended (the "Securities Act"), with respect to the Securities offered hereby. This Prospectus and any Prospectus Supplement do not contain all the information set forth in the Registration Statement, certain parts of which are omitted in accordance with the rules and regulations of the Commission. For further information with respect to the Company and the Securities, reference is made to the Registration Statement, including the exhibits and schedules thereto, which may be inspected without charge at the principal office of the Commission at 450 Fifth Street, N.W., Washington, D.C. 20549, and copies thereof may be obtained from the Commission at prescribed rates. Statements contained herein or in any Prospectus Supplement concerning any document filed as an exhibit to the Registration Statement do not purport to be complete, and in each instance, reference is made to the copy of such document filed as an exhibit to the Registration Statement or otherwise filed with the Commission. Each such statement is qualified in its entirety by such reference.</w:t>
      </w:r>
    </w:p>
    <w:p>
      <w:pPr>
        <w:spacing w:after="0" w:line="18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344"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following documents filed by the Company with the Commission are incorporated in and made a part of this Prospectus by reference: (i) Annual Report on Form 10-K for the fiscal year ended October 31, 1996; (ii) Quarterly Report on Form 10-Q for the three months ended January 31, 1997; (iii) Current Report on Form 8-K dated December 16, 1996; and (iv) Amendment No. 2 to Current Report on Form 8-K dated June 6, 1997.</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5" w:name="page6"/>
    <w:bookmarkEnd w:id="5"/>
    <w:p>
      <w:pPr>
        <w:ind w:right="3179" w:firstLine="353"/>
        <w:spacing w:after="0" w:line="257" w:lineRule="auto"/>
        <w:rPr>
          <w:sz w:val="20"/>
          <w:szCs w:val="20"/>
          <w:color w:val="auto"/>
        </w:rPr>
      </w:pPr>
      <w:r>
        <w:rPr>
          <w:rFonts w:ascii="Courier New" w:cs="Courier New" w:eastAsia="Courier New" w:hAnsi="Courier New"/>
          <w:sz w:val="14"/>
          <w:szCs w:val="14"/>
          <w:color w:val="auto"/>
        </w:rPr>
        <w:t>All documents filed by the Company with the Commission pursuant to Section 13(a), 13(c), 14 or 15(d) of the Exchange Act subsequent to the date of this Prospectus and prior to the termination of the offering of the Securities offered hereby shall be deemed to be incorporated by reference in this Prospectus and to be a part hereof from the date of filing of such documents. Any statement contained herein or in any Prospectus Supplement or in a document incorporated or deemed to be incorporated by reference herein or therein shall be deemed to be modified or superseded for purposes of this Prospectus and any Prospectus Supplement to the extent that a statement contained herein or in any other subsequently filed document which is incorporated or deemed to be incorporated by reference herein or in any Prospectus Supplement modifies or supersedes such statement. Any such statement so modified or superseded shall not be deemed, except as so modified or superseded, to constitute a part of this Prospectus or any Prospectus Supplement.</w:t>
      </w:r>
    </w:p>
    <w:p>
      <w:pPr>
        <w:spacing w:after="0" w:line="33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The Company will provide without charge to each person, including any beneficial owner, to whom this Prospectus is delivered, upon the written or oral request of such person, a copy of any or all of the information incorporated herein by reference (other than exhibits, unless such exhibits are specifically incorporated by reference in such documents). Written requests for such copies should be directed to N. Jeanne Ryan, Assistant Secretary, The Toro Company,</w:t>
      </w:r>
    </w:p>
    <w:p>
      <w:pPr>
        <w:spacing w:after="0" w:line="2"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8111 Lyndale Avenue South, Bloomington, Minnesota 55420. Telephone requests may be directed to (612) 888-8801.</w:t>
      </w:r>
    </w:p>
    <w:p>
      <w:pPr>
        <w:spacing w:after="0" w:line="17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COMPANY</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Toro Company is a leading manufacturer of consumer lawn mowers, snowthrowers, trimmers, commercial mowing and turf maintenance equipment and underground automatic irrigation systems. These products are sold under the Toro-Registered Trademark-, Wheel Horse-Registered Trademark-, Lawn-Boy-Registered Trademark- and other brand names to the consumer market and professional market, which includes entities that manage or construct golf courses, parks and other large turf areas. The consumer product line includes walk-behind mowers; riding mowers and lawn and garden tractors; electrical home improvement products, such as low voltage lighting, electric trimmers and leaf blowers; and snow removal products. The professional product line includes commercial products for professional turf and golf course maintenance, such as precision cutting mowers and turf aeration equipment, and irrigation products such as sprinkler heads and control devices for underground irrigation systems. The Company sells most of its products through domestic and foreign distributors and mass merchandisers.</w:t>
      </w:r>
    </w:p>
    <w:p>
      <w:pPr>
        <w:spacing w:after="0" w:line="18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 was incorporated in Minnesota in 1935 as the successor to a business founded in 1914. It was reincorporated in Delaware in 1983. The Company's executive offices are located at 8111 Lyndale Avenue South, Bloomington, Minnesota 55420, telephone number (612) 888-8801. Unless the context indicates otherwise, the term "Company" refers to The Toro Company and its subsidiaries. The Company finances a significant portion of its receivables through Toro Credit Company, its wholly owned consolidated finance subsidiary ("Toro Credit").</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8" w:right="1440" w:bottom="1440" w:gutter="0" w:footer="0" w:header="0"/>
        </w:sectPr>
      </w:pPr>
    </w:p>
    <w:bookmarkStart w:id="6" w:name="page7"/>
    <w:bookmarkEnd w:id="6"/>
    <w:p>
      <w:pPr>
        <w:ind w:left="1930"/>
        <w:spacing w:after="0"/>
        <w:rPr>
          <w:sz w:val="20"/>
          <w:szCs w:val="20"/>
          <w:color w:val="auto"/>
        </w:rPr>
      </w:pPr>
      <w:r>
        <w:rPr>
          <w:rFonts w:ascii="Courier New" w:cs="Courier New" w:eastAsia="Courier New" w:hAnsi="Courier New"/>
          <w:sz w:val="15"/>
          <w:szCs w:val="15"/>
          <w:color w:val="auto"/>
        </w:rPr>
        <w:t>RATIOS OF EARNINGS TO FIXED CHARGES</w:t>
      </w:r>
    </w:p>
    <w:p>
      <w:pPr>
        <w:spacing w:after="0" w:line="344" w:lineRule="exact"/>
        <w:rPr>
          <w:sz w:val="20"/>
          <w:szCs w:val="20"/>
          <w:color w:val="auto"/>
        </w:rPr>
      </w:pPr>
    </w:p>
    <w:p>
      <w:pPr>
        <w:jc w:val="both"/>
        <w:ind w:left="10" w:right="3359" w:firstLine="353"/>
        <w:spacing w:after="0" w:line="237" w:lineRule="auto"/>
        <w:rPr>
          <w:sz w:val="20"/>
          <w:szCs w:val="20"/>
          <w:color w:val="auto"/>
        </w:rPr>
      </w:pPr>
      <w:r>
        <w:rPr>
          <w:rFonts w:ascii="Courier New" w:cs="Courier New" w:eastAsia="Courier New" w:hAnsi="Courier New"/>
          <w:sz w:val="15"/>
          <w:szCs w:val="15"/>
          <w:color w:val="auto"/>
        </w:rPr>
        <w:t>The following table sets forth the ratios (unaudited) of earnings to fixed charges for the Company and its consolidated subsidiaries for each of the four fiscal years ended July 31, 1995, for the three month transition period ended October 31, 1995, for the fiscal year ended October 31, 1996 and for the three months ended January 31,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TRANSITION</w:t>
            </w:r>
          </w:p>
        </w:tc>
        <w:tc>
          <w:tcPr>
            <w:tcW w:w="1140" w:type="dxa"/>
            <w:vAlign w:val="bottom"/>
          </w:tcPr>
          <w:p>
            <w:pPr>
              <w:spacing w:after="0"/>
              <w:rPr>
                <w:sz w:val="14"/>
                <w:szCs w:val="14"/>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THREE</w:t>
            </w:r>
          </w:p>
        </w:tc>
      </w:tr>
      <w:tr>
        <w:trPr>
          <w:trHeight w:val="170"/>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PERIOD</w:t>
            </w:r>
          </w:p>
        </w:tc>
        <w:tc>
          <w:tcPr>
            <w:tcW w:w="1140" w:type="dxa"/>
            <w:vAlign w:val="bottom"/>
          </w:tcPr>
          <w:p>
            <w:pPr>
              <w:spacing w:after="0"/>
              <w:rPr>
                <w:sz w:val="14"/>
                <w:szCs w:val="14"/>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MONTHS</w:t>
            </w:r>
          </w:p>
        </w:tc>
      </w:tr>
      <w:tr>
        <w:trPr>
          <w:trHeight w:val="170"/>
        </w:trPr>
        <w:tc>
          <w:tcPr>
            <w:tcW w:w="3160" w:type="dxa"/>
            <w:vAlign w:val="bottom"/>
          </w:tcPr>
          <w:p>
            <w:pPr>
              <w:spacing w:after="0"/>
              <w:rPr>
                <w:sz w:val="14"/>
                <w:szCs w:val="14"/>
                <w:color w:val="auto"/>
              </w:rPr>
            </w:pPr>
          </w:p>
        </w:tc>
        <w:tc>
          <w:tcPr>
            <w:tcW w:w="24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YEAR ENDED JULY 31,</w:t>
            </w:r>
          </w:p>
        </w:tc>
        <w:tc>
          <w:tcPr>
            <w:tcW w:w="700" w:type="dxa"/>
            <w:vAlign w:val="bottom"/>
          </w:tcPr>
          <w:p>
            <w:pPr>
              <w:spacing w:after="0"/>
              <w:rPr>
                <w:sz w:val="14"/>
                <w:szCs w:val="14"/>
                <w:color w:val="auto"/>
              </w:rPr>
            </w:pP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ENDED</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YEAR ENDED</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316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OCTOBER 31,</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OCTOBER 31,</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w w:val="94"/>
              </w:rPr>
              <w:t>JANUARY 31,</w:t>
            </w:r>
          </w:p>
        </w:tc>
      </w:tr>
      <w:tr>
        <w:trPr>
          <w:trHeight w:val="170"/>
        </w:trPr>
        <w:tc>
          <w:tcPr>
            <w:tcW w:w="3160" w:type="dxa"/>
            <w:vAlign w:val="bottom"/>
          </w:tcPr>
          <w:p>
            <w:pPr>
              <w:spacing w:after="0"/>
              <w:rPr>
                <w:sz w:val="14"/>
                <w:szCs w:val="14"/>
                <w:color w:val="auto"/>
              </w:rPr>
            </w:pPr>
          </w:p>
        </w:tc>
        <w:tc>
          <w:tcPr>
            <w:tcW w:w="1140" w:type="dxa"/>
            <w:vAlign w:val="bottom"/>
          </w:tcPr>
          <w:p>
            <w:pPr>
              <w:jc w:val="right"/>
              <w:ind w:right="450"/>
              <w:spacing w:after="0"/>
              <w:rPr>
                <w:sz w:val="20"/>
                <w:szCs w:val="20"/>
                <w:color w:val="auto"/>
              </w:rPr>
            </w:pPr>
            <w:r>
              <w:rPr>
                <w:rFonts w:ascii="Courier New" w:cs="Courier New" w:eastAsia="Courier New" w:hAnsi="Courier New"/>
                <w:sz w:val="15"/>
                <w:szCs w:val="15"/>
                <w:color w:val="auto"/>
              </w:rPr>
              <w:t>1992</w:t>
            </w:r>
          </w:p>
        </w:tc>
        <w:tc>
          <w:tcPr>
            <w:tcW w:w="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1993</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3160" w:type="dxa"/>
            <w:vAlign w:val="bottom"/>
          </w:tcPr>
          <w:p>
            <w:pPr>
              <w:spacing w:after="0"/>
              <w:rPr>
                <w:sz w:val="14"/>
                <w:szCs w:val="14"/>
                <w:color w:val="auto"/>
              </w:rPr>
            </w:pPr>
          </w:p>
        </w:tc>
        <w:tc>
          <w:tcPr>
            <w:tcW w:w="114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  -----------</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charges(1).......................</w:t>
            </w:r>
          </w:p>
        </w:tc>
        <w:tc>
          <w:tcPr>
            <w:tcW w:w="114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 (2)</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3.32</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5.10</w:t>
            </w:r>
          </w:p>
        </w:tc>
        <w:tc>
          <w:tcPr>
            <w:tcW w:w="1140" w:type="dxa"/>
            <w:vAlign w:val="bottom"/>
          </w:tcPr>
          <w:p>
            <w:pPr>
              <w:ind w:left="520"/>
              <w:spacing w:after="0"/>
              <w:rPr>
                <w:sz w:val="20"/>
                <w:szCs w:val="20"/>
                <w:color w:val="auto"/>
              </w:rPr>
            </w:pPr>
            <w:r>
              <w:rPr>
                <w:rFonts w:ascii="Courier New" w:cs="Courier New" w:eastAsia="Courier New" w:hAnsi="Courier New"/>
                <w:sz w:val="15"/>
                <w:szCs w:val="15"/>
                <w:color w:val="auto"/>
              </w:rPr>
              <w:t>3.02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2.12</w:t>
            </w:r>
          </w:p>
        </w:tc>
      </w:tr>
    </w:tbl>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699" w:hanging="350"/>
        <w:spacing w:after="0" w:line="260" w:lineRule="auto"/>
        <w:tabs>
          <w:tab w:leader="none" w:pos="35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consist of pre-tax earnings plus fixed charges. Fixed charges consist of interest on indebtedness, amortization of debt expense and premium, and that portion of rentals representative of interest.</w:t>
      </w:r>
    </w:p>
    <w:p>
      <w:pPr>
        <w:spacing w:after="0" w:line="332" w:lineRule="exact"/>
        <w:rPr>
          <w:rFonts w:ascii="Courier New" w:cs="Courier New" w:eastAsia="Courier New" w:hAnsi="Courier New"/>
          <w:sz w:val="14"/>
          <w:szCs w:val="14"/>
          <w:color w:val="auto"/>
        </w:rPr>
      </w:pPr>
    </w:p>
    <w:p>
      <w:pPr>
        <w:ind w:left="350" w:right="3539" w:hanging="350"/>
        <w:spacing w:after="0" w:line="235"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fiscal year ended July 31, 1992, earnings were insufficient to cover fixed charges by $34,903,000.</w:t>
      </w:r>
    </w:p>
    <w:p>
      <w:pPr>
        <w:spacing w:after="0" w:line="340"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USE OF PROCEEDS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Except as otherwise provided in the applicable Prospectus Supplement, the net proceeds received by the Company from the sale of the Securities will be utilized by the Company as required from time to time for working capital and expansion of the businesses of the Company and its subsidiaries, including Toro Credit, for the repayment of existing indebtedness and for other general corporate purposes. To the extent not theretofore utilized, the net proceeds received by the Company may be placed in short-term investments, including commercial paper and certificates of deposit, or utilized to reduce other short-term borrowings. Except as may be indicated in the applicable Prospectus Supplement, no specific determination has been made as to the use of the proceeds of the Securities in respect of which this Prospectus is being delivered.</w:t>
      </w:r>
    </w:p>
    <w:p>
      <w:pPr>
        <w:spacing w:after="0" w:line="176"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DESCRIPTION OF DEBT SECURITIES</w:t>
      </w:r>
    </w:p>
    <w:p>
      <w:pPr>
        <w:spacing w:after="0" w:line="175" w:lineRule="exact"/>
        <w:rPr>
          <w:sz w:val="20"/>
          <w:szCs w:val="20"/>
          <w:color w:val="auto"/>
        </w:rPr>
      </w:pPr>
    </w:p>
    <w:p>
      <w:pPr>
        <w:ind w:left="10" w:right="3179" w:firstLine="353"/>
        <w:spacing w:after="0" w:line="258" w:lineRule="auto"/>
        <w:rPr>
          <w:sz w:val="20"/>
          <w:szCs w:val="20"/>
          <w:color w:val="auto"/>
        </w:rPr>
      </w:pPr>
      <w:r>
        <w:rPr>
          <w:rFonts w:ascii="Courier New" w:cs="Courier New" w:eastAsia="Courier New" w:hAnsi="Courier New"/>
          <w:sz w:val="14"/>
          <w:szCs w:val="14"/>
          <w:color w:val="auto"/>
        </w:rPr>
        <w:t>The following description of the terms of the Debt Securities sets forth certain general terms and provisions of the Debt Securities to which any Prospectus Supplement may relate. The particular terms of the Debt Securities offered by any Prospectus Supplement (the "Offered Debt Securities") and the extent, if any, to which such general provisions may not apply thereto will be described in the Prospectus Supplement relating to such Offered Debt Securities.</w:t>
      </w:r>
    </w:p>
    <w:p>
      <w:pPr>
        <w:spacing w:after="0" w:line="164"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Debt Securities are to be issued in one or more series under an Indenture dated as of January 31, 1997 (the "Indenture") between the Company and First Trust National Association, as Trustee (the "Trustee"), a copy of which is filed as an exhibit to the Registration Statement. The following summaries of certain provisions of the Debt Securities and the Indenture do not purport to be complete and are subject to, and are qualified in their entireties by reference to, all of the provisions of the Indenture, including the definitions therein of certain terms. Whenever particular provisions or defined terms in the Indenture are referred to herein, such provisions or defined terms are incorporated by reference herein.</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Indenture does not limit the amount of Debt Securities which can be issued thereunder and provides that Debt Securities of any series may be issued thereunder up to the aggregate principal</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452" w:right="1440" w:bottom="1440" w:gutter="0" w:footer="0" w:header="0"/>
        </w:sectPr>
      </w:pPr>
    </w:p>
    <w:bookmarkStart w:id="7" w:name="page8"/>
    <w:bookmarkEnd w:id="7"/>
    <w:p>
      <w:pPr>
        <w:ind w:left="10" w:right="3179"/>
        <w:spacing w:after="0" w:line="238" w:lineRule="auto"/>
        <w:rPr>
          <w:sz w:val="20"/>
          <w:szCs w:val="20"/>
          <w:color w:val="auto"/>
        </w:rPr>
      </w:pPr>
      <w:r>
        <w:rPr>
          <w:rFonts w:ascii="Courier New" w:cs="Courier New" w:eastAsia="Courier New" w:hAnsi="Courier New"/>
          <w:sz w:val="15"/>
          <w:szCs w:val="15"/>
          <w:color w:val="auto"/>
        </w:rPr>
        <w:t>amount which may be authorized from time to time by the Company. The Indenture does not limit the amount of other indebtedness or securities, other than certain secured indebtedness as described below, which may be issued by the Company. All Debt Securities will be unsecured and will rank pari passu with all other unsecured and unsubordinated indebtedness of the Company. The Trustee will authenticate and deliver Debt Securities executed and delivered to it by the Company as set forth in the Indenture.</w:t>
      </w:r>
    </w:p>
    <w:p>
      <w:pPr>
        <w:spacing w:after="0" w:line="177"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Reference is made to the related Prospectus Supplement for the following and other possible terms of each series of the Offered Debt Securities in respect of which this Prospectus is being delivered: (i) the title of the Offered Debt Securities; (ii) any limit upon the aggregate principal amount of the Offered Debt Securities; (iii) if other than 100% of the principal amount, the percentage of their principal amount at which the Offered Debt Securities will be offered; (iv) the date or dates on which the principal of the Offered Debt Securities will be payable; (v) the rate or rates (or method of determination thereof), if any, at which the Offered Debt Securities will bear interest, the date or dates from which any such interest will accrue and on which such interest will be payable, and, with respect to Offered Debt Securities in registered form, the record dates for the determination of the holders to whom interest is payable; (vi) if other than as set forth herein, the place or places where the principal of and interest, if any, on the Offered Debt Securities will be payable; (vii) the price or prices at which, the period or periods within which and the terms and conditions upon which the Offered Debt Securities may be redeemed, in whole or in part, at the option of the Company, pursuant to any sinking fund or otherwise; (viii) if other than the principal amount thereof, the portion of the principal amount of the Offered Debt Securities which will be payable upon maturity or acceleration of the maturity thereof; (ix) the obligation, if any, of the Company to redeem, purchase or repay the Offered Debt Securities, whether pursuant to any sinking fund or analogous provisions or pursuant to other provisions set forth therein or at the option of a holder thereof; (x) whether the Offered Debt Securities will be issuable in registered or bearer form or both, and the rights of the holders to exchange the Offered Debt Securities in bearer form for the Offered Debt Securities in registered form and vice versa and the circumstances under which any such exchanges, if permitted, may be made; (xi) whether and under what circumstances the Company will pay additional amounts on the Offered Debt Securities held by a person who is not a U.S. Person in respect of taxes or similar charges withheld or deducted and, if so, whether the Company will have the option to redeem the Offered Debt Securities rather than pay such additional amounts; (xii) whether and under what circumstances the Offered Debt Securities are convertible into Debt Securities of a different series; (xiii) information with respect to Warrants, if any;</w:t>
      </w:r>
    </w:p>
    <w:p>
      <w:pPr>
        <w:spacing w:after="0" w:line="181" w:lineRule="exact"/>
        <w:rPr>
          <w:sz w:val="20"/>
          <w:szCs w:val="20"/>
          <w:color w:val="auto"/>
        </w:rPr>
      </w:pPr>
    </w:p>
    <w:p>
      <w:pPr>
        <w:ind w:left="10" w:right="3259" w:hanging="10"/>
        <w:spacing w:after="0" w:line="238" w:lineRule="auto"/>
        <w:tabs>
          <w:tab w:leader="none" w:pos="53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currency or currency unit in which the Offered Debt Securities are issued or payable; (xv) whether the Offered Debt Securities will be represented in whole or in part by one or more global notes registered in the name of a depositary or its nominee; and (xvi) any other terms or conditions not inconsistent with the provisions of the Indenture upon which the Offered Debt Securities will be offered. "Principal" when used herein includes, when appropriate, the premium, if any, on the Debt Securities.</w:t>
      </w:r>
    </w:p>
    <w:p>
      <w:pPr>
        <w:spacing w:after="0" w:line="177"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One or more series of Debt Securities may be sold at a substantial discount below their stated principal amount, bearing no interest or interest at a rate which at the time of issuance is below market rates. Federal income tax consequences and special considerations applicable thereto will be described in the Prospectus Supplement or Prospectus Supplements relating to any such series of Debt Securities. In general, federal income tax consequences applicable to a series of Debt Securities will be described in the Prospectus Supplement relating thereto, to the extent applicable.</w:t>
      </w:r>
    </w:p>
    <w:p>
      <w:pPr>
        <w:spacing w:after="0" w:line="178"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Unless otherwise provided in the Prospectus Supplement relating to any Offered Debt Securities, principal and interest, if any, will be payable, and the Debt Securities will be transferable or exchangeable, at the office or offices or agency maintained by the Company for such purposes, provided that payment of interest on any registered Debt Securities will be paid at such place of payment by check mailed to the persons entitled thereto at the addresses of such persons appearing on the Debt Securities register. Interest on registered Debt Securities will be payable on any interest payment date to the</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458" w:right="1440" w:bottom="1440" w:gutter="0" w:footer="0" w:header="0"/>
        </w:sectPr>
      </w:pPr>
    </w:p>
    <w:bookmarkStart w:id="8" w:name="page9"/>
    <w:bookmarkEnd w:id="8"/>
    <w:p>
      <w:pPr>
        <w:ind w:right="3879"/>
        <w:spacing w:after="0" w:line="265" w:lineRule="auto"/>
        <w:rPr>
          <w:sz w:val="20"/>
          <w:szCs w:val="20"/>
          <w:color w:val="auto"/>
        </w:rPr>
      </w:pPr>
      <w:r>
        <w:rPr>
          <w:rFonts w:ascii="Courier New" w:cs="Courier New" w:eastAsia="Courier New" w:hAnsi="Courier New"/>
          <w:sz w:val="14"/>
          <w:szCs w:val="14"/>
          <w:color w:val="auto"/>
        </w:rPr>
        <w:t>persons in whose name the Debt Securities are registered at the close of business on the record date with respect to such interest payment date.</w:t>
      </w:r>
    </w:p>
    <w:p>
      <w:pPr>
        <w:spacing w:after="0" w:line="15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Debt Securities may be issued in registered form or, if provided by a supplement to the Indenture, in bearer form or both as specified in the terms of the series. Additionally, the Debt Securities may be represented in whole or in part by one or more global notes registered in the name of a depositary or its nominee and, if so represented, beneficial interests in such global note will be shown on, and transfers thereof will be effected only through, records maintained by the designated depositary and its participants.</w:t>
      </w:r>
    </w:p>
    <w:p>
      <w:pPr>
        <w:spacing w:after="0" w:line="17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Debt Securities offered hereby will be issued in denominations of $1,000 or any whole multiple of $1,000 or the equivalent thereof in foreign denominated currency or currency units, unless otherwise specified in the Prospectus Supplement relating to any Debt Securities.</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Indenture requires the annual filing by the Company with the Trustee of a certificate as to compliance with certain covenants contained in the Indenture.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will comply with Section 14(e) under the Exchange Act, and any other tender offer rules under the Exchange Act which may then be applicable, in connection with any obligation of the Company to purchase Offered Debt Securities at the option of the holders thereof. Any such obligation applicable to a series of Debt Securities will be described in the Prospectus Supplement or Prospectus Supplements relating thereto.</w:t>
      </w:r>
    </w:p>
    <w:p>
      <w:pPr>
        <w:spacing w:after="0" w:line="17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Company may at any time purchase Debt Securities at any price in the open market or otherwise. Debt Securities so purchased by the Company may, at its sole option, be held, resold or surrendered to the Trustee in satisfaction of any sinking fund payment obligation or for cancellation.</w:t>
      </w:r>
    </w:p>
    <w:p>
      <w:pPr>
        <w:spacing w:after="0" w:line="176" w:lineRule="exact"/>
        <w:rPr>
          <w:sz w:val="20"/>
          <w:szCs w:val="20"/>
          <w:color w:val="auto"/>
        </w:rPr>
      </w:pPr>
    </w:p>
    <w:p>
      <w:pPr>
        <w:ind w:right="3179" w:firstLine="353"/>
        <w:spacing w:after="0" w:line="259" w:lineRule="auto"/>
        <w:rPr>
          <w:sz w:val="20"/>
          <w:szCs w:val="20"/>
          <w:color w:val="auto"/>
        </w:rPr>
      </w:pPr>
      <w:r>
        <w:rPr>
          <w:rFonts w:ascii="Courier New" w:cs="Courier New" w:eastAsia="Courier New" w:hAnsi="Courier New"/>
          <w:sz w:val="14"/>
          <w:szCs w:val="14"/>
          <w:color w:val="auto"/>
        </w:rPr>
        <w:t>Unless otherwise described in a Prospectus Supplement relating to any Offered Debt Securities, there are no covenants or provisions contained in the Indenture which may afford the holders of Offered Debt Securities direct protection in the event of a highly leveraged transaction involving the Company.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AND TRANSFER</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At the option of the holder, subject to the terms of the Indenture and the limitations applicable to Global Securities (as defined in the Indenture), Debt Securities of each series will be exchangeable for other Debt Securities of the same series of any authorized denomination and of like tenor and aggregate principal amount.</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Subject to the terms of the Indenture and the limitations applicable to Global Securities, Debt Securities may be presented for exchange as provided above or for registration of transfer (duly endorsed or with the form of transfer endorsed thereon duly executed) at the office of the Security Registrar (as defined in the Indenture) or at the office of any transfer agent designated by the Company for such purpose. No service charge will be made for any registration of transfer or exchange of Debt Securities, but the Company may require payment of a sum sufficient to cover any tax or other governmental charge payable in connection therewith. Such transfer or exchange will be effected by the Security Registrar or such transfer agent, as the case may be, being satisfied with the documents of title and identity of the person making the request. The Company has appointed the Trustee as Security Registrar. The Company may at any time designate additional transfer agents or rescind the designation of any transfer agent or approve a change in the office through which any transfer agent acts, except that the Company will be required to maintain a transfer agent in each place of payment for the Debt Securities of each series.</w:t>
      </w:r>
    </w:p>
    <w:p>
      <w:pPr>
        <w:spacing w:after="0" w:line="187"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If the Debt Securities of any series (or of any series and specified tenor) are to be redeemed in part, the Company will not be required to (i) issue, register the transfer of or exchange any Debt Security of that series (or of that series and specified tenor, as the case may be) during a period beginning at the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8" w:right="1440" w:bottom="1440" w:gutter="0" w:footer="0" w:header="0"/>
        </w:sectPr>
      </w:pPr>
    </w:p>
    <w:bookmarkStart w:id="9" w:name="page10"/>
    <w:bookmarkEnd w:id="9"/>
    <w:p>
      <w:pPr>
        <w:ind w:right="3259"/>
        <w:spacing w:after="0" w:line="258" w:lineRule="auto"/>
        <w:rPr>
          <w:sz w:val="20"/>
          <w:szCs w:val="20"/>
          <w:color w:val="auto"/>
        </w:rPr>
      </w:pPr>
      <w:r>
        <w:rPr>
          <w:rFonts w:ascii="Courier New" w:cs="Courier New" w:eastAsia="Courier New" w:hAnsi="Courier New"/>
          <w:sz w:val="14"/>
          <w:szCs w:val="14"/>
          <w:color w:val="auto"/>
        </w:rPr>
        <w:t>opening of business 15 days before the day of mailing of a notice of redemption of any such Debt Security that may be selected for redemption and ending at the close of business on the day of such mailing, or (ii) register the transfer of or exchange any Debt Security so selected for redemption, in whole or in part, except the unredeemed portion of any such Debt Security being redeemed in part.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RESTRICTIVE COVENANTS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LIMITATIONS ON LIENS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Unless otherwise indicated in a Prospectus Supplement, the Company will covenant that, so long as any of the Debt Securities of a series remain outstanding, the Company will not, and will not permit any Restricted Subsidiary (as defined below) to, issue, incur, create, assume or guarantee, any debt for borrowed money secured by a mortgage, security interest, pledge, lien, charge or other encumbrance ("mortgages") upon any Principal Property (as defined below) of the Company or any Restricted Subsidiary or upon any shares of stock or indebtedness of any Restricted Subsidiary (whether such Principal Property, shares or indebtedness are existing or owned at the date of the Indenture or are thereafter created or acquired) without in any such case effectively providing concurrently with the issuance, incurrence, creation, assumption or guarantee of any such secured debt, or the grant of a mortgage with respect to any such indebtedness, that the Securities (together with, if the Company shall so determine, any other indebtedness of or guarantee by the Company or such Restricted Subsidiary ranking equally with the Securities) shall be secured equally and ratably with (or prior to) such secured debt. The foregoing restriction, however, will not apply to:</w:t>
      </w:r>
    </w:p>
    <w:p>
      <w:pPr>
        <w:spacing w:after="0" w:line="187" w:lineRule="exact"/>
        <w:rPr>
          <w:sz w:val="20"/>
          <w:szCs w:val="20"/>
          <w:color w:val="auto"/>
        </w:rPr>
      </w:pPr>
    </w:p>
    <w:p>
      <w:pPr>
        <w:ind w:left="340" w:right="3179" w:firstLine="356"/>
        <w:spacing w:after="0" w:line="235" w:lineRule="auto"/>
        <w:tabs>
          <w:tab w:leader="none" w:pos="1045"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existing at the time of acquisition thereof by the Company or any Subsidiary (as defined below);</w:t>
      </w:r>
    </w:p>
    <w:p>
      <w:pPr>
        <w:spacing w:after="0" w:line="175" w:lineRule="exact"/>
        <w:rPr>
          <w:rFonts w:ascii="Courier New" w:cs="Courier New" w:eastAsia="Courier New" w:hAnsi="Courier New"/>
          <w:sz w:val="15"/>
          <w:szCs w:val="15"/>
          <w:color w:val="auto"/>
        </w:rPr>
      </w:pPr>
    </w:p>
    <w:p>
      <w:pPr>
        <w:ind w:left="340" w:right="3439" w:firstLine="356"/>
        <w:spacing w:after="0" w:line="237" w:lineRule="auto"/>
        <w:tabs>
          <w:tab w:leader="none" w:pos="1045"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shares of stock or indebtedness or other assets of any corporation existing at the time such corporation becomes a Restricted Subsidiary;</w:t>
      </w:r>
    </w:p>
    <w:p>
      <w:pPr>
        <w:spacing w:after="0" w:line="174" w:lineRule="exact"/>
        <w:rPr>
          <w:rFonts w:ascii="Courier New" w:cs="Courier New" w:eastAsia="Courier New" w:hAnsi="Courier New"/>
          <w:sz w:val="15"/>
          <w:szCs w:val="15"/>
          <w:color w:val="auto"/>
        </w:rPr>
      </w:pPr>
    </w:p>
    <w:p>
      <w:pPr>
        <w:ind w:left="340" w:right="3179" w:firstLine="356"/>
        <w:spacing w:after="0" w:line="257" w:lineRule="auto"/>
        <w:tabs>
          <w:tab w:leader="none" w:pos="1045"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shares of stock or indebtedness existing at the time of acquisition thereof by the Company or a Restricted Subsidiary or mortgages thereon to secure the payment of all or any part of the purchase price thereof, or mortgages on property, shares of stock or indebtedness to secure any indebtedness for borrowed money incurred prior to, at the time of, or within 270 days after, the latest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w:t>
      </w:r>
    </w:p>
    <w:p>
      <w:pPr>
        <w:spacing w:after="0" w:line="166" w:lineRule="exact"/>
        <w:rPr>
          <w:rFonts w:ascii="Courier New" w:cs="Courier New" w:eastAsia="Courier New" w:hAnsi="Courier New"/>
          <w:sz w:val="14"/>
          <w:szCs w:val="14"/>
          <w:color w:val="auto"/>
        </w:rPr>
      </w:pPr>
    </w:p>
    <w:p>
      <w:pPr>
        <w:ind w:left="340" w:right="3799" w:firstLine="356"/>
        <w:spacing w:after="0" w:line="235" w:lineRule="auto"/>
        <w:tabs>
          <w:tab w:leader="none" w:pos="1045"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to secure indebtedness owing to the Company or to a Restricted Subsidiary;</w:t>
      </w:r>
    </w:p>
    <w:p>
      <w:pPr>
        <w:spacing w:after="0" w:line="170" w:lineRule="exact"/>
        <w:rPr>
          <w:rFonts w:ascii="Courier New" w:cs="Courier New" w:eastAsia="Courier New" w:hAnsi="Courier New"/>
          <w:sz w:val="15"/>
          <w:szCs w:val="15"/>
          <w:color w:val="auto"/>
        </w:rPr>
      </w:pPr>
    </w:p>
    <w:p>
      <w:pPr>
        <w:ind w:left="1040" w:hanging="344"/>
        <w:spacing w:after="0"/>
        <w:tabs>
          <w:tab w:leader="none" w:pos="104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existing at the date of the Indenture;</w:t>
      </w:r>
    </w:p>
    <w:p>
      <w:pPr>
        <w:spacing w:after="0" w:line="174" w:lineRule="exact"/>
        <w:rPr>
          <w:rFonts w:ascii="Courier New" w:cs="Courier New" w:eastAsia="Courier New" w:hAnsi="Courier New"/>
          <w:sz w:val="15"/>
          <w:szCs w:val="15"/>
          <w:color w:val="auto"/>
        </w:rPr>
      </w:pPr>
    </w:p>
    <w:p>
      <w:pPr>
        <w:ind w:left="340" w:right="3259" w:firstLine="356"/>
        <w:spacing w:after="0" w:line="237" w:lineRule="auto"/>
        <w:tabs>
          <w:tab w:leader="none" w:pos="1133"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of a corporation existing at the time such corporation is merged into or consolidated with the Company or a Restricted Subsidiary or at the time of a sale, lease or other disposition of the properties of a corporation as an entirety or substantially as an entirety to the Company or a Restricted Subsidiary;</w:t>
      </w:r>
    </w:p>
    <w:p>
      <w:pPr>
        <w:spacing w:after="0" w:line="178" w:lineRule="exact"/>
        <w:rPr>
          <w:rFonts w:ascii="Courier New" w:cs="Courier New" w:eastAsia="Courier New" w:hAnsi="Courier New"/>
          <w:sz w:val="15"/>
          <w:szCs w:val="15"/>
          <w:color w:val="auto"/>
        </w:rPr>
      </w:pPr>
    </w:p>
    <w:p>
      <w:pPr>
        <w:ind w:left="340" w:right="3259" w:firstLine="356"/>
        <w:spacing w:after="0" w:line="237" w:lineRule="auto"/>
        <w:tabs>
          <w:tab w:leader="none" w:pos="1045"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in favor of certain governmental subdivisions or agencies to secure indebtedness incurred to finance the purchase, construction or improvement of the property subject to such mortgages;</w:t>
      </w:r>
    </w:p>
    <w:p>
      <w:pPr>
        <w:spacing w:after="0" w:line="174" w:lineRule="exact"/>
        <w:rPr>
          <w:rFonts w:ascii="Courier New" w:cs="Courier New" w:eastAsia="Courier New" w:hAnsi="Courier New"/>
          <w:sz w:val="15"/>
          <w:szCs w:val="15"/>
          <w:color w:val="auto"/>
        </w:rPr>
      </w:pPr>
    </w:p>
    <w:p>
      <w:pPr>
        <w:ind w:left="340" w:right="3259" w:firstLine="356"/>
        <w:spacing w:after="0" w:line="237" w:lineRule="auto"/>
        <w:tabs>
          <w:tab w:leader="none" w:pos="1045"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created in connection with the acquisition of assets or a project financed with, and created to secure; a Nonrecourse Obligation (as defined below);</w:t>
      </w:r>
    </w:p>
    <w:p>
      <w:pPr>
        <w:spacing w:after="0" w:line="174" w:lineRule="exact"/>
        <w:rPr>
          <w:rFonts w:ascii="Courier New" w:cs="Courier New" w:eastAsia="Courier New" w:hAnsi="Courier New"/>
          <w:sz w:val="15"/>
          <w:szCs w:val="15"/>
          <w:color w:val="auto"/>
        </w:rPr>
      </w:pPr>
    </w:p>
    <w:p>
      <w:pPr>
        <w:ind w:left="340" w:right="3179" w:firstLine="356"/>
        <w:spacing w:after="0" w:line="256" w:lineRule="auto"/>
        <w:tabs>
          <w:tab w:leader="none" w:pos="1133"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extensions, renewals, refinancings or replacements of the foregoing any mortgage referred to in the foregoing clauses (a), (b), (c), (e), (f),</w:t>
      </w:r>
    </w:p>
    <w:p>
      <w:pPr>
        <w:ind w:left="700" w:hanging="357"/>
        <w:spacing w:after="0"/>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(h) provided, however, that any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8" w:right="1440" w:bottom="1440" w:gutter="0" w:footer="0" w:header="0"/>
        </w:sectPr>
      </w:pPr>
    </w:p>
    <w:bookmarkStart w:id="10" w:name="page11"/>
    <w:bookmarkEnd w:id="10"/>
    <w:p>
      <w:pPr>
        <w:ind w:left="340"/>
        <w:spacing w:after="0"/>
        <w:rPr>
          <w:sz w:val="20"/>
          <w:szCs w:val="20"/>
          <w:color w:val="auto"/>
        </w:rPr>
      </w:pPr>
      <w:r>
        <w:rPr>
          <w:rFonts w:ascii="Courier New" w:cs="Courier New" w:eastAsia="Courier New" w:hAnsi="Courier New"/>
          <w:sz w:val="14"/>
          <w:szCs w:val="14"/>
          <w:color w:val="auto"/>
        </w:rPr>
        <w:t>mortgages permitted by any of the foregoing clauses (a), (b), (c), (e), (f),</w:t>
      </w:r>
    </w:p>
    <w:p>
      <w:pPr>
        <w:spacing w:after="0" w:line="11" w:lineRule="exact"/>
        <w:rPr>
          <w:sz w:val="20"/>
          <w:szCs w:val="20"/>
          <w:color w:val="auto"/>
        </w:rPr>
      </w:pPr>
    </w:p>
    <w:p>
      <w:pPr>
        <w:ind w:left="340" w:right="3179" w:firstLine="3"/>
        <w:spacing w:after="0" w:line="238" w:lineRule="auto"/>
        <w:tabs>
          <w:tab w:leader="none" w:pos="69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(h) shall not extend to or cover any property of the Company or such Restricted Subsidiary, as the case may be, other than the property, if any, specified in such clauses and improvements thereto, and provided further that any refinancing or replacement of any mortgages permitted by the foregoing clauses (g) and (h) shall be of the type referred to in such clauses (g) and (h), as the case may be.</w:t>
      </w:r>
    </w:p>
    <w:p>
      <w:pPr>
        <w:spacing w:after="0" w:line="17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Notwithstanding the restrictions described in the preceding paragraph, the Company or any Restricted Subsidiary will be permitted to issue, incur, create, assume or guarantee debt secured by a mortgage which would otherwise be subject to such restrictions, without equally and ratably securing the Securities, provided that after giving effect thereto, the aggregate amount of all debt so secured by mortgages (not including mortgages permitted under clauses (a) through (i) above) does not exceed 10% of the Consolidated Net Tangible Assets (as defined below) of the Company as most recently determined on or prior to such date.</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RESTRICTIONS ON SALE AND LEASEBACKS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Unless otherwise indicated in a Prospectus Supplement, the Company will covenant that, so long as any of the Debt Securities of a series remain outstanding, the Company will not, nor will it permit any Restricted Subsidiary to, enter into any Sale and Leaseback Transaction (as defined below) with respect to any Principal Property unless: (a) the Company or such Restricted Subsidiary would be entitled to incur indebtedness secured by a mortgage on the Principal Property involved in such transaction at least equal in amount to the Attributable Debt (as defined below) with respect to such Sale and Leaseback Transaction, without equally and ratably securing the Debt Securities; or (b) the Company shall apply an amount equal to the greater of the net proceeds of such sale or the Attributable Debt with respect to such Sale and Leaseback Transaction within 270 days of such sale to either (or a combination of) the retirement (other than any mandatory retirement, mandatory prepayment or sinking fund payment or by payment at maturity) of debt for borrowed money of the Company or a Restricted Subsidiary that matures more than 12 months after the creation of such indebtedness or the purchase, construction or development of other comparable property.</w:t>
      </w:r>
    </w:p>
    <w:p>
      <w:pPr>
        <w:spacing w:after="0" w:line="18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LIMITATION ON SUBSIDIARY DEBT</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Unless otherwise indicated in a Prospectus Supplement, the Company will covenant that it will not permit any Subsidiary (other than Toro Credit, or any successor finance Subsidiary so long as such Subsidiary or successor has no operating assets and is engaged solely in financing activities) to Incur (as defined below) or have any Debt except: (a) Debt outstanding on the date of the Indenture; (b) Debt issued to and held by the Company or a Wholly Owned Subsidiary (as defined below); (c) Debt Incurred by a Person (as defined in the Indenture) prior to the time such Person became, merges into, or consolidates with a Subsidiary, or a Subsidiary merges into or consolidates with such Person and thereby such Person becomes a Subsidiary; (d) Debt which is exchanged for, or the proceeds of which are used to refinance or refund, any Debt permitted to be outstanding pursuant to clauses (a) through (c) above (or any extension or renewal thereof), in an aggregate principal amount not to exceed the principal amount of the Debt so exchanged, refinanced or refunded and provided such refinancing or refunding Debt by its terms, or by the terms of any agreement or instrument pursuant to which such Debt is issued (x) does not provide for payments of principal at the stated maturity of such Debt or by way of a sinking fund applicable to such Debt or by way of any mandatory redemption, defeasance, retirement or repurchase of such Debt by the Company (including any redemption, retirement or repurchase which is contingent upon events or circumstances, but excluding any retirement required by virtue of acceleration of such Debt upon an event of default thereunder), in each case prior to the stated maturity of the Debt being refinanced or refunded and (y) does not permit redemption or other retirement (including pursuant to an offer to purchase made by the Company) of such Debt at the option of the holder thereof prior to the stated maturity of the Debt being refinanced or refunded, other than a redemption or other</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8" w:right="1440" w:bottom="1440" w:gutter="0" w:footer="0" w:header="0"/>
        </w:sectPr>
      </w:pPr>
    </w:p>
    <w:bookmarkStart w:id="11" w:name="page12"/>
    <w:bookmarkEnd w:id="11"/>
    <w:p>
      <w:pPr>
        <w:ind w:right="3359"/>
        <w:spacing w:after="0" w:line="237" w:lineRule="auto"/>
        <w:rPr>
          <w:sz w:val="20"/>
          <w:szCs w:val="20"/>
          <w:color w:val="auto"/>
        </w:rPr>
      </w:pPr>
      <w:r>
        <w:rPr>
          <w:rFonts w:ascii="Courier New" w:cs="Courier New" w:eastAsia="Courier New" w:hAnsi="Courier New"/>
          <w:sz w:val="15"/>
          <w:szCs w:val="15"/>
          <w:color w:val="auto"/>
        </w:rPr>
        <w:t>retirement at the option of the holder of such Debt (including pursuant to an offer to purchase made by the Company) which is conditioned upon the change of control of the Company; and (e) Debt having a principal amount and liquidation value not in excess of 20% of the Consolidated Net Tangible Assets of the Company.</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CERTAIN DEFINITIONS APPLICABLE TO COVENANTS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term "Attributable Debt" means, at the time of determination, the present value of the total net amount of rent and other payments required to be paid under a lease during the remaining term thereof (including any renewal term or period for which such lease has been extended), discounted at the rate of interest set forth or implicit in the terms of such lease or, if not practicable to determine such rate, the weighted average interest rate per annum (in the case of Original Issue Discount Securities (as defined in the Indenture), the imputed interest rate) borne by the Debt Securities of each series outstanding pursuant to the Indenture compounded semi-annually.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and the net amount determined assuming no such termination.</w:t>
      </w:r>
    </w:p>
    <w:p>
      <w:pPr>
        <w:spacing w:after="0" w:line="333"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term "Consolidated Net Tangible Assets" means, as of any particular time, total assets (excluding applicable reserves and other properly deductible items) less: (a) 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w:t>
      </w:r>
    </w:p>
    <w:p>
      <w:pPr>
        <w:spacing w:after="0" w:line="167"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The term "Debt" means,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 (iv) every obligation of such Person issued or assumed as the deferred purchase price of property or services (but excluding trade accounts payable or accrued liabilities arising in the ordinary course of business), (v) the maximum fixed redemption or repurchase price of redeemable stock of such Person at the time of determination, (vi) every obligation to pay rent or other payment amounts of such Person with respect to any Sale and Leaseback Transaction and (vii) every obligation of the type referred to in clauses (i) through (vi) of another Person and all dividends of another Person the payment of which, in either case, such Person has guaranteed or is responsible or liable, directly or indirectly, as obligor, guarantor or otherwise.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term "Incur" means, with respect to any Debt or other obligation of any Person, to create, issue, incur (by conversion, exchange or otherwise), assume, guarantee or otherwise become liable in respect of such Debt or other obligation or the recording, as required pursuant to generally accepted accounting principles or otherwise, of any such Debt or other obligation on the balance sheet of such Person (and "Incurrence", "Incurred", "Incurrable" and "Incurring" shall have the meanings correlative to the foregoing); provided, however, that a change in generally accepted accounting principles that results in an obligation of such Person that exists at such time becoming Debt shall not be deemed an Incurrence of such Debt.</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58" w:right="1440" w:bottom="1440" w:gutter="0" w:footer="0" w:header="0"/>
        </w:sectPr>
      </w:pPr>
    </w:p>
    <w:bookmarkStart w:id="12" w:name="page13"/>
    <w:bookmarkEnd w:id="12"/>
    <w:p>
      <w:pPr>
        <w:ind w:right="3179" w:firstLine="353"/>
        <w:spacing w:after="0" w:line="257" w:lineRule="auto"/>
        <w:rPr>
          <w:sz w:val="20"/>
          <w:szCs w:val="20"/>
          <w:color w:val="auto"/>
        </w:rPr>
      </w:pPr>
      <w:r>
        <w:rPr>
          <w:rFonts w:ascii="Courier New" w:cs="Courier New" w:eastAsia="Courier New" w:hAnsi="Courier New"/>
          <w:sz w:val="14"/>
          <w:szCs w:val="14"/>
          <w:color w:val="auto"/>
        </w:rPr>
        <w:t>The term "Nonrecourse Obligation" means indebtedness or other obligations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6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term "Principal Property" means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the United States; (c) has not been determined in good faith by the Board of Directors of the Company not to be materially important to the total business conducted by the Company and its Subsidiaries taken as a whole; and (d) has a market value on the date as of which the determination is being made in excess of 1.0% of Consolidated Net Tangible Assets of the Company as most recently determined on or prior to such date.</w:t>
      </w:r>
    </w:p>
    <w:p>
      <w:pPr>
        <w:spacing w:after="0" w:line="166" w:lineRule="exact"/>
        <w:rPr>
          <w:sz w:val="20"/>
          <w:szCs w:val="20"/>
          <w:color w:val="auto"/>
        </w:rPr>
      </w:pPr>
    </w:p>
    <w:p>
      <w:pPr>
        <w:ind w:right="3619" w:firstLine="353"/>
        <w:spacing w:after="0" w:line="259" w:lineRule="auto"/>
        <w:rPr>
          <w:sz w:val="20"/>
          <w:szCs w:val="20"/>
          <w:color w:val="auto"/>
        </w:rPr>
      </w:pPr>
      <w:r>
        <w:rPr>
          <w:rFonts w:ascii="Courier New" w:cs="Courier New" w:eastAsia="Courier New" w:hAnsi="Courier New"/>
          <w:sz w:val="14"/>
          <w:szCs w:val="14"/>
          <w:color w:val="auto"/>
        </w:rPr>
        <w:t>The term "Restricted Subsidiary" means any Subsidiary which owns any Principal Property which has a market value on the date as of which the determination is being made in excess of 2.0% of Consolidated Net Tangible Assets of the Company as most recently determined on or prior to such date.</w:t>
      </w:r>
    </w:p>
    <w:p>
      <w:pPr>
        <w:spacing w:after="0" w:line="163"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term "Sale and Leaseback Transaction" means any arrangement with any Person providing for the leasing by the Company or any Restricted Subsidiary of any Principal Property which property has been or is to be sold or transferred by the Company or such Restricted Subsidiary to such Person.</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term "Subsidiary" means any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term "Wholly Owned Subsidiary"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 MERGER AND SALE OF ASSETS</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The Company may not consolidate with or merge into, or convey, transfer or lease its properties and assets substantially as an entirety to, any Person (a "successor Person"), and may not permit any Person to consolidate with or merge into, or convey, transfer or lease its properties and assets substantially as an entirety to, the Company, unless (i) the successor Person (if any) is a corporation, partnership, trust or other entity organized and validly existing under the laws of any domestic jurisdiction and assumes the Company's obligations on the Debt Securities and under the Company's obligations on the Debt Securities and under the Indenture, (ii) immediately after giving effect to the transaction, no Event of Default (as defined below), and not event which, after notice or lapse of time or both, would become an Event of Default, shall have occurred and be continuing, (iii) if, as a result of the transaction, property of the Company would become subject to a mortgage, pledge, lien, security interest or other encumbrance that would not be permitted under the limitation on mortgage, pledge, lien, security interest or other encumbrance described above under "Restrictive Covenants," the Company takes such steps as shall be necessary to secure the Securities equally and ratably with (or prior to) the indebtedness secured by such mortgage, pledge, lien, security interest or other encumbrance and (iv) certain other conditions are met.</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58"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EVENTS OF DEFAULT</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An Event of Default with respect to the Debt Securities of any series is defined in the Indenture as: (i) default in the payment of any interest upon any Debt Security of that series when it becomes due and payable, and continuance of such default for a period of 30 days; or (ii) default in the payment of the principal of or any premium on any Debt Security of that series at its Maturity; or (iii) default in the deposit of any sinking fund payment, when and as due by the terms of a Debt Security of that series; or (iv) default in the performance, or breach, of any other covenant or warranty of the Company in the Indenture (other than a covenant or warranty a default in whose performance or whose breach is elsewhere in this paragraph specifically dealt with or which has expressly been included in the Indenture solely for the benefit of series of Securities other than that series) and continuance of such default or breach for a period of 30 days after there has been given to the Company by the Trustee or to the Company and the Trustee by the holders of at least 10% in principal amount of the outstanding Debt Securities of that series a written notice as provided in the Indenture; or (v) a default under any bond, debenture, note or other evidence of indebtedness for money borrowed by the Company (including a default with respect to Securities of any series other than that series), or under any mortgage, indenture or instrument (including the Indenture) under which there may be issued or by which there may be secured or evidenced any indebtedness for money borrowed by the Company having an aggregate principal amount outstanding of at least $10 million, whether such indebtedness now exists or shall hereafter be created, which default (A) shall constitute a failure to pay any portion of the principal of such indebtedness when due and payable after the expiration of any applicable grace period with respect thereto or (B) shall have resulted in such indebtedness becoming or being declared due and payable prior to the date on which it would otherwise have become due and payable, without, in the case of clause (A), such indebtedness having been discharged or without, in the case of clause (B), such indebtedness having been discharged or such acceleration having been rescinded orannulled, in each such case, within a period of 10 days after there shall have been given to the Company by the Trustee or to the Company and the Trustee by the holders of at least 25% in principal amount of the outstanding Debt Securities of that series a written notice as provided in the Indenture specifying such default and requiring the Company to cause such indebtedness to be discharged or cause such acceleration to be rescinded or annulled, as the case may be, or (vi) certain events of bankruptcy, insolvency or reorganization of the Company or any Restricted Subsidiary. Additional Events of Default may be prescribed for the benefit of holders of certain series of Debt Securities which, if prescribed, will be described in the Prospectus Supplement relating to such Debt Securities.</w:t>
      </w:r>
    </w:p>
    <w:p>
      <w:pPr>
        <w:spacing w:after="0" w:line="352"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If a default occurs under the Indenture with respect to Debt Securities of any series, the Trustee will give the holders of Debt Securities of such series notice of such default as and to the extent provided by the Trust Indenture Act of 1939; provided, however, that in the case of any default of the character specified in clause (iv) of the preceding paragraph with respect to Debt Securities of such series, no such notice to holders shall be given until at least 30 days after the occurrence thereof. For the purpose of this paragraph, the term "default" means any event which is, or after notice or lapse of time or both would become, an Event of Default with respect to Debt Securities of such series.</w:t>
      </w:r>
    </w:p>
    <w:p>
      <w:pPr>
        <w:spacing w:after="0" w:line="180"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Indenture provides that if an Event of Default (other than an Event of Default described in clause (vi) of the second preceding paragraph) with respect to any series of Debt Securities shall have occurred and be continuing, either the Trustee or the holders of not less than 25% in aggregate principal amount of Debt Securities of that series then outstanding by notice as provided in the Indenture may declare the principal amount (or, if the Debt Securities of that series are Original Issue Discount Securities (as defined), such portion of the principal amount as may be specified in the term of that series) of all the Debt Securities of that series to automatically, and without any action by the Trustee or any Holder, become immediately due and payable. After any such acceleration, but before a judgment or decree based on acceleration, the Holders of a majority in principal amount of the Outstanding Securities of that series may, under certain circumstances, rescind and annul such acceleration if all Events of Default,</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2" w:right="1440" w:bottom="1440" w:gutter="0" w:footer="0" w:header="0"/>
        </w:sectPr>
      </w:pPr>
    </w:p>
    <w:bookmarkStart w:id="14" w:name="page15"/>
    <w:bookmarkEnd w:id="14"/>
    <w:p>
      <w:pPr>
        <w:ind w:right="3179"/>
        <w:spacing w:after="0" w:line="237" w:lineRule="auto"/>
        <w:rPr>
          <w:sz w:val="20"/>
          <w:szCs w:val="20"/>
          <w:color w:val="auto"/>
        </w:rPr>
      </w:pPr>
      <w:r>
        <w:rPr>
          <w:rFonts w:ascii="Courier New" w:cs="Courier New" w:eastAsia="Courier New" w:hAnsi="Courier New"/>
          <w:sz w:val="15"/>
          <w:szCs w:val="15"/>
          <w:color w:val="auto"/>
        </w:rPr>
        <w:t>other than the non-payment of accelerated principal (or other specified amount), have been cured or waived as provided in the Indenture. For information as to waiver of defaults, see "Modification and Waiver."</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Subject to the provisions of the Indenture relating to the duties of the Trustee, the Trustee shall be under no obligation to exercise any of its rights or powers under the Indenture at the request or direction of any of the holders of that series, unless such holders shall have offered to the Trustee reasonable security or indemnity. Subject to such provisions for security for indemnification and certain limitations contained in the Indenture, the holders of a majority in aggregate principal amount of the outstanding Debt Securities of each series affected by an Event of Default will have the right to direct the time, method and place of conducting any proceeding for any remedy available to the Trustee under the Indenture or exercising any trust or power conferred on the Trustee with respect to the Debt Securities of that series.</w:t>
      </w:r>
    </w:p>
    <w:p>
      <w:pPr>
        <w:spacing w:after="0" w:line="16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No holder of any Debt Security of any series will have any right to institute any proceeding with respect to the Indenture, or for the appointment of a receiver or trustee, or for any other remedy thereunder, unless (i) such holder has previously given the Trustee written notice of a continuing Event of Default with respect to Debt Securities of that series, (ii) the holders of at least 25% in aggregate principal amount of the outstanding Debt Securities of that series shall have made written request, and offered reasonable indemnity, to the Trustee to institute such proceeding as trustee and (iii) the Trustee has failed to institute such proceeding within 60 days after its receipt of such notice, request, and offer and has not received from the holders of a majority in aggregate principal amount of the outstanding Debt Securities of that series a direction inconsistent with such request. However, the right of a holder of any Debt Security to receive payment of the principal of and any interest on such Debt Security on or after the due dates expressed in such Debt Security, or to institute suit for the enforcement of any such payment on or after such dates, shall not be impaired without the consent of such holder.</w:t>
      </w:r>
    </w:p>
    <w:p>
      <w:pPr>
        <w:spacing w:after="0" w:line="164"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Company will be required to furnish to the Trustee annually a statement by certain of its officers as to whether or not the Company, to the best of their knowledge, is in default in the performance or observance of any of the terms, provisions and conditions of the Indenture and, if so, specifying all such known defaults.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SATISFACTION AND DISCHARGE OF INDENTURE</w:t>
      </w:r>
    </w:p>
    <w:p>
      <w:pPr>
        <w:spacing w:after="0" w:line="175"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The Indenture with respect to any series (except for certain specified surviving obligations) will be satisfied and discharged upon the satisfaction of certain conditions, including the deposit with the Trustee of money sufficient for the payment or redemption of all the Debt Securities of such series in accordance with the Indenture and terms of the Debt Securities of such series.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AND WAIVER</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The Indenture contains provisions permitting the Company and the Trustee, with the consent of the holders of not less than a majority in aggregate principal amount of the Debt Securities of each affected series at the time outstanding, to execute supplemental indentures adding any provisions to, or changing in any manner or eliminating any of the provisions of, the Indenture or any supplemental indenture with respect to the Debt Securities of such series or modifying in any manner the rights of the holders of the Debt Securities of such series; provided that no such supplemental indenture may, without the consent of the holder of each outstanding Debt Security affected thereby, (i) change the Stated Maturity (as defined in the Indenture) of the principal of, or any installment of principal of or interest on, any Debt Security, (ii) reduce the principal amount of, or any premium or interest on, any Debt Security, (iii) reduce the amount of principal of an Original Issue Discount Security or any other Debt Security payable upon acceleration of the Maturity (as defined in the Indenture) thereof, (iv) change the place or currency of payment of principal of, or any premium or interest on, any Debt Security, (v) impair the right to institute suit for the enforcement of any payment on or with respect to any Debt Security, (vi) reduce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8" w:right="1440" w:bottom="1440" w:gutter="0" w:footer="0" w:header="0"/>
        </w:sectPr>
      </w:pPr>
    </w:p>
    <w:bookmarkStart w:id="15" w:name="page16"/>
    <w:bookmarkEnd w:id="15"/>
    <w:p>
      <w:pPr>
        <w:ind w:right="3179"/>
        <w:spacing w:after="0" w:line="238" w:lineRule="auto"/>
        <w:rPr>
          <w:sz w:val="20"/>
          <w:szCs w:val="20"/>
          <w:color w:val="auto"/>
        </w:rPr>
      </w:pPr>
      <w:r>
        <w:rPr>
          <w:rFonts w:ascii="Courier New" w:cs="Courier New" w:eastAsia="Courier New" w:hAnsi="Courier New"/>
          <w:sz w:val="15"/>
          <w:szCs w:val="15"/>
          <w:color w:val="auto"/>
        </w:rPr>
        <w:t>percentage in principal amount of outstanding Debt Securities of any series, the consent of whose holders is required for modification or amendment of the Indenture, (vii) reduce the percentage in principal amount of outstanding Debt Securities of any series necessary for waiver of compliance with certain provisions of the Indenture or for waiver of certain defaults or (viii) modify such provisions with respect to modification and waiver.</w:t>
      </w:r>
    </w:p>
    <w:p>
      <w:pPr>
        <w:spacing w:after="0" w:line="176" w:lineRule="exact"/>
        <w:rPr>
          <w:sz w:val="20"/>
          <w:szCs w:val="20"/>
          <w:color w:val="auto"/>
        </w:rPr>
      </w:pPr>
    </w:p>
    <w:p>
      <w:pPr>
        <w:ind w:right="3359" w:firstLine="353"/>
        <w:spacing w:after="0" w:line="257" w:lineRule="auto"/>
        <w:rPr>
          <w:sz w:val="20"/>
          <w:szCs w:val="20"/>
          <w:color w:val="auto"/>
        </w:rPr>
      </w:pPr>
      <w:r>
        <w:rPr>
          <w:rFonts w:ascii="Courier New" w:cs="Courier New" w:eastAsia="Courier New" w:hAnsi="Courier New"/>
          <w:sz w:val="14"/>
          <w:szCs w:val="14"/>
          <w:color w:val="auto"/>
        </w:rPr>
        <w:t>The holders of not less than a majority in principal amount of the outstanding Debt Securities of any series may waive compliance by the Company with certain restrictive provisions of the Indenture. The holders of not less than a majority in principal amount of the outstanding Debt Securities of any series may waive any past default under the Indenture, except a default in the payment of principal, premium or interest and certain covenants and provisions of the Indenture which cannot be amended without the consent of the holder of each outstanding Debt Security of such series affected.</w:t>
      </w:r>
    </w:p>
    <w:p>
      <w:pPr>
        <w:spacing w:after="0" w:line="16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Indenture provides that in determining whether the holders of the requisite principal amount of the outstanding Debt Securities have given or taken any direction, notice, consent, waiver or other action under the Indenture as of any date, (i) the principal amount of an Original Issue Discount Security that will be deemed to be outstanding will be the amount of the principal thereof that would be due and payable as of such date upon acceleration of the Maturity thereof to such date, (ii) 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 (iii) the principal amount of a Debt Security denominated in one or more foreign currencies or currency units that will be deemed to be outstanding will be the U.S. dollar equivalent, determined as of such date in the manner of such Debt Security (or, in the case of a Debt Security described in clause (i) or (ii) above, of the amount described in such clause). Certain Debt Securities, including those for whose payment or redemption money has been deposited or set aside in trust for the holders and those that have been fully defeased pursuant to Section 13.02 of the Indenture, will not be deemed to be outstanding.</w:t>
      </w:r>
    </w:p>
    <w:p>
      <w:pPr>
        <w:spacing w:after="0" w:line="33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Except in certain limited circumstances, the Company will be entitled to set any day as a record date for the purpose of determining the holders of outstanding Debt Securities of any series entitled to give or take any demand, authorization, direction, notice, consent, waiver or other action under the Indenture, in the manner and subject to the limitations provided in the Indenture. In certain limited circumstances, the Trustee will be entitled to set a record date for action by holders. If a record date is set for any action to be taken by holders of a particular series, such action may be taken only by persons who are holders of outstanding Debt Securities of that series on the record date. To be effective, such action must be taken by holders of the requisite principal amount of such Debt Securities within a specified period following the record date. For any particular record date, this period will be 180 days or such shorter period as may be specified by the Company (or the Trustee, if it set the record date), and may be shortened or lengthened (but not beyond 180 days) from time to time.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 AND COVENANT DEFEASANCE</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Indenture provides, that, if such provision is made applicable to the Debt Securities of a series, then the Company may elect either (a) to terminate (and be deemed to have satisfied) all its obligations with respect to such Debt Securities (except for the obligations to register the transfer or exchange of such Debt Securities, to replace temporary of mutilated, destroyed, lost or stolen Debt Securities, to maintain an office or agency in respect of the Debt Securities, to compensate and indemnify the Trustee and to punctually pay or cause to be paid the principal of, and interest on, all Debt Securities of such series when due) ("Defeasance") or (b) to be released from its obligations described above under "Limitations on Liens", "Restrictions on Sale and Leasebacks" and "Limitation on Subsidiary Debt" and certain requirements as to maintenance of Principal Properties and payment of taxes and other claims ("Covenant Defeasance"), upon the deposit with the Trustee, in trust for such purpose, of money and/or U.S. Government Obligations which through the payment of principal and interest in accordance with</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8" w:right="1440" w:bottom="1440" w:gutter="0" w:footer="0" w:header="0"/>
        </w:sectPr>
      </w:pPr>
    </w:p>
    <w:bookmarkStart w:id="16" w:name="page17"/>
    <w:bookmarkEnd w:id="16"/>
    <w:p>
      <w:pPr>
        <w:ind w:right="3179"/>
        <w:spacing w:after="0" w:line="238" w:lineRule="auto"/>
        <w:rPr>
          <w:sz w:val="20"/>
          <w:szCs w:val="20"/>
          <w:color w:val="auto"/>
        </w:rPr>
      </w:pPr>
      <w:r>
        <w:rPr>
          <w:rFonts w:ascii="Courier New" w:cs="Courier New" w:eastAsia="Courier New" w:hAnsi="Courier New"/>
          <w:sz w:val="15"/>
          <w:szCs w:val="15"/>
          <w:color w:val="auto"/>
        </w:rPr>
        <w:t>their terms (without consideration of any reinvestment) will provide money, in an amount sufficient (in the opinion of a nationally recognized firm of independent public accountants) to pay the principal of and interest, if any, on the Outstanding Debt Securities of such series, and any mandatory sinking fund or analogous payments thereon, on the scheduled due dates therefor. Such a trust may be established only if, among other things, the Company has delivered to the Trustee an opinion of counsel with regard to certain matters, including an opinion to the effect that the Holders of such Debt Securities will not recognize income, gain or loss for Federal income tax purposes as a result of such deposit and discharge and will be subject to Federal income tax on the same amounts and in the same manner and at the same times as would have been the case if such deposit and Defeasance or Covenant Defeasance, as the case may be, had not occurred. The Prospectus Supplement may further describe the provisions, if any, permitting Defeasance or Covenant Defeasance with respect to the Debt Securities of any series.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5"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The Indenture and the Debt Securities will be governed by and construed in accordance with the law of the State of New York.</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CONCERNING THE TRUSTEE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presently does, and may from time to time in the future, maintain lines of credit and have customary banking relationships with affiliates of First Trust National Association, the Trustee under the Indenture. The Company has debt securities outstanding under another indenture for which the Trustee is serving as trustee and the Trustee may serve as trustee for other debt securities issued by the Company from time to time.</w:t>
      </w:r>
    </w:p>
    <w:p>
      <w:pPr>
        <w:spacing w:after="0" w:line="17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DESCRIPTION OF CAPITAL STOCK</w:t>
      </w:r>
    </w:p>
    <w:p>
      <w:pPr>
        <w:spacing w:after="0" w:line="344"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Company's authorized capital stock consists of 35,000,000 shares of Common Stock, par value $1.00 per share; 1,000,000 shares of Voting Preferred Stock, par value $1.00 per share; and 1,000,000 shares of Non-Voting Preferred Stock, par value $1.00 per share, of which 150,000 shares are designated as Series A $11.28 Cumulative Non-Voting Preferred Stock (the "Series A Preferred Stock"). The Board of Directors has adopted a certificate of designation with respect to a series of 150,000 shares of Voting Preferred Stock, the Series B Junior Participating Voting Preferred Stock, $1.00 par value (the "Series B Preferred Stock"), in connection with the Company's Rights Agreement dated June 14, 1988 (the "Rights Agreement"). See "--Rights Plan."</w:t>
      </w:r>
    </w:p>
    <w:p>
      <w:pPr>
        <w:spacing w:after="0" w:line="33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following summary does not purport to be complete and is subject in all respects to the applicable provisions of the Delaware General Corporation Law and the Company's Certificate of Incorporation, as amended.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344"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At May 30, 1997, there were 12,076,474 shares of Common Stock outstanding. All outstanding shares of Common Stock are, and the shares offered hereby, when issued, will be fully paid and nonassessable. All holders of Common Stock have voting rights and are entitled to one vote for each share held of record on all matters submitted to a vote of the stockholders. Holders of Common Stock do not have the right to cumulate votes in the election of directors and do not have a right of redemption or any preferential right of subscription for any securities of the Company, except as described below under "Rights Plan."</w:t>
      </w:r>
    </w:p>
    <w:p>
      <w:pPr>
        <w:spacing w:after="0" w:line="33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Subject to preferences that may be applicable to any shares of preferred stock outstanding at the time, holders of Common Stock are entitled to dividends when and as declared by the Board of Directors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8" w:right="1440" w:bottom="1440" w:gutter="0" w:footer="0" w:header="0"/>
        </w:sectPr>
      </w:pPr>
    </w:p>
    <w:bookmarkStart w:id="17" w:name="page18"/>
    <w:bookmarkEnd w:id="17"/>
    <w:p>
      <w:pPr>
        <w:ind w:right="3979"/>
        <w:spacing w:after="0" w:line="237" w:lineRule="auto"/>
        <w:rPr>
          <w:sz w:val="20"/>
          <w:szCs w:val="20"/>
          <w:color w:val="auto"/>
        </w:rPr>
      </w:pPr>
      <w:r>
        <w:rPr>
          <w:rFonts w:ascii="Courier New" w:cs="Courier New" w:eastAsia="Courier New" w:hAnsi="Courier New"/>
          <w:sz w:val="15"/>
          <w:szCs w:val="15"/>
          <w:color w:val="auto"/>
        </w:rPr>
        <w:t>from funds legally available therefor and are entitled, in the event of liquidation, to share ratably in all assets remaining after payment of liabilities.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34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At May 30, 1997, there were no shares of Series A Preferred Stock or Series B Preferred Stock outstanding. Previously outstanding shares of Series A Preferred Stock have been redeemed and may not be reissued as Series A Preferred Stock; however, the Board of Directors is authorized to retire such series in which case the shares previously designated as such series shall assume the status of authorized but unissued shares of Preferred Stock. The Series B Preferred Stock is issuable in accordance with the terms of the Company's Rights Agreement. See "Rights Plan" below.</w:t>
      </w:r>
    </w:p>
    <w:p>
      <w:pPr>
        <w:spacing w:after="0" w:line="200" w:lineRule="exact"/>
        <w:rPr>
          <w:sz w:val="20"/>
          <w:szCs w:val="20"/>
          <w:color w:val="auto"/>
        </w:rPr>
      </w:pPr>
    </w:p>
    <w:p>
      <w:pPr>
        <w:spacing w:after="0" w:line="317"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The Board of Directors has the authority, in most instances without further stockholder action, to issue from time to time all or any part of the authorized Preferred Stock. Additional Preferred Stock is issuable in one or more series, and the Board of Directors is authorized to determine the designation of and number of shares in each series and to fix the dividend, redemption, liquidation, retirement, conversion and voting rights, if any, of such series, and any other rights and preferences thereof. Any shares of Preferred Stock which may be issued may have disproportionately high voting rights or class voting rights, may be convertible into shares of Common Stock and may rank prior in right to shares of Common Stock as to payment of dividends and upon liquidation. Although the issuance of additional Preferred Stock may have an adverse effect on the rights (including voting rights) of holders of Common Stock, the consent of the holders of Common Stock would not be required for any such issuance of Preferred Stock. In addition, the issuance of additional Preferred Stock may have the effect of delaying, deferring or preventing a change in control of the Company. The Company has no current plans to issue any Preferred Stock, except as provided for in the Rights Agreement. See "--Rights Plan."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PLAN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On June 14, 1988, the Board of Directors declared a dividend of one preferred share purchase right (a "Right") for each outstanding share of Common Stock to holders of record on June 24, 1988. Each Right entitles the registered holder to purchase from the Company, at a price of $85, one one-hundredth of a share of Series B Preferred Stock subject to adjustment as provided in the Rights Agreement. Pursuant to the Rights Agreement, one Right attaches to and trades together with each share of Common Stock issued by the Company, including any shares of Common Stock offered hereby.</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Until the earlier to occur of (i) 10 days following a public announcement that a person or group of affiliated or associated persons (an "Acquiring Person") has acquired beneficial ownership of 20% or more of the outstanding Common Stock or (ii) 10 business days (or such later date as may be determined by action of the Board of Directors prior to such time as any Person becomes an Acquiring Person) following the commencement of, or announcement of an intention to make, a tender offer or exchange offer the consummation of which would result in the beneficial ownership by a person or group of 20% or more of such outstanding Common Stock (the earlier of such dates being called the "Distribution Date"), the Rights will be attached to the Common Stock and will be evidenced by the Common Stock certificate.</w:t>
      </w:r>
    </w:p>
    <w:p>
      <w:pPr>
        <w:spacing w:after="0" w:line="181"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Until the Distribution Date, the Rights will be transferred with and only with the Common Stock. As soon as practicable following the Distribution Date, separate certificates evidencing the Rights ("Right Certificates") will be mailed to holders of record of the Common Stock as of the close of business on the Distribution Date. The Rights are not exercisable until the Distribution Date. The Rights will expire on June 14, 1998 (the "Final Expiration Date"), unless the Final Expiration Date is extended or unless the Rights are earlier redeemed by the Company.</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8" w:right="1440" w:bottom="1440" w:gutter="0" w:footer="0" w:header="0"/>
        </w:sectPr>
      </w:pPr>
    </w:p>
    <w:bookmarkStart w:id="18" w:name="page19"/>
    <w:bookmarkEnd w:id="18"/>
    <w:p>
      <w:pPr>
        <w:ind w:right="3179" w:firstLine="353"/>
        <w:spacing w:after="0" w:line="239" w:lineRule="auto"/>
        <w:rPr>
          <w:sz w:val="20"/>
          <w:szCs w:val="20"/>
          <w:color w:val="auto"/>
        </w:rPr>
      </w:pPr>
      <w:r>
        <w:rPr>
          <w:rFonts w:ascii="Courier New" w:cs="Courier New" w:eastAsia="Courier New" w:hAnsi="Courier New"/>
          <w:sz w:val="15"/>
          <w:szCs w:val="15"/>
          <w:color w:val="auto"/>
        </w:rPr>
        <w:t>In the event that the Company is acquired in a merger or other business combination transaction or 50% or more of its consolidated assets or earning power are sold, each holder of a Right will thereafter have the right to receive, upon the exercise at the then current exercise price of the Right, shares of common stock of the acquiring company which at the time of such transaction have a market value of two times the exercise price of the Right. In the event that (i) any person becomes an Acquiring Person (unless such person first acquires 20% or more of the outstanding Common Stock by a purchase pursuant to a tender offer for all of the Common Stock for cash, which purchase increases such person's beneficial ownership to 80% or more of the outstanding Common Stock) or (ii) during such time as there is an Acquiring Person, there shall be any reclassification of securities or recapitalization or reorganization of the Company which has the effect of increasing by more than 1% the proportionate share of the outstanding shares of any class of equity securities of the Company or any of its subsidiaries beneficially owned by the Acquiring Person, each holder of a Right, other than Rights beneficially owned by the Acquiring Person (which will thereafter be void), will thereafter have the right to receive upon exercise Common Stock having a market value of two times the exercise price of the Right.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At any time after the acquisition by a person or group of affiliated or associated persons of beneficial ownership of 20% or more of the outstanding Common Stock and prior to the acquisition by such person or group of 50% or more of the outstanding Common Stock, the Board of Directors may exchange the Rights (other than Rights owned by such person or group which have become void), in whole or in part, at an exchange ratio of one share of Common Stock, or one one-hundredth of a share of Series B Preferred Stock (or of a share of a class or series of the Company's Preferred Stock having equivalent rights, preferences and privileges), per Right.</w:t>
      </w:r>
    </w:p>
    <w:p>
      <w:pPr>
        <w:spacing w:after="0" w:line="179"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At any time prior to the acquisition by a person or group of affiliated or associated persons of beneficial ownership of 20% or more of the outstanding Common Stock, the Board of Directors of the Company may redeem the Rights in whole, but not in part, at a price of $.01 per Right (the "Redemption Price"). In addition, if a bidder who does not beneficially own more than 1% of the Common Stock (and who has not within the past year owned in excess of 1% of the Common Stock and, at a time he held such greater than 1% stake, disclosed, or caused the disclosure of, an intention which relates to or would result in the acquisition or influence of control of the Company) proposes to acquire all of the Common Stock (and all other shares of capital stock of the Company entitled to vote with the Common Stock in the election of directors or on mergers, consolidations, sales of all or substantially all of the Company's assets, liquidations, dissolutions or windings up) for cash at a price which a nationally recognized investment banker selected by such bidder states in writing is fair, and such bidder has obtained written financing commitments (or otherwise has financing) and complies with certain procedural requirements, then the Company, upon the request of the bidder, will hold a special stockholders meeting to vote on a resolution requesting the Board of Directors to accept the bidder's proposal. If a majority of the outstanding shares entitled to vote on the proposal vote in favor of such resolution, then for a period of 60 days after such meeting the Rights will be automatically redeemed at the Redemption Price immediately prior to the consummation of any tender offer for all of such shares at a price per share in cash equal to or greater than the price offered by such bidder. No redemption will be permitted or required after the acquisition by any person or group of affiliated or associated persons of beneficial ownership of 20% or more of the outstanding Common Stock. Immediately upon redemption, the right to exercise the Rights will terminate and the only right of the holders of Rights will be to receive the Redemption Price.</w:t>
      </w:r>
    </w:p>
    <w:p>
      <w:pPr>
        <w:spacing w:after="0" w:line="348" w:lineRule="exact"/>
        <w:rPr>
          <w:sz w:val="20"/>
          <w:szCs w:val="20"/>
          <w:color w:val="auto"/>
        </w:rPr>
      </w:pPr>
    </w:p>
    <w:p>
      <w:pPr>
        <w:jc w:val="both"/>
        <w:ind w:right="3179" w:firstLine="353"/>
        <w:spacing w:after="0" w:line="237" w:lineRule="auto"/>
        <w:rPr>
          <w:sz w:val="20"/>
          <w:szCs w:val="20"/>
          <w:color w:val="auto"/>
        </w:rPr>
      </w:pPr>
      <w:r>
        <w:rPr>
          <w:rFonts w:ascii="Courier New" w:cs="Courier New" w:eastAsia="Courier New" w:hAnsi="Courier New"/>
          <w:sz w:val="15"/>
          <w:szCs w:val="15"/>
          <w:color w:val="auto"/>
        </w:rPr>
        <w:t>Until a Right is exercised, the holder thereof, as such, will have no rights as a stockholder of the Company, including without limitation, the right to vote or to receive dividends.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Rights have certain anti-takeover effects. The Rights will cause substantial dilution to a person or group that attempts to acquire the Company unless the offer is conditional on a substantial number of Rights being acquired. The Rights, however, should not affect any prospective offeror willing to make an offer at an equitable price and which is otherwise in the best interests of the Company and its stockholders, as determined by the Board of Directors. The Rights should not interfere with any merger or other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8" w:right="1440" w:bottom="1440" w:gutter="0" w:footer="0" w:header="0"/>
        </w:sectPr>
      </w:pPr>
    </w:p>
    <w:bookmarkStart w:id="19" w:name="page20"/>
    <w:bookmarkEnd w:id="19"/>
    <w:p>
      <w:pPr>
        <w:ind w:right="3439"/>
        <w:spacing w:after="0" w:line="237" w:lineRule="auto"/>
        <w:rPr>
          <w:sz w:val="20"/>
          <w:szCs w:val="20"/>
          <w:color w:val="auto"/>
        </w:rPr>
      </w:pPr>
      <w:r>
        <w:rPr>
          <w:rFonts w:ascii="Courier New" w:cs="Courier New" w:eastAsia="Courier New" w:hAnsi="Courier New"/>
          <w:sz w:val="15"/>
          <w:szCs w:val="15"/>
          <w:color w:val="auto"/>
        </w:rPr>
        <w:t>business combination approved by the Board of Directors since the Board of Directors may, at its option, redeem the Rights at any time until there is an Acquiring Person.</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foregoing summary of certain terms of the Rights is qualified in its entirety by reference to the Rights Agreement, a copy of which is incorporated by reference as an exhibit to the Registration Statement.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w:t>
      </w:r>
    </w:p>
    <w:p>
      <w:pPr>
        <w:spacing w:after="0" w:line="344"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Certain provisions of the Company's Certificate of Incorporation may have the effect of preventing, discouraging or delaying any change in the control of the Company. The following provisions may have anti-takeover effects: (a) the Board of Directors is classified into three classes, each of which serves for three years, with one class being elected each year; (b) directors may be removed only for cause and only with the approval of holders of at least 80% of the then outstanding shares of the capital stock entitled to vote generally in the election of directors ("Voting Stock"); (c) any vacancy on the Board may be filled only by the remaining directors then in office; (d) stockholder action must be taken at a meeting of stockholders and stockholders may not act by written consent; (e) special meetings of stockholders of the Company may be called only by the Board of Directors pursuant to a resolution adopted by a majority of the entire Board; (f) a "fair price" provision requires the approval by the holders of 80% of the then outstanding Voting Stock as a condition for mergers and certain other business combinations of the Company with any holder of more than 10% of such voting power (an "Interested Stockholder") unless either (i) the transaction is approved by a majority of the members of the Board of Directors who are unaffiliated with the Interested Stockholder and were members of the Board of Directors prior to the time the Interested Stockholder became an Interested Stockholder or (ii) certain minimum price and procedural requirements are met; and (g) the stockholder vote required to alter, amend or repeal the foregoing provisions is 80% of the then outstanding Voting Stock.</w:t>
      </w:r>
    </w:p>
    <w:p>
      <w:pPr>
        <w:spacing w:after="0" w:line="34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These provisions, individually and collectively, will make difficult and may discourage a merger, tender offer or proxy fight, even if such transaction or occurrence may be favorable to the interests of the stockholders, and may delay or frustrate the assumption of control by a holder of a large block of the Common Stock and the removal of incumbent management. Furthermore, these provisions may deter or could be utilized to frustrate a future takeover attempt which is not approved by the incumbent Board of Directors, but which the holders of a majority of the shares may deem to be in their best interests or in which stockholders may receive a substantial premium for their stock over prevailing market prices of such stock. By discouraging takeover attempts, these provisions might have the incidental effect of inhibiting certain changes in management (some or all of the members of which might be replaced in the course of a change of control) and also the temporary fluctuations in the market price of the stock which often result from actual or rumored takeover attempts.</w:t>
      </w:r>
    </w:p>
    <w:p>
      <w:pPr>
        <w:spacing w:after="0" w:line="16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addition, Section 203 of the Delaware General Corporation Law restricts certain business combinations between the Company and a stockholder who acquires 15% or more of the outstanding voting stock of the Company (an "interested stockholder"). Unless an exception from the restriction is available, the Company may not engage in certain business combinations involving the interested stockholder or its affiliates for a period of three years from the time the interested stockholder became such. The restriction does not apply if (i) prior to the interested stockholder becoming an interested stockholder the Board approved either the business combination or the transaction which resulted in the stockholder becoming an interested stockholder, (ii) the interested stockholder acquires 85% of the outstanding voting stock in the same transaction in which the 15% threshold is exceeded or (iii) the proposed business combination is approved by the Board of Directors and authorized at a stockholders' meeting by at least 66 2/3% of the outstanding disinterested voting stock not owned by the interested stockholder. The three year probation will also be inapplicable if the Board of Directors and a majority of the Company's continuing directors approves a merger or sale or does not oppose a tender offer for at least 50% of the outstanding voting stock.</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58"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5" w:lineRule="exact"/>
        <w:rPr>
          <w:sz w:val="20"/>
          <w:szCs w:val="20"/>
          <w:color w:val="auto"/>
        </w:rPr>
      </w:pPr>
    </w:p>
    <w:p>
      <w:pPr>
        <w:jc w:val="both"/>
        <w:ind w:right="3799" w:firstLine="353"/>
        <w:spacing w:after="0" w:line="237" w:lineRule="auto"/>
        <w:rPr>
          <w:sz w:val="20"/>
          <w:szCs w:val="20"/>
          <w:color w:val="auto"/>
        </w:rPr>
      </w:pPr>
      <w:r>
        <w:rPr>
          <w:rFonts w:ascii="Courier New" w:cs="Courier New" w:eastAsia="Courier New" w:hAnsi="Courier New"/>
          <w:sz w:val="15"/>
          <w:szCs w:val="15"/>
          <w:color w:val="auto"/>
        </w:rPr>
        <w:t>The transfer agent and registrar for the Common Stock is Norwest Bank Minnesota, National Association. Its mailing address is 161 North Concord Exchange, South St. Paul, Minnesota 55075-0738.</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DESCRIPTION OF WARRANTS</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The Corporation may issue Warrants for the purchase of Debt Securities ("Debt Warrants") or for the purchase of Common Stock ("Common Stock Warrants"). Warrants may be issued independently or together with Debt Securities or shares of Common Stock offered by any Prospectus Supplement and may be attached to or separate from such Debt Securities or shares of Common Stock. Each series of Warrants will be issued under a separate warrant agreement (a "Warrant Agreement") to be entered into between the Corporation and a bank or trust company, as Warrant Agent, all as set forth in the Prospectus Supplement relating to the particular issue of Warrants. The Warrant Agent will act solely as an agent of the Corporation in connection with the Warrants and will not assume any obligation or relationship of agency or trust for or with any holders of Warrants or beneficial owners of Warrants. Copies of the forms of Warrant Agreements, including the forms of Warrant certificates representing the Warrants, will be filed as exhibits or incorporated by reference in the Registration Statement to which this Prospectus pertains. The following summaries of certain provisions of the forms of Warrant Agreements and Warrant certificates do not purport to be complete and are subject to, and are qualified in their entirety by reference to, all the provisions of the Warrant Agreements and the Warrant certificates.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If Warrants are offered, the applicable Prospectus Supplement will describe the terms of such Warrants, including, in the case of Debt Warrants, the following where applicable: (i) the offering price; (ii) the currencies in which such Debt Warrants are being offered; (iii) the designation, aggregate principal amount, currencies, denominations and terms of the series of Debt Securities purchasable upon exercise of such Debt Warrants; (iv) the designation and terms of any series of Debt Securities with which such Debt Warrants are being offered and the number of such Debt Warrants being offered with each such Debt Security or share of Common Stock; (v) the date on and after which such Debt Warrants and the related series of Debt Securities or shares of Common Stock will be transferable separately; (vi) the principal amount of the series of Debt Securities purchasable upon exercise of each such Debt Warrant and the price at which and currencies in which such principal amount of Debt Securities of such series may be purchased upon such exercise; (vii) the date on which the right to exercise such Debt Warrants shall commence and the date (the "Expiration Date") on which such right shall expire; (viii) whether the Debt Warrants will be issued in registered or bearer form; (ix) United States federal income tax consequences; and (x) any other terms of such Debt Warrants.</w:t>
      </w:r>
    </w:p>
    <w:p>
      <w:pPr>
        <w:spacing w:after="0" w:line="33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the case of Common Stock Warrants, the applicable Prospectus Supplement will describe the terms of such Common Stock Warrants, including the following where applicable: (i) the offering price; (ii) the aggregate number of shares of Common Stock purchasable upon exercise of such Common Stock Warrants; (iii) the designation and terms of the series of Debt Securities or shares of Common Stock with which such Common Stock Warrants are being offered and the number of such Common Stock Warrants being offered with each such Debt Security or share of Common Stock; (iv) the date on and after which such Common Stock Warrants and the related series of Debt Securities or shares of Common Stock will be transferable separately; (v) the number of shares of Common Stock purchasable upon exercise of each such Common Stock Warrant and the price at which such number of shares of Common Stock may be purchased upon each exercise; (vi) the date on which the right to exercise such Common Stock Warrants shall commence and the Expiration Date; (vii) United States federal income tax consequences; and (viii) any other terms of such Common Stock Warrants. Common Stock Warrants will be offered and exercisable for U.S. dollars only and will be in registered form only.</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52" w:right="1440" w:bottom="1440" w:gutter="0" w:footer="0" w:header="0"/>
        </w:sectPr>
      </w:pPr>
    </w:p>
    <w:bookmarkStart w:id="21" w:name="page22"/>
    <w:bookmarkEnd w:id="21"/>
    <w:p>
      <w:pPr>
        <w:ind w:right="3259" w:firstLine="353"/>
        <w:spacing w:after="0" w:line="238" w:lineRule="auto"/>
        <w:rPr>
          <w:sz w:val="20"/>
          <w:szCs w:val="20"/>
          <w:color w:val="auto"/>
        </w:rPr>
      </w:pPr>
      <w:r>
        <w:rPr>
          <w:rFonts w:ascii="Courier New" w:cs="Courier New" w:eastAsia="Courier New" w:hAnsi="Courier New"/>
          <w:sz w:val="15"/>
          <w:szCs w:val="15"/>
          <w:color w:val="auto"/>
        </w:rPr>
        <w:t>Warrant certificates may be exchanged for new Warrant certificates of different denominations, may (if in registered form) be presented for registration of transfer and may be exercised at the corporate trust office of the Warrant Agent or any other office indicated in the applicable Prospectus Supplement. Prior to the exercise of any Debt Warrant, holders of such Debt Warrants will not have any of the rights of holders of the Debt Securities purchasable upon such exercise, including the right to receive payments of principal of, premium, if any, or interest, if any, on the Debt Securities purchasable upon such exercise or to enforce covenants in the Indenture. Prior to the exercise of any Common Stock Warrants, holders of such Common Stock Warrants will not have any rights of holders of shares of Common Stock purchasable upon such exercise, including the right to receive payments of dividends, if any, on the shares of Common Stock purchasable upon such exercise or to exercise any applicable right to vote.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OF WARRANTS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Each Warrant will entitle the holder thereof to purchase such principal amount of Debt Securities or number of shares of Common Stock, as the case may be, at such exercise price as shall in each case be set forth in, or calculable from, the Prospectus Supplement relating to the offered Warrants. After the close of business on the Expiration Date (or such later date to which such Expiration Date may be extended by the Company), unexercised Warrants will become void.</w:t>
      </w:r>
    </w:p>
    <w:p>
      <w:pPr>
        <w:spacing w:after="0" w:line="177"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Warrants may be exercised by delivering to the Warrant Agent payment as provided in the applicable Prospectus Supplement of the amount required to purchase the Debt Securities or shares of Common Stock, as the case may be, purchasable upon such exercise together with certain information set forth on the reverse side of the Warrant certificate. Warrants will be deemed to have been exercised upon receipt of payment of the exercise price, subject to the receipt, within five business days, of the Warrant certificate evidencing such Warrants. Upon receipt of such payment and the Warrant certificate properly completed and duly executed at the corporate trust office of the Warrant Agent or any other office indicated in the applicable Prospectus Supplement, the Company will, as soon as practicable, issue and deliver the Debt Securities or shares of Common Stock, as the case may be, purchasable upon such exercise. If fewer than all of the Warrants represented by such Warrant certificate are exercised, a new Warrant certificate will be issued for the remaining amount of Warrants. The holder of a Warrant will be required to pay any tax or other governmental charge that may be imposed in connection with any transfer involved in the issuance of the Debt Securities or shares of Common Stock, as the case may be.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AND SUPPLEMENTS TO WARRANT AGREEMENTS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Warrant Agreements may be amended or supplemented without the consent of the holders of the Warrants issued thereunder to effect changes that are not inconsistent with the provisions of the Warrants and that do not adversely affect the interests of the holders of the Warrants.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WARRANT ADJUSTMENTS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Unless otherwise indicated in the applicable Prospectus Supplement, the exercise price of, and the number of shares of Common Stock covered by, a Common Stock Warrant are subject to adjustment in certain events, including (i) the issuance of capital stock as a dividend or distribution on shares of the Common Stock; (ii) subdivisions and combinations of the shares of Common Stock; (iii) the issuance to all holders of shares of the Common Stock of certain rights or warrants entitling them to subscribe for or purchase shares of the Common Stock within 45 days after the date fixed for the determination of the stockholders entitled to receive such rights or warrants at less than the current market price (as defined in the Warrant Agreement for such series of Common Stock Warrants); and (iv) the distribution to all holders of shares of the Common Stock of evidences of indebtedness or assets of the Company (excluding certain cash dividends and distributions described below) or rights or warrants (excluding those referred to above). In the event that the Company shall distribute any rights or warrants to acquire</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58" w:right="1440" w:bottom="1440" w:gutter="0" w:footer="0" w:header="0"/>
        </w:sectPr>
      </w:pPr>
    </w:p>
    <w:bookmarkStart w:id="22" w:name="page23"/>
    <w:bookmarkEnd w:id="22"/>
    <w:p>
      <w:pPr>
        <w:ind w:left="10" w:right="3179"/>
        <w:spacing w:after="0" w:line="256" w:lineRule="auto"/>
        <w:rPr>
          <w:sz w:val="20"/>
          <w:szCs w:val="20"/>
          <w:color w:val="auto"/>
        </w:rPr>
      </w:pPr>
      <w:r>
        <w:rPr>
          <w:rFonts w:ascii="Courier New" w:cs="Courier New" w:eastAsia="Courier New" w:hAnsi="Courier New"/>
          <w:sz w:val="14"/>
          <w:szCs w:val="14"/>
          <w:color w:val="auto"/>
        </w:rPr>
        <w:t>capital stock pursuant to clause (iii) above (the "Capital Stock Rights"), pursuant to which separate certificates representing such Capital Stock Rights will be distributed subsequent to the initial distribution of such Capital Stock Rights (whether or not such distribution shall have occurred prior to the date of the issuance of a series of Common Stock Warrants), such subsequent distribution shall be deemed to be the distribution of such Capital Stock Rights; provided that the Company may, in lieu of making any adjustment in the exercise price of and the number of shares of Common Stock covered by a Common Stock Warrant upon a distribution of separate certificates representing such Capital Stock Rights, make proper provision so that each holder of such a Common Stock Warrant who exercises such Common Stock Warrant (or any portion thereof)</w:t>
      </w:r>
    </w:p>
    <w:p>
      <w:pPr>
        <w:spacing w:after="0" w:line="4" w:lineRule="exact"/>
        <w:rPr>
          <w:sz w:val="20"/>
          <w:szCs w:val="20"/>
          <w:color w:val="auto"/>
        </w:rPr>
      </w:pPr>
    </w:p>
    <w:p>
      <w:pPr>
        <w:ind w:left="10" w:right="3179" w:hanging="10"/>
        <w:spacing w:after="0" w:line="238" w:lineRule="auto"/>
        <w:tabs>
          <w:tab w:leader="none" w:pos="362"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record date for such distribution of separate certificates shall be entitled to receive upon such exercise shares of Common Stock issued with Capital Stock Rights and (b) after such record date and prior to the expiration, redemption or termination of such Capital Stock Rights shall be entitled to receive upon such exercise, in addition to the shares of Common Stock issuable upon such exercise, the same number of such Capital Stock Rights as would a holder of the number of shares of Common Stock that such Common Stock Warrant so exercised would have entitled the holder thereof to acquire in accordance with the terms and provisions applicable to the Capital Stock Rights if such Common Stock Warrant was exercised immediately prior to the record date for such distribution. Common Stock owned by or held for the account of the Company or any majority owned subsidiary shall not be deemed outstanding for the purpose of any adjustment.</w:t>
      </w:r>
    </w:p>
    <w:p>
      <w:pPr>
        <w:spacing w:after="0" w:line="183"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No adjustment in the exercise price of and the number of shares of Common Stock covered by a Common Stock Warrant will be made for regular quarterly or other periodic or recurring cash dividends or distributions or for cash dividends or distributions to the extent paid from retained earnings. No adjustment will be required unless such adjustment would require a change of at least 1% in the exercise price then in effect; provided that any such adjustment not so made will be carried forward and taken into account in any subsequent adjustment; and provided further that any such adjustment not so made shall be made no later than three years after the occurrence of the event requiring such adjustment to be made or carried forward. Except as stated above, the exercise price of and the number of shares of Common Stock covered by a Common Stock Warrant will not be adjusted for the issuance of shares of Common Stock or any securities convertible into or exchangeable for shares of Common Stock, or securities carrying the right to purchase any of the foregoing.</w:t>
      </w:r>
    </w:p>
    <w:p>
      <w:pPr>
        <w:spacing w:after="0" w:line="16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In the case of (i) a reclassification or change of the Common Stock, (ii) a consolidation or merger involving the Company or (iii) a sale or conveyance to another corporation of the property and assets of the Company as an entirety or substantially as an entirety, in each case as a result of which holders of the Company's Common Stock shall be entitled to receive stock, securities, other property or assets (including cash) with respect to or in exchange for such Common Stock, the holders of the Common Stock Warrants then outstanding will be entitled thereafter to convert such Common Stock Warrants into the kind and amount of shares of stock and other securities or property which they would have received upon such reclassification, change, consolidation, merger, sale or conveyance had such Common Stock Warrants been exercised immediately prior to such reclassification, change, consolidation, merger, sale or conveyance.</w:t>
      </w:r>
    </w:p>
    <w:p>
      <w:pPr>
        <w:spacing w:after="0" w:line="160"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DESCRIPTION OF UNITS OF SECURITIES</w:t>
      </w:r>
    </w:p>
    <w:p>
      <w:pPr>
        <w:spacing w:after="0" w:line="17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The Company may issue Units consisting of two or more other constituent Securities, which Units may be issuable as, and for the period of time specified therein may be transferable as, a single Security only, as distinguished from the separate constituent Securities comprising such Units. Any such Units will be offered pursuant to a Prospectus Supplement which will (i) identify and designate the title of any series of Units; (ii) identify and describe the separate constituent Securities comprising such Units; (iii) set forth the price or prices at which such Units will be issued; (iv) describe, if applicable, the date on and after which the constituent Securities comprising the Units will become separately transferable; (v) provide information with respect to book-entry procedures, if any; (vi) discuss applicable United</w:t>
      </w:r>
    </w:p>
    <w:p>
      <w:pPr>
        <w:spacing w:after="0" w:line="16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458" w:right="1440" w:bottom="1440" w:gutter="0" w:footer="0" w:header="0"/>
        </w:sectPr>
      </w:pPr>
    </w:p>
    <w:bookmarkStart w:id="23" w:name="page24"/>
    <w:bookmarkEnd w:id="23"/>
    <w:p>
      <w:pPr>
        <w:ind w:left="10" w:right="3439"/>
        <w:spacing w:after="0" w:line="235" w:lineRule="auto"/>
        <w:rPr>
          <w:sz w:val="20"/>
          <w:szCs w:val="20"/>
          <w:color w:val="auto"/>
        </w:rPr>
      </w:pPr>
      <w:r>
        <w:rPr>
          <w:rFonts w:ascii="Courier New" w:cs="Courier New" w:eastAsia="Courier New" w:hAnsi="Courier New"/>
          <w:sz w:val="15"/>
          <w:szCs w:val="15"/>
          <w:color w:val="auto"/>
        </w:rPr>
        <w:t>States federal income tax considerations relating to the Units; and (vii) set forth any other terms of the Units and their constituent Securities.</w:t>
      </w:r>
    </w:p>
    <w:p>
      <w:pPr>
        <w:spacing w:after="0" w:line="170"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PLAN OF DISTRIBUTION</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Company may sell the Securities to or through underwriters and also may sell Securities directly to other purchasers or through agents. Such underwriters may include Goldman, Sachs &amp; Co., or a group of underwriters represented by firms including Goldman, Sachs &amp; Co. Goldman, Sachs &amp; Co. may also act as agents.</w:t>
      </w:r>
    </w:p>
    <w:p>
      <w:pPr>
        <w:spacing w:after="0" w:line="178"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connection with the sale of Securities, underwriters may receive compensation from the Company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received by them from the Company and any profit on the resale of Securities by them may be deemed to be underwriting discounts and commissions, under the Securities Act. Any such underwriter or agent will be identified, and any such compensation received from the Company will be described, in the applicable Prospectus Supplement.</w:t>
      </w:r>
    </w:p>
    <w:p>
      <w:pPr>
        <w:spacing w:after="0" w:line="183"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Under agreements which may be entered into by the Company, underwriters and agents who participate in the distribution of Securities may be entitled to indemnification by the Company against certain liabilities, including liabilities under the Securities Act.</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If so indicated in the applicable Prospectus Supplement, the Company will authorize underwriters or other persons acting as the Company's agents to solicit offers by certain institutions to purchase Securities from the Company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Company.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177"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LEGAL MATTERS</w:t>
      </w:r>
    </w:p>
    <w:p>
      <w:pPr>
        <w:spacing w:after="0" w:line="17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Unless otherwise indicated in a Prospectus Supplement, certain legal matters regarding the Securities will be passed upon for the Company by Doherty, Rumble</w:t>
      </w:r>
    </w:p>
    <w:p>
      <w:pPr>
        <w:spacing w:after="0" w:line="1" w:lineRule="exact"/>
        <w:rPr>
          <w:sz w:val="20"/>
          <w:szCs w:val="20"/>
          <w:color w:val="auto"/>
        </w:rPr>
      </w:pPr>
    </w:p>
    <w:p>
      <w:pPr>
        <w:ind w:left="10" w:right="3699" w:hanging="10"/>
        <w:spacing w:after="0" w:line="265" w:lineRule="auto"/>
        <w:tabs>
          <w:tab w:leader="none" w:pos="186"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Butler Professional Association, Minneapolis, Minnesota, and for the underwriters, if any, by Sonnenschein Nath &amp; Rosenthal, Chicago, Illinois.</w:t>
      </w:r>
    </w:p>
    <w:p>
      <w:pPr>
        <w:spacing w:after="0" w:line="153"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EXPERTS</w:t>
      </w:r>
    </w:p>
    <w:p>
      <w:pPr>
        <w:spacing w:after="0" w:line="344" w:lineRule="exact"/>
        <w:rPr>
          <w:sz w:val="20"/>
          <w:szCs w:val="20"/>
          <w:color w:val="auto"/>
        </w:rPr>
      </w:pPr>
    </w:p>
    <w:p>
      <w:pPr>
        <w:ind w:left="10" w:right="3359" w:firstLine="353"/>
        <w:spacing w:after="0" w:line="238" w:lineRule="auto"/>
        <w:rPr>
          <w:sz w:val="20"/>
          <w:szCs w:val="20"/>
          <w:color w:val="auto"/>
        </w:rPr>
      </w:pPr>
      <w:r>
        <w:rPr>
          <w:rFonts w:ascii="Courier New" w:cs="Courier New" w:eastAsia="Courier New" w:hAnsi="Courier New"/>
          <w:sz w:val="15"/>
          <w:szCs w:val="15"/>
          <w:color w:val="auto"/>
        </w:rPr>
        <w:t>The consolidated financial statements and schedule of The Toro Company and subsidiaries as of October 31, 1995 and 1996 and for the years ended July 31, 1994 and 1995, the three months ended October 31, 1995 and the year ended October 31, 1996, incorporated by reference herein, have been incorporated herein in reliance upon the reports of KPMG Peat Marwick LLP, independent certified public</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458" w:right="1440" w:bottom="1440" w:gutter="0" w:footer="0" w:header="0"/>
        </w:sectPr>
      </w:pPr>
    </w:p>
    <w:bookmarkStart w:id="24" w:name="page25"/>
    <w:bookmarkEnd w:id="24"/>
    <w:p>
      <w:pPr>
        <w:ind w:right="3439"/>
        <w:spacing w:after="0" w:line="235" w:lineRule="auto"/>
        <w:rPr>
          <w:sz w:val="20"/>
          <w:szCs w:val="20"/>
          <w:color w:val="auto"/>
        </w:rPr>
      </w:pPr>
      <w:r>
        <w:rPr>
          <w:rFonts w:ascii="Courier New" w:cs="Courier New" w:eastAsia="Courier New" w:hAnsi="Courier New"/>
          <w:sz w:val="15"/>
          <w:szCs w:val="15"/>
          <w:color w:val="auto"/>
        </w:rPr>
        <w:t>accountants, incorporated by reference herein, and upon the authority of said firm as experts in accounting and auditing.</w:t>
      </w:r>
    </w:p>
    <w:p>
      <w:pPr>
        <w:spacing w:after="0" w:line="345"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The combined financial statements of James Hardie Irrigation, Inc., James Hardie Irrigation Pty Limited and James Hardie Irrigation Europe S.p.A. as of December 1, 1996 and for the year then ended, incorporated by reference herein, have been incorporated herein in reliance on the report of KPMG Peat Marwick LLP, independent certified public accountants, incorporated by reference herein, and upon the authority of said firm as experts in accounting and auditing.</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58" w:right="1440" w:bottom="1440" w:gutter="0" w:footer="0" w:header="0"/>
        </w:sectPr>
      </w:pPr>
    </w:p>
    <w:bookmarkStart w:id="25" w:name="page26"/>
    <w:bookmarkEnd w:id="25"/>
    <w:p>
      <w:pPr>
        <w:jc w:val="center"/>
        <w:ind w:right="3250"/>
        <w:spacing w:after="0"/>
        <w:rPr>
          <w:sz w:val="20"/>
          <w:szCs w:val="20"/>
          <w:color w:val="auto"/>
        </w:rPr>
      </w:pPr>
      <w:r>
        <w:rPr>
          <w:rFonts w:ascii="Courier New" w:cs="Courier New" w:eastAsia="Courier New" w:hAnsi="Courier New"/>
          <w:sz w:val="15"/>
          <w:szCs w:val="15"/>
          <w:color w:val="auto"/>
        </w:rPr>
        <w:t>PART II</w:t>
      </w:r>
    </w:p>
    <w:p>
      <w:pPr>
        <w:jc w:val="center"/>
        <w:ind w:right="317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5"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The following is an estimate, subject to future contingencies, of the expenses to be incurred by the Registrant in connection with the issuance and distribution of the securities being registered:</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Registration Fee................................................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75,758</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*Legal Fees and Expenses.........................................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*Trustee Fees and Expenses.......................................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*Accounting Fees and Expenses....................................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*Blue Sky Fees and Expenses......................................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*Printing and Engraving Fees.....................................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*Rating Agency Fees..............................................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*Miscellaneous...................................................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38,242</w:t>
            </w:r>
          </w:p>
        </w:tc>
      </w:tr>
      <w:tr>
        <w:trPr>
          <w:trHeight w:val="170"/>
        </w:trPr>
        <w:tc>
          <w:tcPr>
            <w:tcW w:w="58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$ 480,000</w:t>
            </w:r>
          </w:p>
        </w:tc>
      </w:tr>
      <w:tr>
        <w:trPr>
          <w:trHeight w:val="170"/>
        </w:trPr>
        <w:tc>
          <w:tcPr>
            <w:tcW w:w="58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hanging="350"/>
        <w:spacing w:after="0"/>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pursuant to instruction to Item 511 of Regulation S-K.</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ITEM 15.  INDEMNIFICATION OF DIRECTORS AND OFFICERS</w:t>
      </w:r>
    </w:p>
    <w:p>
      <w:pPr>
        <w:spacing w:after="0" w:line="17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Section 145 of the General Corporation Law of the State of Delaware empowers a corporation incorporated under the statute to indemnify its directors, officers, employees and agents and its former directors, officers, employees and agents and those who serve in such capacities with another enterprise at the corporation's request against expenses (including attorneys' fees), as well as judgments, fines and settlements, actually and reasonably incurred by them in connection with any action, suit or proceeding in which they or any of them were or are made parties or are threatened to be made parties by reason of their serving or having served in such capacity. The power to indemnify exists only where such officer, director, employee or agent has acted in good faith and in a manner he or she reasonably believed to be in or not opposed to the best interests of the corporation and, in the case of a criminal action, where such person had no reasonable cause to believe his conduct was unlawful. Unless a court determines to the contrary, a corporation has no power of indemnification in any action or suit by or in the right of the corporation, where such person has been adjudged liable to the corporation. Indemnification against expenses is mandatory to the extent a claim, issue or matter has been successfully defended. Indemnification and advancement of expenses are not deemed exclusive of any other rights to which those indemnified may be entitled under any bylaw, agreement, vote of stockholders or otherwise. A Delaware corporation also has the power to purchase and maintain insurance on behalf of any person it has the power to indemnify, whether or not indemnity against liability would be allowed under the statute.</w:t>
      </w:r>
    </w:p>
    <w:p>
      <w:pPr>
        <w:spacing w:after="0" w:line="346" w:lineRule="exact"/>
        <w:rPr>
          <w:sz w:val="20"/>
          <w:szCs w:val="20"/>
          <w:color w:val="auto"/>
        </w:rPr>
      </w:pPr>
    </w:p>
    <w:p>
      <w:pPr>
        <w:ind w:left="10" w:right="3179" w:firstLine="353"/>
        <w:spacing w:after="0" w:line="258" w:lineRule="auto"/>
        <w:rPr>
          <w:sz w:val="20"/>
          <w:szCs w:val="20"/>
          <w:color w:val="auto"/>
        </w:rPr>
      </w:pPr>
      <w:r>
        <w:rPr>
          <w:rFonts w:ascii="Courier New" w:cs="Courier New" w:eastAsia="Courier New" w:hAnsi="Courier New"/>
          <w:sz w:val="14"/>
          <w:szCs w:val="14"/>
          <w:color w:val="auto"/>
        </w:rPr>
        <w:t>Section 1 of Article XI of the Registrant's Certificate of the Incorporation provides, in accordance with Section 102(b)(7) of the Delaware General Corporation Law, for the elimination or limitation of the personal liability of a director to the Registrant or its stockholders for monetary damages for breach of fiduciary duty as a director under certain circumstances.</w:t>
      </w:r>
    </w:p>
    <w:p>
      <w:pPr>
        <w:spacing w:after="0" w:line="16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Section 2 of Article XI of the Registrant's Certificate of Incorporation mandates indemnification of a director or officer of Registrant or a person serving at the request of the Registrant as a director, officer, employee or agent of another entity to the fullest extent authorized by the Delaware General Corporation Law against expenses, liability and loss and authorizes the Board to express such rights in written contract.</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9"/>
          </w:cols>
          <w:pgMar w:left="230" w:top="452" w:right="1440" w:bottom="1440" w:gutter="0" w:footer="0" w:header="0"/>
        </w:sectPr>
      </w:pPr>
    </w:p>
    <w:bookmarkStart w:id="26" w:name="page27"/>
    <w:bookmarkEnd w:id="26"/>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Registrant also maintains liability insurance policies which provide for indemnification of a director or officer of Registrant or a person serving at the request of the Registrant as a director, officer, employee or agent of another entity against certain liabilities under certain circumstances.</w:t>
      </w:r>
    </w:p>
    <w:p>
      <w:pPr>
        <w:spacing w:after="0" w:line="171"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following Exhibits are filed as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0"/>
        <w:spacing w:after="0"/>
        <w:tabs>
          <w:tab w:leader="none" w:pos="869"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Form of Underwriting Agreement for Debt Securities.</w:t>
      </w:r>
    </w:p>
    <w:p>
      <w:pPr>
        <w:spacing w:after="0" w:line="175" w:lineRule="exact"/>
        <w:rPr>
          <w:sz w:val="20"/>
          <w:szCs w:val="20"/>
          <w:color w:val="auto"/>
        </w:rPr>
      </w:pPr>
    </w:p>
    <w:p>
      <w:pPr>
        <w:ind w:left="890" w:right="3179" w:hanging="881"/>
        <w:spacing w:after="0" w:line="237" w:lineRule="auto"/>
        <w:tabs>
          <w:tab w:leader="none" w:pos="869" w:val="left"/>
        </w:tabs>
        <w:rPr>
          <w:sz w:val="20"/>
          <w:szCs w:val="20"/>
          <w:color w:val="auto"/>
        </w:rPr>
      </w:pPr>
      <w:r>
        <w:rPr>
          <w:rFonts w:ascii="Courier New" w:cs="Courier New" w:eastAsia="Courier New" w:hAnsi="Courier New"/>
          <w:sz w:val="15"/>
          <w:szCs w:val="15"/>
          <w:color w:val="auto"/>
        </w:rPr>
        <w:t>4(a)</w:t>
      </w:r>
      <w:r>
        <w:rPr>
          <w:sz w:val="20"/>
          <w:szCs w:val="20"/>
          <w:color w:val="auto"/>
        </w:rPr>
        <w:tab/>
      </w:r>
      <w:r>
        <w:rPr>
          <w:rFonts w:ascii="Courier New" w:cs="Courier New" w:eastAsia="Courier New" w:hAnsi="Courier New"/>
          <w:sz w:val="15"/>
          <w:szCs w:val="15"/>
          <w:color w:val="auto"/>
        </w:rPr>
        <w:t>Certificate of Incorporation of the Registrant as amended and corrected through May 18, 1987 (incorporated by reference to Exhibit 4.2 to Registrant's Registration Statement on Form S-3, Registration No. 33-16125).</w:t>
      </w:r>
    </w:p>
    <w:p>
      <w:pPr>
        <w:spacing w:after="0" w:line="176" w:lineRule="exact"/>
        <w:rPr>
          <w:sz w:val="20"/>
          <w:szCs w:val="20"/>
          <w:color w:val="auto"/>
        </w:rPr>
      </w:pPr>
    </w:p>
    <w:p>
      <w:pPr>
        <w:ind w:left="890" w:right="3539" w:hanging="881"/>
        <w:spacing w:after="0" w:line="237" w:lineRule="auto"/>
        <w:tabs>
          <w:tab w:leader="none" w:pos="869" w:val="left"/>
        </w:tabs>
        <w:rPr>
          <w:sz w:val="20"/>
          <w:szCs w:val="20"/>
          <w:color w:val="auto"/>
        </w:rPr>
      </w:pPr>
      <w:r>
        <w:rPr>
          <w:rFonts w:ascii="Courier New" w:cs="Courier New" w:eastAsia="Courier New" w:hAnsi="Courier New"/>
          <w:sz w:val="15"/>
          <w:szCs w:val="15"/>
          <w:color w:val="auto"/>
        </w:rPr>
        <w:t>4(b)</w:t>
      </w:r>
      <w:r>
        <w:rPr>
          <w:sz w:val="20"/>
          <w:szCs w:val="20"/>
          <w:color w:val="auto"/>
        </w:rPr>
        <w:tab/>
      </w:r>
      <w:r>
        <w:rPr>
          <w:rFonts w:ascii="Courier New" w:cs="Courier New" w:eastAsia="Courier New" w:hAnsi="Courier New"/>
          <w:sz w:val="15"/>
          <w:szCs w:val="15"/>
          <w:color w:val="auto"/>
        </w:rPr>
        <w:t>Certificate of Amendment to Certificate of Incorporation dated December 8, 1987 (incorporated by reference to Exhibit 3 to Registrant's Quarterly Report on Form 10-Q for the quarter ended January 29, 1988, Commission File No. 1-8649).</w:t>
      </w:r>
    </w:p>
    <w:p>
      <w:pPr>
        <w:spacing w:after="0" w:line="176" w:lineRule="exact"/>
        <w:rPr>
          <w:sz w:val="20"/>
          <w:szCs w:val="20"/>
          <w:color w:val="auto"/>
        </w:rPr>
      </w:pPr>
    </w:p>
    <w:p>
      <w:pPr>
        <w:jc w:val="both"/>
        <w:ind w:left="890" w:right="3259" w:hanging="881"/>
        <w:spacing w:after="0" w:line="237" w:lineRule="auto"/>
        <w:tabs>
          <w:tab w:leader="none" w:pos="869" w:val="left"/>
        </w:tabs>
        <w:rPr>
          <w:sz w:val="20"/>
          <w:szCs w:val="20"/>
          <w:color w:val="auto"/>
        </w:rPr>
      </w:pPr>
      <w:r>
        <w:rPr>
          <w:rFonts w:ascii="Courier New" w:cs="Courier New" w:eastAsia="Courier New" w:hAnsi="Courier New"/>
          <w:sz w:val="15"/>
          <w:szCs w:val="15"/>
          <w:color w:val="auto"/>
        </w:rPr>
        <w:t>4(c)</w:t>
      </w:r>
      <w:r>
        <w:rPr>
          <w:sz w:val="20"/>
          <w:szCs w:val="20"/>
          <w:color w:val="auto"/>
        </w:rPr>
        <w:tab/>
      </w:r>
      <w:r>
        <w:rPr>
          <w:rFonts w:ascii="Courier New" w:cs="Courier New" w:eastAsia="Courier New" w:hAnsi="Courier New"/>
          <w:sz w:val="15"/>
          <w:szCs w:val="15"/>
          <w:color w:val="auto"/>
        </w:rPr>
        <w:t>Bylaws of the Registrant (incorporated by reference to Exhibit 3.3 to Registrant's Annual Report on Form 10-K for the year ended July 31, 1991, Commission File No. 1-8649).</w:t>
      </w:r>
    </w:p>
    <w:p>
      <w:pPr>
        <w:spacing w:after="0" w:line="175" w:lineRule="exact"/>
        <w:rPr>
          <w:sz w:val="20"/>
          <w:szCs w:val="20"/>
          <w:color w:val="auto"/>
        </w:rPr>
      </w:pPr>
    </w:p>
    <w:p>
      <w:pPr>
        <w:ind w:left="890" w:right="3179" w:hanging="881"/>
        <w:spacing w:after="0" w:line="237" w:lineRule="auto"/>
        <w:tabs>
          <w:tab w:leader="none" w:pos="869" w:val="left"/>
        </w:tabs>
        <w:rPr>
          <w:sz w:val="20"/>
          <w:szCs w:val="20"/>
          <w:color w:val="auto"/>
        </w:rPr>
      </w:pPr>
      <w:r>
        <w:rPr>
          <w:rFonts w:ascii="Courier New" w:cs="Courier New" w:eastAsia="Courier New" w:hAnsi="Courier New"/>
          <w:sz w:val="15"/>
          <w:szCs w:val="15"/>
          <w:color w:val="auto"/>
        </w:rPr>
        <w:t>4(d)</w:t>
      </w:r>
      <w:r>
        <w:rPr>
          <w:sz w:val="20"/>
          <w:szCs w:val="20"/>
          <w:color w:val="auto"/>
        </w:rPr>
        <w:tab/>
      </w:r>
      <w:r>
        <w:rPr>
          <w:rFonts w:ascii="Courier New" w:cs="Courier New" w:eastAsia="Courier New" w:hAnsi="Courier New"/>
          <w:sz w:val="15"/>
          <w:szCs w:val="15"/>
          <w:color w:val="auto"/>
        </w:rPr>
        <w:t>Rights Agreement dated as of June 14, 1988, between the Registrant and Norwest Bank Minnesota National Association, relating to rights to purchase Series B Junior Participating Voting Preferred Stock (incorporated by reference to Exhibit 1 to Registrant's Registration Statement on Form 8-A dated June 17, 1988, Commission File No.</w:t>
      </w:r>
    </w:p>
    <w:p>
      <w:pPr>
        <w:spacing w:after="0" w:line="3"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1-8649).</w:t>
      </w:r>
    </w:p>
    <w:p>
      <w:pPr>
        <w:spacing w:after="0" w:line="175" w:lineRule="exact"/>
        <w:rPr>
          <w:sz w:val="20"/>
          <w:szCs w:val="20"/>
          <w:color w:val="auto"/>
        </w:rPr>
      </w:pPr>
    </w:p>
    <w:p>
      <w:pPr>
        <w:ind w:left="170"/>
        <w:spacing w:after="0"/>
        <w:tabs>
          <w:tab w:leader="none" w:pos="869" w:val="left"/>
        </w:tabs>
        <w:rPr>
          <w:sz w:val="20"/>
          <w:szCs w:val="20"/>
          <w:color w:val="auto"/>
        </w:rPr>
      </w:pPr>
      <w:r>
        <w:rPr>
          <w:rFonts w:ascii="Courier New" w:cs="Courier New" w:eastAsia="Courier New" w:hAnsi="Courier New"/>
          <w:sz w:val="14"/>
          <w:szCs w:val="14"/>
          <w:color w:val="auto"/>
        </w:rPr>
        <w:t>4(e)</w:t>
      </w:r>
      <w:r>
        <w:rPr>
          <w:sz w:val="20"/>
          <w:szCs w:val="20"/>
          <w:color w:val="auto"/>
        </w:rPr>
        <w:tab/>
      </w:r>
      <w:r>
        <w:rPr>
          <w:rFonts w:ascii="Courier New" w:cs="Courier New" w:eastAsia="Courier New" w:hAnsi="Courier New"/>
          <w:sz w:val="14"/>
          <w:szCs w:val="14"/>
          <w:color w:val="auto"/>
        </w:rPr>
        <w:t>Amendment to Rights Agreement dated as of August 14, 1990, between the</w:t>
      </w:r>
    </w:p>
    <w:p>
      <w:pPr>
        <w:spacing w:after="0" w:line="11" w:lineRule="exact"/>
        <w:rPr>
          <w:sz w:val="20"/>
          <w:szCs w:val="20"/>
          <w:color w:val="auto"/>
        </w:rPr>
      </w:pPr>
    </w:p>
    <w:p>
      <w:pPr>
        <w:ind w:left="1050" w:right="3439"/>
        <w:spacing w:after="0" w:line="237" w:lineRule="auto"/>
        <w:rPr>
          <w:sz w:val="20"/>
          <w:szCs w:val="20"/>
          <w:color w:val="auto"/>
        </w:rPr>
      </w:pPr>
      <w:r>
        <w:rPr>
          <w:rFonts w:ascii="Courier New" w:cs="Courier New" w:eastAsia="Courier New" w:hAnsi="Courier New"/>
          <w:sz w:val="15"/>
          <w:szCs w:val="15"/>
          <w:color w:val="auto"/>
        </w:rPr>
        <w:t>Registrant and Norwest Bank Minnesota National Association (incorporated by reference to Exhibit 1 to Registrant's Report on Form 8-K dated August 14, 1990, Commission File No. 1-8649).</w:t>
      </w:r>
    </w:p>
    <w:p>
      <w:pPr>
        <w:spacing w:after="0" w:line="175" w:lineRule="exact"/>
        <w:rPr>
          <w:sz w:val="20"/>
          <w:szCs w:val="20"/>
          <w:color w:val="auto"/>
        </w:rPr>
      </w:pPr>
    </w:p>
    <w:p>
      <w:pPr>
        <w:ind w:left="890" w:right="3259" w:hanging="881"/>
        <w:spacing w:after="0" w:line="237" w:lineRule="auto"/>
        <w:tabs>
          <w:tab w:leader="none" w:pos="869" w:val="left"/>
        </w:tabs>
        <w:rPr>
          <w:sz w:val="20"/>
          <w:szCs w:val="20"/>
          <w:color w:val="auto"/>
        </w:rPr>
      </w:pPr>
      <w:r>
        <w:rPr>
          <w:rFonts w:ascii="Courier New" w:cs="Courier New" w:eastAsia="Courier New" w:hAnsi="Courier New"/>
          <w:sz w:val="15"/>
          <w:szCs w:val="15"/>
          <w:color w:val="auto"/>
        </w:rPr>
        <w:t>4(f)</w:t>
      </w:r>
      <w:r>
        <w:rPr>
          <w:sz w:val="20"/>
          <w:szCs w:val="20"/>
          <w:color w:val="auto"/>
        </w:rPr>
        <w:tab/>
      </w:r>
      <w:r>
        <w:rPr>
          <w:rFonts w:ascii="Courier New" w:cs="Courier New" w:eastAsia="Courier New" w:hAnsi="Courier New"/>
          <w:sz w:val="15"/>
          <w:szCs w:val="15"/>
          <w:color w:val="auto"/>
        </w:rPr>
        <w:t>Specimen form of Common Stock certificate (incorporated by reference to Exhibit 4(c) to Registrant's Registration Statement on Form S-8, Registration No. 2-94417).</w:t>
      </w:r>
    </w:p>
    <w:p>
      <w:pPr>
        <w:spacing w:after="0" w:line="169" w:lineRule="exact"/>
        <w:rPr>
          <w:sz w:val="20"/>
          <w:szCs w:val="20"/>
          <w:color w:val="auto"/>
        </w:rPr>
      </w:pPr>
    </w:p>
    <w:p>
      <w:pPr>
        <w:ind w:left="170"/>
        <w:spacing w:after="0"/>
        <w:tabs>
          <w:tab w:leader="none" w:pos="869" w:val="left"/>
        </w:tabs>
        <w:rPr>
          <w:sz w:val="20"/>
          <w:szCs w:val="20"/>
          <w:color w:val="auto"/>
        </w:rPr>
      </w:pPr>
      <w:r>
        <w:rPr>
          <w:rFonts w:ascii="Courier New" w:cs="Courier New" w:eastAsia="Courier New" w:hAnsi="Courier New"/>
          <w:sz w:val="15"/>
          <w:szCs w:val="15"/>
          <w:color w:val="auto"/>
        </w:rPr>
        <w:t>4(g)</w:t>
      </w:r>
      <w:r>
        <w:rPr>
          <w:sz w:val="20"/>
          <w:szCs w:val="20"/>
          <w:color w:val="auto"/>
        </w:rPr>
        <w:tab/>
      </w:r>
      <w:r>
        <w:rPr>
          <w:rFonts w:ascii="Courier New" w:cs="Courier New" w:eastAsia="Courier New" w:hAnsi="Courier New"/>
          <w:sz w:val="15"/>
          <w:szCs w:val="15"/>
          <w:color w:val="auto"/>
        </w:rPr>
        <w:t>Form of Indenture.</w:t>
      </w:r>
    </w:p>
    <w:p>
      <w:pPr>
        <w:spacing w:after="0" w:line="169" w:lineRule="exact"/>
        <w:rPr>
          <w:sz w:val="20"/>
          <w:szCs w:val="20"/>
          <w:color w:val="auto"/>
        </w:rPr>
      </w:pPr>
    </w:p>
    <w:p>
      <w:pPr>
        <w:ind w:left="170"/>
        <w:spacing w:after="0"/>
        <w:tabs>
          <w:tab w:leader="none" w:pos="869" w:val="left"/>
        </w:tabs>
        <w:rPr>
          <w:sz w:val="20"/>
          <w:szCs w:val="20"/>
          <w:color w:val="auto"/>
        </w:rPr>
      </w:pPr>
      <w:r>
        <w:rPr>
          <w:rFonts w:ascii="Courier New" w:cs="Courier New" w:eastAsia="Courier New" w:hAnsi="Courier New"/>
          <w:sz w:val="15"/>
          <w:szCs w:val="15"/>
          <w:color w:val="auto"/>
        </w:rPr>
        <w:t>4(h)</w:t>
      </w:r>
      <w:r>
        <w:rPr>
          <w:sz w:val="20"/>
          <w:szCs w:val="20"/>
          <w:color w:val="auto"/>
        </w:rPr>
        <w:tab/>
      </w:r>
      <w:r>
        <w:rPr>
          <w:rFonts w:ascii="Courier New" w:cs="Courier New" w:eastAsia="Courier New" w:hAnsi="Courier New"/>
          <w:sz w:val="15"/>
          <w:szCs w:val="15"/>
          <w:color w:val="auto"/>
        </w:rPr>
        <w:t>Forms of Debt Securities (filed as part of Exhibit 4(g)).</w:t>
      </w:r>
    </w:p>
    <w:p>
      <w:pPr>
        <w:spacing w:after="0" w:line="169" w:lineRule="exact"/>
        <w:rPr>
          <w:sz w:val="20"/>
          <w:szCs w:val="20"/>
          <w:color w:val="auto"/>
        </w:rPr>
      </w:pPr>
    </w:p>
    <w:p>
      <w:pPr>
        <w:ind w:left="890" w:hanging="713"/>
        <w:spacing w:after="0"/>
        <w:tabs>
          <w:tab w:leader="none" w:pos="89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Doherty, Rumble &amp; Butler Professional Association.</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w:t>
      </w:r>
      <w:r>
        <w:rPr>
          <w:rFonts w:ascii="Courier New" w:cs="Courier New" w:eastAsia="Courier New" w:hAnsi="Courier New"/>
          <w:sz w:val="14"/>
          <w:szCs w:val="14"/>
          <w:color w:val="auto"/>
        </w:rPr>
        <w:t>Computations of ratio of earnings to fixed charges.</w:t>
      </w:r>
    </w:p>
    <w:p>
      <w:pPr>
        <w:spacing w:after="0" w:line="175" w:lineRule="exact"/>
        <w:rPr>
          <w:sz w:val="20"/>
          <w:szCs w:val="20"/>
          <w:color w:val="auto"/>
        </w:rPr>
      </w:pPr>
    </w:p>
    <w:p>
      <w:pPr>
        <w:ind w:left="890" w:right="3179" w:hanging="969"/>
        <w:spacing w:after="0" w:line="235" w:lineRule="auto"/>
        <w:tabs>
          <w:tab w:leader="none" w:pos="869" w:val="left"/>
        </w:tabs>
        <w:rPr>
          <w:sz w:val="20"/>
          <w:szCs w:val="20"/>
          <w:color w:val="auto"/>
        </w:rPr>
      </w:pPr>
      <w:r>
        <w:rPr>
          <w:rFonts w:ascii="Courier New" w:cs="Courier New" w:eastAsia="Courier New" w:hAnsi="Courier New"/>
          <w:sz w:val="15"/>
          <w:szCs w:val="15"/>
          <w:color w:val="auto"/>
        </w:rPr>
        <w:t>23(a)</w:t>
      </w:r>
      <w:r>
        <w:rPr>
          <w:sz w:val="20"/>
          <w:szCs w:val="20"/>
          <w:color w:val="auto"/>
        </w:rPr>
        <w:tab/>
      </w:r>
      <w:r>
        <w:rPr>
          <w:rFonts w:ascii="Courier New" w:cs="Courier New" w:eastAsia="Courier New" w:hAnsi="Courier New"/>
          <w:sz w:val="15"/>
          <w:szCs w:val="15"/>
          <w:color w:val="auto"/>
        </w:rPr>
        <w:t>Consent of Doherty, Rumble &amp; Butler Professional Association (included as part of Exhibit 5).</w:t>
      </w:r>
    </w:p>
    <w:p>
      <w:pPr>
        <w:spacing w:after="0" w:line="170"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*23(b)</w:t>
      </w:r>
      <w:r>
        <w:rPr>
          <w:sz w:val="20"/>
          <w:szCs w:val="20"/>
          <w:color w:val="auto"/>
        </w:rPr>
        <w:tab/>
      </w:r>
      <w:r>
        <w:rPr>
          <w:rFonts w:ascii="Courier New" w:cs="Courier New" w:eastAsia="Courier New" w:hAnsi="Courier New"/>
          <w:sz w:val="15"/>
          <w:szCs w:val="15"/>
          <w:color w:val="auto"/>
        </w:rPr>
        <w:t>Consent of KPMG Peat Marwick LLP.</w:t>
      </w:r>
    </w:p>
    <w:p>
      <w:pPr>
        <w:spacing w:after="0" w:line="175" w:lineRule="exact"/>
        <w:rPr>
          <w:sz w:val="20"/>
          <w:szCs w:val="20"/>
          <w:color w:val="auto"/>
        </w:rPr>
      </w:pPr>
    </w:p>
    <w:p>
      <w:pPr>
        <w:ind w:left="1050" w:right="4139" w:hanging="961"/>
        <w:spacing w:after="0" w:line="235" w:lineRule="auto"/>
        <w:tabs>
          <w:tab w:leader="none" w:pos="87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 (included on the signature pages of this Registration Statement).</w:t>
      </w:r>
    </w:p>
    <w:p>
      <w:pPr>
        <w:spacing w:after="0" w:line="170"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Form T-1 Statement of Eligibility under the Trust Indenture Act of</w:t>
      </w:r>
    </w:p>
    <w:p>
      <w:pPr>
        <w:ind w:left="1050"/>
        <w:spacing w:after="0"/>
        <w:rPr>
          <w:sz w:val="20"/>
          <w:szCs w:val="20"/>
          <w:color w:val="auto"/>
        </w:rPr>
      </w:pPr>
      <w:r>
        <w:rPr>
          <w:rFonts w:ascii="Courier New" w:cs="Courier New" w:eastAsia="Courier New" w:hAnsi="Courier New"/>
          <w:sz w:val="15"/>
          <w:szCs w:val="15"/>
          <w:color w:val="auto"/>
        </w:rPr>
        <w:t>1939 of First Trust National Association as Trustee.</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339" w:lineRule="exact"/>
        <w:rPr>
          <w:sz w:val="20"/>
          <w:szCs w:val="20"/>
          <w:color w:val="auto"/>
        </w:rPr>
      </w:pPr>
    </w:p>
    <w:p>
      <w:pPr>
        <w:ind w:left="350" w:hanging="350"/>
        <w:spacing w:after="0"/>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or amended herewith.</w:t>
      </w:r>
    </w:p>
    <w:p>
      <w:pPr>
        <w:spacing w:after="0" w:line="33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69" w:lineRule="exact"/>
        <w:rPr>
          <w:sz w:val="20"/>
          <w:szCs w:val="20"/>
          <w:color w:val="auto"/>
        </w:rPr>
      </w:pPr>
    </w:p>
    <w:p>
      <w:pPr>
        <w:ind w:left="710" w:hanging="357"/>
        <w:spacing w:after="0"/>
        <w:tabs>
          <w:tab w:leader="none" w:pos="71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4" w:lineRule="exact"/>
        <w:rPr>
          <w:rFonts w:ascii="Courier New" w:cs="Courier New" w:eastAsia="Courier New" w:hAnsi="Courier New"/>
          <w:sz w:val="15"/>
          <w:szCs w:val="15"/>
          <w:color w:val="auto"/>
        </w:rPr>
      </w:pPr>
    </w:p>
    <w:p>
      <w:pPr>
        <w:ind w:left="350" w:right="3259" w:firstLine="356"/>
        <w:spacing w:after="0" w:line="235" w:lineRule="auto"/>
        <w:tabs>
          <w:tab w:leader="none" w:pos="1055"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sz w:val="20"/>
          <w:szCs w:val="20"/>
          <w:color w:val="auto"/>
        </w:rPr>
      </w:pPr>
    </w:p>
    <w:p>
      <w:pPr>
        <w:ind w:left="610" w:right="3359" w:firstLine="536"/>
        <w:spacing w:after="0" w:line="235" w:lineRule="auto"/>
        <w:tabs>
          <w:tab w:leader="none" w:pos="149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9"/>
          </w:cols>
          <w:pgMar w:left="230" w:top="458" w:right="1440" w:bottom="1440" w:gutter="0" w:footer="0" w:header="0"/>
        </w:sectPr>
      </w:pPr>
    </w:p>
    <w:bookmarkStart w:id="27" w:name="page28"/>
    <w:bookmarkEnd w:id="27"/>
    <w:p>
      <w:pPr>
        <w:ind w:left="260" w:right="3179" w:firstLine="448"/>
        <w:spacing w:after="0" w:line="238" w:lineRule="auto"/>
        <w:tabs>
          <w:tab w:leader="none" w:pos="114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2" w:lineRule="exact"/>
        <w:rPr>
          <w:rFonts w:ascii="Courier New" w:cs="Courier New" w:eastAsia="Courier New" w:hAnsi="Courier New"/>
          <w:sz w:val="15"/>
          <w:szCs w:val="15"/>
          <w:color w:val="auto"/>
        </w:rPr>
      </w:pPr>
    </w:p>
    <w:p>
      <w:pPr>
        <w:ind w:left="260" w:right="3179" w:firstLine="448"/>
        <w:spacing w:after="0" w:line="260" w:lineRule="auto"/>
        <w:tabs>
          <w:tab w:leader="none" w:pos="123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3"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Provided, however, that paragraphs (a)(1)(i) and (a)(1)(ii) do not apply if the information required to be included in a post-effective amendment by those paragraphs is contained in periodic reports filed by the Registrant pursuant to Section 13 or 15(d) of the Securities Exchange Act of 1934 that are incorporated by reference in the Registration Statement.</w:t>
      </w:r>
    </w:p>
    <w:p>
      <w:pPr>
        <w:spacing w:after="0" w:line="178" w:lineRule="exact"/>
        <w:rPr>
          <w:sz w:val="20"/>
          <w:szCs w:val="20"/>
          <w:color w:val="auto"/>
        </w:rPr>
      </w:pPr>
    </w:p>
    <w:p>
      <w:pPr>
        <w:ind w:right="3179" w:firstLine="356"/>
        <w:spacing w:after="0" w:line="237" w:lineRule="auto"/>
        <w:tabs>
          <w:tab w:leader="none" w:pos="705"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right="3359" w:firstLine="356"/>
        <w:spacing w:after="0" w:line="237" w:lineRule="auto"/>
        <w:tabs>
          <w:tab w:leader="none" w:pos="705"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4" w:lineRule="exact"/>
        <w:rPr>
          <w:rFonts w:ascii="Courier New" w:cs="Courier New" w:eastAsia="Courier New" w:hAnsi="Courier New"/>
          <w:sz w:val="15"/>
          <w:szCs w:val="15"/>
          <w:color w:val="auto"/>
        </w:rPr>
      </w:pPr>
    </w:p>
    <w:p>
      <w:pPr>
        <w:ind w:left="-340" w:right="3259" w:firstLine="343"/>
        <w:spacing w:after="0" w:line="257" w:lineRule="auto"/>
        <w:tabs>
          <w:tab w:leader="none" w:pos="365"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37" w:lineRule="exact"/>
        <w:rPr>
          <w:sz w:val="20"/>
          <w:szCs w:val="20"/>
          <w:color w:val="auto"/>
        </w:rPr>
      </w:pPr>
    </w:p>
    <w:p>
      <w:pPr>
        <w:ind w:left="-340" w:right="3179" w:firstLine="343"/>
        <w:spacing w:after="0" w:line="257" w:lineRule="auto"/>
        <w:tabs>
          <w:tab w:leader="none" w:pos="36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Commissions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bene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9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9879"/>
          </w:cols>
          <w:pgMar w:left="580" w:top="458" w:right="1440" w:bottom="1440" w:gutter="0" w:footer="0" w:header="0"/>
        </w:sectPr>
      </w:pPr>
    </w:p>
    <w:bookmarkStart w:id="28" w:name="page29"/>
    <w:bookmarkEnd w:id="28"/>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Pursuant to the requirements of the Securities Act of 1933, The Toro Company certifies that it has reasonable grounds to believe that it meets all of the requirements for filing on Form S-3 and has duly caused this Amendment No. 1 to the Registration Statement to be signed on its behalf by the undersigned, thereunto duly authorized, in the City of Bloomington and the State of Minnesota, on the 9th day of June 1997.</w:t>
      </w:r>
    </w:p>
    <w:p>
      <w:pPr>
        <w:spacing w:after="0" w:line="33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TORO COMPANY</w:t>
      </w:r>
    </w:p>
    <w:p>
      <w:pPr>
        <w:sectPr>
          <w:pgSz w:w="11900" w:h="16838" w:orient="portrait"/>
          <w:cols w:equalWidth="0" w:num="1">
            <w:col w:w="10219"/>
          </w:cols>
          <w:pgMar w:left="240" w:top="452" w:right="1440" w:bottom="1440" w:gutter="0" w:footer="0" w:header="0"/>
        </w:sectPr>
      </w:pPr>
    </w:p>
    <w:p>
      <w:pPr>
        <w:spacing w:after="0" w:line="169"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 KENDRICK B. MELROSE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Kendrick B. Melrose</w:t>
      </w:r>
    </w:p>
    <w:p>
      <w:pPr>
        <w:ind w:left="260"/>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200" w:lineRule="exact"/>
        <w:rPr>
          <w:sz w:val="20"/>
          <w:szCs w:val="20"/>
          <w:color w:val="auto"/>
        </w:rPr>
      </w:pPr>
    </w:p>
    <w:p>
      <w:pPr>
        <w:sectPr>
          <w:pgSz w:w="11900" w:h="16838" w:orient="portrait"/>
          <w:cols w:equalWidth="0" w:num="2">
            <w:col w:w="440" w:space="260"/>
            <w:col w:w="9519"/>
          </w:cols>
          <w:pgMar w:left="240" w:top="452" w:right="1440" w:bottom="1440" w:gutter="0" w:footer="0" w:header="0"/>
          <w:type w:val="continuous"/>
        </w:sectPr>
      </w:pPr>
    </w:p>
    <w:p>
      <w:pPr>
        <w:spacing w:after="0" w:line="144"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this Amendment No. 1 to the Registration Statement has been signed by the following persons in the capacities and on the dates indicated:</w:t>
      </w:r>
    </w:p>
    <w:p>
      <w:pPr>
        <w:sectPr>
          <w:pgSz w:w="11900" w:h="16838" w:orient="portrait"/>
          <w:cols w:equalWidth="0" w:num="1">
            <w:col w:w="10219"/>
          </w:cols>
          <w:pgMar w:left="240" w:top="45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820" w:space="160"/>
            <w:col w:w="2300" w:space="180"/>
            <w:col w:w="4759"/>
          </w:cols>
          <w:pgMar w:left="240" w:top="452" w:right="1440" w:bottom="1440" w:gutter="0" w:footer="0" w:header="0"/>
          <w:type w:val="continuous"/>
        </w:sectPr>
      </w:pPr>
    </w:p>
    <w:p>
      <w:pPr>
        <w:spacing w:after="0" w:line="31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KENDRICK B. MELROSE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Kendrick B. Melrose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and Chief</w:t>
      </w:r>
    </w:p>
    <w:p>
      <w:pPr>
        <w:ind w:left="160"/>
        <w:spacing w:after="0"/>
        <w:rPr>
          <w:sz w:val="20"/>
          <w:szCs w:val="20"/>
          <w:color w:val="auto"/>
        </w:rPr>
      </w:pPr>
      <w:r>
        <w:rPr>
          <w:rFonts w:ascii="Courier New" w:cs="Courier New" w:eastAsia="Courier New" w:hAnsi="Courier New"/>
          <w:sz w:val="15"/>
          <w:szCs w:val="15"/>
          <w:color w:val="auto"/>
        </w:rPr>
        <w:t>Executive Officer</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(Principal Executive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9, 1997</w:t>
      </w:r>
    </w:p>
    <w:p>
      <w:pPr>
        <w:spacing w:after="0" w:line="350" w:lineRule="exact"/>
        <w:rPr>
          <w:sz w:val="20"/>
          <w:szCs w:val="20"/>
          <w:color w:val="auto"/>
        </w:rPr>
      </w:pPr>
    </w:p>
    <w:p>
      <w:pPr>
        <w:sectPr>
          <w:pgSz w:w="11900" w:h="16838" w:orient="portrait"/>
          <w:cols w:equalWidth="0" w:num="3">
            <w:col w:w="2820" w:space="0"/>
            <w:col w:w="2180" w:space="720"/>
            <w:col w:w="4499"/>
          </w:cols>
          <w:pgMar w:left="240" w:top="452" w:right="1440" w:bottom="1440" w:gutter="0" w:footer="0" w:header="0"/>
          <w:type w:val="continuous"/>
        </w:sectPr>
      </w:pP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STEPHEN P. WOLFE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Stephen P. Wolfe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and Chief</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Financial Officer</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(Principal Financial</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Officer)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9, 1997</w:t>
      </w:r>
    </w:p>
    <w:p>
      <w:pPr>
        <w:spacing w:after="0" w:line="344" w:lineRule="exact"/>
        <w:rPr>
          <w:sz w:val="20"/>
          <w:szCs w:val="20"/>
          <w:color w:val="auto"/>
        </w:rPr>
      </w:pPr>
    </w:p>
    <w:p>
      <w:pPr>
        <w:sectPr>
          <w:pgSz w:w="11900" w:h="16838" w:orient="portrait"/>
          <w:cols w:equalWidth="0" w:num="3">
            <w:col w:w="2820" w:space="0"/>
            <w:col w:w="2180" w:space="720"/>
            <w:col w:w="4499"/>
          </w:cols>
          <w:pgMar w:left="240" w:top="452"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Randy B. James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President and</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Controller (Principal</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Accounting Officer)</w:t>
      </w:r>
    </w:p>
    <w:p>
      <w:pPr>
        <w:spacing w:after="0" w:line="169" w:lineRule="exact"/>
        <w:rPr>
          <w:sz w:val="20"/>
          <w:szCs w:val="20"/>
          <w:color w:val="auto"/>
        </w:rPr>
      </w:pPr>
    </w:p>
    <w:p>
      <w:pPr>
        <w:sectPr>
          <w:pgSz w:w="11900" w:h="16838" w:orient="portrait"/>
          <w:cols w:equalWidth="0" w:num="2">
            <w:col w:w="2820" w:space="0"/>
            <w:col w:w="7399"/>
          </w:cols>
          <w:pgMar w:left="240" w:top="452"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Ronald O. Baukol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ectPr>
          <w:pgSz w:w="11900" w:h="16838" w:orient="portrait"/>
          <w:cols w:equalWidth="0" w:num="2">
            <w:col w:w="2820" w:space="160"/>
            <w:col w:w="7239"/>
          </w:cols>
          <w:pgMar w:left="240" w:top="452"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Robert C. Buhrmaster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ectPr>
          <w:pgSz w:w="11900" w:h="16838" w:orient="portrait"/>
          <w:cols w:equalWidth="0" w:num="2">
            <w:col w:w="2820" w:space="160"/>
            <w:col w:w="7239"/>
          </w:cols>
          <w:pgMar w:left="240" w:top="452"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Janet K. Cooper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ectPr>
          <w:pgSz w:w="11900" w:h="16838" w:orient="portrait"/>
          <w:cols w:equalWidth="0" w:num="2">
            <w:col w:w="2820" w:space="160"/>
            <w:col w:w="7239"/>
          </w:cols>
          <w:pgMar w:left="240" w:top="452"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Alex A. Meyer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69" w:lineRule="exact"/>
        <w:rPr>
          <w:sz w:val="20"/>
          <w:szCs w:val="20"/>
          <w:color w:val="auto"/>
        </w:rPr>
      </w:pPr>
    </w:p>
    <w:p>
      <w:pPr>
        <w:sectPr>
          <w:pgSz w:w="11900" w:h="16838" w:orient="portrait"/>
          <w:cols w:equalWidth="0" w:num="2">
            <w:col w:w="2820" w:space="160"/>
            <w:col w:w="7239"/>
          </w:cols>
          <w:pgMar w:left="240" w:top="452" w:right="1440" w:bottom="1440" w:gutter="0" w:footer="0" w:header="0"/>
          <w:type w:val="continuous"/>
        </w:sectPr>
      </w:pPr>
    </w:p>
    <w:p>
      <w:pPr>
        <w:spacing w:after="0" w:line="31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19"/>
          </w:cols>
          <w:pgMar w:left="240" w:top="452" w:right="1440" w:bottom="1440" w:gutter="0" w:footer="0" w:header="0"/>
          <w:type w:val="continuous"/>
        </w:sectPr>
      </w:pPr>
    </w:p>
    <w:bookmarkStart w:id="29" w:name="page30"/>
    <w:bookmarkEnd w:id="29"/>
    <w:p>
      <w:pPr>
        <w:ind w:left="11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820" w:space="160"/>
            <w:col w:w="2300" w:space="180"/>
            <w:col w:w="4759"/>
          </w:cols>
          <w:pgMar w:left="240" w:top="961" w:right="1440" w:bottom="1440" w:gutter="0" w:footer="0" w:header="0"/>
        </w:sect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Robert H. Nassau</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ectPr>
          <w:pgSz w:w="11900" w:h="16838" w:orient="portrait"/>
          <w:cols w:equalWidth="0" w:num="2">
            <w:col w:w="2820" w:space="160"/>
            <w:col w:w="7239"/>
          </w:cols>
          <w:pgMar w:left="240" w:top="961"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Dale R. Olseth</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ectPr>
          <w:pgSz w:w="11900" w:h="16838" w:orient="portrait"/>
          <w:cols w:equalWidth="0" w:num="2">
            <w:col w:w="2820" w:space="160"/>
            <w:col w:w="7239"/>
          </w:cols>
          <w:pgMar w:left="240" w:top="961"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Edwin H. Wingate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69" w:lineRule="exact"/>
        <w:rPr>
          <w:sz w:val="20"/>
          <w:szCs w:val="20"/>
          <w:color w:val="auto"/>
        </w:rPr>
      </w:pPr>
    </w:p>
    <w:p>
      <w:pPr>
        <w:sectPr>
          <w:pgSz w:w="11900" w:h="16838" w:orient="portrait"/>
          <w:cols w:equalWidth="0" w:num="2">
            <w:col w:w="2820" w:space="160"/>
            <w:col w:w="7239"/>
          </w:cols>
          <w:pgMar w:left="240" w:top="961" w:right="1440"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KENDRICK B.</w:t>
      </w:r>
    </w:p>
    <w:p>
      <w:pPr>
        <w:ind w:left="800"/>
        <w:spacing w:after="0"/>
        <w:rPr>
          <w:sz w:val="20"/>
          <w:szCs w:val="20"/>
          <w:color w:val="auto"/>
        </w:rPr>
      </w:pPr>
      <w:r>
        <w:rPr>
          <w:rFonts w:ascii="Courier New" w:cs="Courier New" w:eastAsia="Courier New" w:hAnsi="Courier New"/>
          <w:sz w:val="15"/>
          <w:szCs w:val="15"/>
          <w:color w:val="auto"/>
        </w:rPr>
        <w:t>MELROSE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Kendrick B. Melrose</w:t>
      </w:r>
    </w:p>
    <w:p>
      <w:pPr>
        <w:ind w:left="360"/>
        <w:spacing w:after="0"/>
        <w:rPr>
          <w:sz w:val="20"/>
          <w:szCs w:val="20"/>
          <w:color w:val="auto"/>
        </w:rPr>
      </w:pPr>
      <w:r>
        <w:rPr>
          <w:rFonts w:ascii="Courier New" w:cs="Courier New" w:eastAsia="Courier New" w:hAnsi="Courier New"/>
          <w:sz w:val="15"/>
          <w:szCs w:val="15"/>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9, 1997</w:t>
      </w:r>
    </w:p>
    <w:p>
      <w:pPr>
        <w:spacing w:after="0" w:line="545" w:lineRule="exact"/>
        <w:rPr>
          <w:sz w:val="20"/>
          <w:szCs w:val="20"/>
          <w:color w:val="auto"/>
        </w:rPr>
      </w:pPr>
    </w:p>
    <w:p>
      <w:pPr>
        <w:sectPr>
          <w:pgSz w:w="11900" w:h="16838" w:orient="portrait"/>
          <w:cols w:equalWidth="0" w:num="3">
            <w:col w:w="340" w:space="180"/>
            <w:col w:w="2200" w:space="180"/>
            <w:col w:w="7319"/>
          </w:cols>
          <w:pgMar w:left="240" w:top="961" w:right="1440" w:bottom="1440" w:gutter="0" w:footer="0" w:header="0"/>
          <w:type w:val="continuous"/>
        </w:sectPr>
      </w:pPr>
    </w:p>
    <w:p>
      <w:pPr>
        <w:spacing w:after="0" w:line="14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19"/>
          </w:cols>
          <w:pgMar w:left="240" w:top="961" w:right="1440" w:bottom="1440" w:gutter="0" w:footer="0" w:header="0"/>
          <w:type w:val="continuous"/>
        </w:sectPr>
      </w:pPr>
    </w:p>
    <w:bookmarkStart w:id="30" w:name="page31"/>
    <w:bookmarkEnd w:id="30"/>
    <w:p>
      <w:pPr>
        <w:ind w:left="2640"/>
        <w:spacing w:after="0"/>
        <w:rPr>
          <w:sz w:val="20"/>
          <w:szCs w:val="20"/>
          <w:color w:val="auto"/>
        </w:rPr>
      </w:pPr>
      <w:r>
        <w:rPr>
          <w:rFonts w:ascii="Courier New" w:cs="Courier New" w:eastAsia="Courier New" w:hAnsi="Courier New"/>
          <w:sz w:val="15"/>
          <w:szCs w:val="15"/>
          <w:color w:val="auto"/>
        </w:rPr>
        <w:t>EXHIBIT INDEX</w:t>
      </w:r>
    </w:p>
    <w:tbl>
      <w:tblPr>
        <w:tblLayout w:type="fixed"/>
        <w:tblInd w:w="8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6840" w:type="dxa"/>
            <w:vAlign w:val="bottom"/>
          </w:tcPr>
          <w:p>
            <w:pPr>
              <w:ind w:left="1900"/>
              <w:spacing w:after="0"/>
              <w:rPr>
                <w:sz w:val="20"/>
                <w:szCs w:val="20"/>
                <w:color w:val="auto"/>
              </w:rPr>
            </w:pPr>
            <w:r>
              <w:rPr>
                <w:rFonts w:ascii="Courier New" w:cs="Courier New" w:eastAsia="Courier New" w:hAnsi="Courier New"/>
                <w:sz w:val="15"/>
                <w:szCs w:val="15"/>
                <w:color w:val="auto"/>
              </w:rPr>
              <w:t>DOCUMENT DESCRIPTION</w:t>
            </w: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848"/>
        </w:trPr>
        <w:tc>
          <w:tcPr>
            <w:tcW w:w="4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FORM</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OF FILING</w:t>
            </w:r>
          </w:p>
        </w:tc>
      </w:tr>
      <w:tr>
        <w:trPr>
          <w:trHeight w:val="170"/>
        </w:trPr>
        <w:tc>
          <w:tcPr>
            <w:tcW w:w="40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*1</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w w:val="99"/>
              </w:rPr>
              <w:t>Form of Underwriting Agreement for Debt Securities........................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Electronic</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Transmission</w:t>
            </w:r>
          </w:p>
        </w:tc>
      </w:tr>
    </w:tbl>
    <w:p>
      <w:pPr>
        <w:spacing w:after="0" w:line="175" w:lineRule="exact"/>
        <w:rPr>
          <w:sz w:val="20"/>
          <w:szCs w:val="20"/>
          <w:color w:val="auto"/>
        </w:rPr>
      </w:pPr>
    </w:p>
    <w:p>
      <w:pPr>
        <w:ind w:left="700" w:right="2819" w:hanging="704"/>
        <w:spacing w:after="0" w:line="237" w:lineRule="auto"/>
        <w:tabs>
          <w:tab w:leader="none" w:pos="680" w:val="left"/>
        </w:tabs>
        <w:rPr>
          <w:sz w:val="20"/>
          <w:szCs w:val="20"/>
          <w:color w:val="auto"/>
        </w:rPr>
      </w:pPr>
      <w:r>
        <w:rPr>
          <w:rFonts w:ascii="Courier New" w:cs="Courier New" w:eastAsia="Courier New" w:hAnsi="Courier New"/>
          <w:sz w:val="15"/>
          <w:szCs w:val="15"/>
          <w:color w:val="auto"/>
        </w:rPr>
        <w:t>4(a)</w:t>
        <w:tab/>
        <w:t>Certificate of Incorporation of the Registrant (incorporated by reference to Exhibit 4.2 to Registrant's Registration Statement on Form S-3, Registration No. 33-16125).</w:t>
      </w:r>
    </w:p>
    <w:p>
      <w:pPr>
        <w:spacing w:after="0" w:line="175" w:lineRule="exact"/>
        <w:rPr>
          <w:sz w:val="20"/>
          <w:szCs w:val="20"/>
          <w:color w:val="auto"/>
        </w:rPr>
      </w:pPr>
    </w:p>
    <w:p>
      <w:pPr>
        <w:ind w:left="700" w:right="2739" w:hanging="704"/>
        <w:spacing w:after="0" w:line="237" w:lineRule="auto"/>
        <w:tabs>
          <w:tab w:leader="none" w:pos="680" w:val="left"/>
        </w:tabs>
        <w:rPr>
          <w:sz w:val="20"/>
          <w:szCs w:val="20"/>
          <w:color w:val="auto"/>
        </w:rPr>
      </w:pPr>
      <w:r>
        <w:rPr>
          <w:rFonts w:ascii="Courier New" w:cs="Courier New" w:eastAsia="Courier New" w:hAnsi="Courier New"/>
          <w:sz w:val="15"/>
          <w:szCs w:val="15"/>
          <w:color w:val="auto"/>
        </w:rPr>
        <w:t>4(b)</w:t>
        <w:tab/>
        <w:t>Certificate of Amendment to Certificate of Incorporation dated December 8, 1987 (incorporated by reference to Exhibit 3 to Registrant's Quarterly Report on Form 10-Q for the quarter ended January 29, 1988, Commission File No. 1-8649).</w:t>
      </w:r>
    </w:p>
    <w:p>
      <w:pPr>
        <w:spacing w:after="0" w:line="176" w:lineRule="exact"/>
        <w:rPr>
          <w:sz w:val="20"/>
          <w:szCs w:val="20"/>
          <w:color w:val="auto"/>
        </w:rPr>
      </w:pPr>
    </w:p>
    <w:p>
      <w:pPr>
        <w:jc w:val="both"/>
        <w:ind w:left="700" w:right="3179" w:hanging="704"/>
        <w:spacing w:after="0" w:line="237" w:lineRule="auto"/>
        <w:tabs>
          <w:tab w:leader="none" w:pos="680" w:val="left"/>
        </w:tabs>
        <w:rPr>
          <w:sz w:val="20"/>
          <w:szCs w:val="20"/>
          <w:color w:val="auto"/>
        </w:rPr>
      </w:pPr>
      <w:r>
        <w:rPr>
          <w:rFonts w:ascii="Courier New" w:cs="Courier New" w:eastAsia="Courier New" w:hAnsi="Courier New"/>
          <w:sz w:val="15"/>
          <w:szCs w:val="15"/>
          <w:color w:val="auto"/>
        </w:rPr>
        <w:t>4(c)</w:t>
        <w:tab/>
        <w:t>Bylaws of the Registrant (incorporated by reference to Exhibit 3.3 to Registrant's Annual Report on Form 10-K for the year ended July 31, 1991, Commission File No. 1-8649).</w:t>
      </w:r>
    </w:p>
    <w:p>
      <w:pPr>
        <w:spacing w:after="0" w:line="175" w:lineRule="exact"/>
        <w:rPr>
          <w:sz w:val="20"/>
          <w:szCs w:val="20"/>
          <w:color w:val="auto"/>
        </w:rPr>
      </w:pPr>
    </w:p>
    <w:p>
      <w:pPr>
        <w:ind w:left="700" w:right="2819" w:hanging="704"/>
        <w:spacing w:after="0" w:line="237" w:lineRule="auto"/>
        <w:tabs>
          <w:tab w:leader="none" w:pos="680" w:val="left"/>
        </w:tabs>
        <w:rPr>
          <w:sz w:val="20"/>
          <w:szCs w:val="20"/>
          <w:color w:val="auto"/>
        </w:rPr>
      </w:pPr>
      <w:r>
        <w:rPr>
          <w:rFonts w:ascii="Courier New" w:cs="Courier New" w:eastAsia="Courier New" w:hAnsi="Courier New"/>
          <w:sz w:val="15"/>
          <w:szCs w:val="15"/>
          <w:color w:val="auto"/>
        </w:rPr>
        <w:t>4(d)</w:t>
        <w:tab/>
        <w:t>Rights Agreement dated as of June 14, 1988, between the Registrant and Norwest Bank Minnesota National Association, relating to rights to purchase Series B Junior Participating Voting Preferred Stock (incorporated by reference to Exhibit 1 to Registrant's Registration Statement on Form 8-A dated June 17, 1988, Commission File No. 1-8649).</w:t>
      </w:r>
    </w:p>
    <w:p>
      <w:pPr>
        <w:spacing w:after="0" w:line="178" w:lineRule="exact"/>
        <w:rPr>
          <w:sz w:val="20"/>
          <w:szCs w:val="20"/>
          <w:color w:val="auto"/>
        </w:rPr>
      </w:pPr>
    </w:p>
    <w:p>
      <w:pPr>
        <w:ind w:left="700" w:right="2739" w:hanging="704"/>
        <w:spacing w:after="0" w:line="237" w:lineRule="auto"/>
        <w:tabs>
          <w:tab w:leader="none" w:pos="680" w:val="left"/>
        </w:tabs>
        <w:rPr>
          <w:sz w:val="20"/>
          <w:szCs w:val="20"/>
          <w:color w:val="auto"/>
        </w:rPr>
      </w:pPr>
      <w:r>
        <w:rPr>
          <w:rFonts w:ascii="Courier New" w:cs="Courier New" w:eastAsia="Courier New" w:hAnsi="Courier New"/>
          <w:sz w:val="15"/>
          <w:szCs w:val="15"/>
          <w:color w:val="auto"/>
        </w:rPr>
        <w:t>4(e)</w:t>
        <w:tab/>
        <w:t>Amendment to Rights Agreement dated as of August 14, 1990, between the Registrant and Norwest Bank Minnesota National Association (incorporated by reference to Exhibit 1 to Registrant's Report on Form 8-K dated August 14, 1990, Commission File No. 1-8649).</w:t>
      </w:r>
    </w:p>
    <w:p>
      <w:pPr>
        <w:spacing w:after="0" w:line="176" w:lineRule="exact"/>
        <w:rPr>
          <w:sz w:val="20"/>
          <w:szCs w:val="20"/>
          <w:color w:val="auto"/>
        </w:rPr>
      </w:pPr>
    </w:p>
    <w:p>
      <w:pPr>
        <w:ind w:left="700" w:right="2999" w:hanging="704"/>
        <w:spacing w:after="0" w:line="237" w:lineRule="auto"/>
        <w:tabs>
          <w:tab w:leader="none" w:pos="680" w:val="left"/>
        </w:tabs>
        <w:rPr>
          <w:sz w:val="20"/>
          <w:szCs w:val="20"/>
          <w:color w:val="auto"/>
        </w:rPr>
      </w:pPr>
      <w:r>
        <w:rPr>
          <w:rFonts w:ascii="Courier New" w:cs="Courier New" w:eastAsia="Courier New" w:hAnsi="Courier New"/>
          <w:sz w:val="15"/>
          <w:szCs w:val="15"/>
          <w:color w:val="auto"/>
        </w:rPr>
        <w:t>4(f)</w:t>
        <w:tab/>
        <w:t>Specimen form of Common Stock certificate (incorporated by reference to Exhibit 4(c) to Registrant's Registration Statement on Form S-8, Registration No. 2-94417).</w:t>
      </w:r>
    </w:p>
    <w:p>
      <w:pPr>
        <w:spacing w:after="0" w:line="169" w:lineRule="exact"/>
        <w:rPr>
          <w:sz w:val="20"/>
          <w:szCs w:val="20"/>
          <w:color w:val="auto"/>
        </w:rPr>
      </w:pPr>
    </w:p>
    <w:p>
      <w:pPr>
        <w:ind w:left="180"/>
        <w:spacing w:after="0"/>
        <w:tabs>
          <w:tab w:leader="none" w:pos="680" w:val="left"/>
        </w:tabs>
        <w:rPr>
          <w:sz w:val="20"/>
          <w:szCs w:val="20"/>
          <w:color w:val="auto"/>
        </w:rPr>
      </w:pPr>
      <w:r>
        <w:rPr>
          <w:rFonts w:ascii="Courier New" w:cs="Courier New" w:eastAsia="Courier New" w:hAnsi="Courier New"/>
          <w:sz w:val="15"/>
          <w:szCs w:val="15"/>
          <w:color w:val="auto"/>
        </w:rPr>
        <w:t>4(g)</w:t>
        <w:tab/>
        <w:t>Form of Indenture (filed with the Registration Statement).</w:t>
      </w:r>
    </w:p>
    <w:p>
      <w:pPr>
        <w:spacing w:after="0" w:line="169" w:lineRule="exact"/>
        <w:rPr>
          <w:sz w:val="20"/>
          <w:szCs w:val="20"/>
          <w:color w:val="auto"/>
        </w:rPr>
      </w:pPr>
    </w:p>
    <w:p>
      <w:pPr>
        <w:ind w:left="180"/>
        <w:spacing w:after="0"/>
        <w:tabs>
          <w:tab w:leader="none" w:pos="680" w:val="left"/>
        </w:tabs>
        <w:rPr>
          <w:sz w:val="20"/>
          <w:szCs w:val="20"/>
          <w:color w:val="auto"/>
        </w:rPr>
      </w:pPr>
      <w:r>
        <w:rPr>
          <w:rFonts w:ascii="Courier New" w:cs="Courier New" w:eastAsia="Courier New" w:hAnsi="Courier New"/>
          <w:sz w:val="15"/>
          <w:szCs w:val="15"/>
          <w:color w:val="auto"/>
        </w:rPr>
        <w:t>4(h)</w:t>
        <w:tab/>
        <w:t>Debt Securities (filed as part of Exhibit 4(g)).</w:t>
      </w:r>
    </w:p>
    <w:p>
      <w:pPr>
        <w:spacing w:after="0" w:line="175" w:lineRule="exact"/>
        <w:rPr>
          <w:sz w:val="20"/>
          <w:szCs w:val="20"/>
          <w:color w:val="auto"/>
        </w:rPr>
      </w:pPr>
    </w:p>
    <w:p>
      <w:pPr>
        <w:ind w:left="880" w:right="2919" w:hanging="709"/>
        <w:spacing w:after="0" w:line="235" w:lineRule="auto"/>
        <w:tabs>
          <w:tab w:leader="none" w:pos="70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Doherty, Rumble &amp; Butler Professional Association (filed with the Registration Statement).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*12</w:t>
            </w:r>
          </w:p>
        </w:tc>
        <w:tc>
          <w:tcPr>
            <w:tcW w:w="6700" w:type="dxa"/>
            <w:vAlign w:val="bottom"/>
          </w:tcPr>
          <w:p>
            <w:pPr>
              <w:ind w:left="80"/>
              <w:spacing w:after="0"/>
              <w:rPr>
                <w:sz w:val="20"/>
                <w:szCs w:val="20"/>
                <w:color w:val="auto"/>
              </w:rPr>
            </w:pPr>
            <w:r>
              <w:rPr>
                <w:rFonts w:ascii="Courier New" w:cs="Courier New" w:eastAsia="Courier New" w:hAnsi="Courier New"/>
                <w:sz w:val="15"/>
                <w:szCs w:val="15"/>
                <w:color w:val="auto"/>
              </w:rPr>
              <w:t>Computations of ratio of earnings to fixed charges (filed with the</w:t>
            </w:r>
          </w:p>
        </w:tc>
        <w:tc>
          <w:tcPr>
            <w:tcW w:w="2100" w:type="dxa"/>
            <w:vAlign w:val="bottom"/>
          </w:tcPr>
          <w:p>
            <w:pPr>
              <w:spacing w:after="0"/>
              <w:rPr>
                <w:sz w:val="14"/>
                <w:szCs w:val="14"/>
                <w:color w:val="auto"/>
              </w:rPr>
            </w:pPr>
          </w:p>
        </w:tc>
      </w:tr>
      <w:tr>
        <w:trPr>
          <w:trHeight w:val="170"/>
        </w:trPr>
        <w:tc>
          <w:tcPr>
            <w:tcW w:w="620" w:type="dxa"/>
            <w:vAlign w:val="bottom"/>
          </w:tcPr>
          <w:p>
            <w:pPr>
              <w:spacing w:after="0"/>
              <w:rPr>
                <w:sz w:val="14"/>
                <w:szCs w:val="14"/>
                <w:color w:val="auto"/>
              </w:rPr>
            </w:pP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w w:val="99"/>
              </w:rPr>
              <w:t>Registration Statement).................................................</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w w:val="96"/>
              </w:rPr>
              <w:t>Electronic Transmission</w:t>
            </w:r>
          </w:p>
        </w:tc>
      </w:tr>
      <w:tr>
        <w:trPr>
          <w:trHeight w:val="339"/>
        </w:trPr>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23(a)</w:t>
            </w:r>
          </w:p>
        </w:tc>
        <w:tc>
          <w:tcPr>
            <w:tcW w:w="6700" w:type="dxa"/>
            <w:vAlign w:val="bottom"/>
          </w:tcPr>
          <w:p>
            <w:pPr>
              <w:ind w:left="80"/>
              <w:spacing w:after="0"/>
              <w:rPr>
                <w:sz w:val="20"/>
                <w:szCs w:val="20"/>
                <w:color w:val="auto"/>
              </w:rPr>
            </w:pPr>
            <w:r>
              <w:rPr>
                <w:rFonts w:ascii="Courier New" w:cs="Courier New" w:eastAsia="Courier New" w:hAnsi="Courier New"/>
                <w:sz w:val="15"/>
                <w:szCs w:val="15"/>
                <w:color w:val="auto"/>
              </w:rPr>
              <w:t>Consent of Doherty, Rumble &amp; Butler Professional Association (included as</w:t>
            </w:r>
          </w:p>
        </w:tc>
        <w:tc>
          <w:tcPr>
            <w:tcW w:w="2100" w:type="dxa"/>
            <w:vAlign w:val="bottom"/>
          </w:tcPr>
          <w:p>
            <w:pPr>
              <w:spacing w:after="0"/>
              <w:rPr>
                <w:sz w:val="24"/>
                <w:szCs w:val="24"/>
                <w:color w:val="auto"/>
              </w:rPr>
            </w:pPr>
          </w:p>
        </w:tc>
      </w:tr>
      <w:tr>
        <w:trPr>
          <w:trHeight w:val="170"/>
        </w:trPr>
        <w:tc>
          <w:tcPr>
            <w:tcW w:w="620" w:type="dxa"/>
            <w:vAlign w:val="bottom"/>
          </w:tcPr>
          <w:p>
            <w:pPr>
              <w:spacing w:after="0"/>
              <w:rPr>
                <w:sz w:val="14"/>
                <w:szCs w:val="14"/>
                <w:color w:val="auto"/>
              </w:rPr>
            </w:pP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part of Exhibit 5).</w:t>
            </w:r>
          </w:p>
        </w:tc>
        <w:tc>
          <w:tcPr>
            <w:tcW w:w="2100" w:type="dxa"/>
            <w:vAlign w:val="bottom"/>
          </w:tcPr>
          <w:p>
            <w:pPr>
              <w:spacing w:after="0"/>
              <w:rPr>
                <w:sz w:val="14"/>
                <w:szCs w:val="14"/>
                <w:color w:val="auto"/>
              </w:rPr>
            </w:pPr>
          </w:p>
        </w:tc>
      </w:tr>
      <w:tr>
        <w:trPr>
          <w:trHeight w:val="339"/>
        </w:trPr>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*23(b)</w:t>
            </w:r>
          </w:p>
        </w:tc>
        <w:tc>
          <w:tcPr>
            <w:tcW w:w="6700" w:type="dxa"/>
            <w:vAlign w:val="bottom"/>
          </w:tcPr>
          <w:p>
            <w:pPr>
              <w:ind w:left="80"/>
              <w:spacing w:after="0"/>
              <w:rPr>
                <w:sz w:val="20"/>
                <w:szCs w:val="20"/>
                <w:color w:val="auto"/>
              </w:rPr>
            </w:pPr>
            <w:r>
              <w:rPr>
                <w:rFonts w:ascii="Courier New" w:cs="Courier New" w:eastAsia="Courier New" w:hAnsi="Courier New"/>
                <w:sz w:val="15"/>
                <w:szCs w:val="15"/>
                <w:color w:val="auto"/>
              </w:rPr>
              <w:t>Consent of KPMG Peat Marwick LLP (filed with the Registration</w:t>
            </w:r>
          </w:p>
        </w:tc>
        <w:tc>
          <w:tcPr>
            <w:tcW w:w="2100" w:type="dxa"/>
            <w:vAlign w:val="bottom"/>
          </w:tcPr>
          <w:p>
            <w:pPr>
              <w:spacing w:after="0"/>
              <w:rPr>
                <w:sz w:val="24"/>
                <w:szCs w:val="24"/>
                <w:color w:val="auto"/>
              </w:rPr>
            </w:pPr>
          </w:p>
        </w:tc>
      </w:tr>
      <w:tr>
        <w:trPr>
          <w:trHeight w:val="170"/>
        </w:trPr>
        <w:tc>
          <w:tcPr>
            <w:tcW w:w="620" w:type="dxa"/>
            <w:vAlign w:val="bottom"/>
          </w:tcPr>
          <w:p>
            <w:pPr>
              <w:spacing w:after="0"/>
              <w:rPr>
                <w:sz w:val="14"/>
                <w:szCs w:val="14"/>
                <w:color w:val="auto"/>
              </w:rPr>
            </w:pPr>
          </w:p>
        </w:tc>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w w:val="99"/>
              </w:rPr>
              <w:t>Statement)..............................................................</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w w:val="96"/>
              </w:rPr>
              <w:t>Electronic Transmission</w:t>
            </w:r>
          </w:p>
        </w:tc>
      </w:tr>
    </w:tbl>
    <w:p>
      <w:pPr>
        <w:spacing w:after="0" w:line="200" w:lineRule="exact"/>
        <w:rPr>
          <w:sz w:val="20"/>
          <w:szCs w:val="20"/>
          <w:color w:val="auto"/>
        </w:rPr>
      </w:pPr>
    </w:p>
    <w:p>
      <w:pPr>
        <w:spacing w:after="0" w:line="30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9959"/>
          </w:cols>
          <w:pgMar w:left="500" w:top="452" w:right="1440" w:bottom="1440" w:gutter="0" w:footer="0" w:header="0"/>
        </w:sectPr>
      </w:pPr>
    </w:p>
    <w:bookmarkStart w:id="31" w:name="page32"/>
    <w:bookmarkEnd w:id="31"/>
    <w:p>
      <w:pPr>
        <w:ind w:left="8180"/>
        <w:spacing w:after="0"/>
        <w:rPr>
          <w:sz w:val="20"/>
          <w:szCs w:val="20"/>
          <w:color w:val="auto"/>
        </w:rPr>
      </w:pPr>
      <w:r>
        <w:rPr>
          <w:rFonts w:ascii="Courier New" w:cs="Courier New" w:eastAsia="Courier New" w:hAnsi="Courier New"/>
          <w:sz w:val="15"/>
          <w:szCs w:val="15"/>
          <w:color w:val="auto"/>
        </w:rPr>
        <w:t>FORM OF FILING</w:t>
      </w:r>
    </w:p>
    <w:p>
      <w:pPr>
        <w:spacing w:after="0" w:line="5" w:lineRule="exact"/>
        <w:rPr>
          <w:sz w:val="20"/>
          <w:szCs w:val="20"/>
          <w:color w:val="auto"/>
        </w:rPr>
      </w:pPr>
    </w:p>
    <w:p>
      <w:pPr>
        <w:ind w:left="76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140" w:right="2919" w:hanging="797"/>
        <w:spacing w:after="0" w:line="235" w:lineRule="auto"/>
        <w:tabs>
          <w:tab w:leader="none" w:pos="96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 (included on the signature pages of this Registration Statement).</w:t>
      </w:r>
    </w:p>
    <w:p>
      <w:pPr>
        <w:spacing w:after="0" w:line="17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*25</w:t>
            </w:r>
          </w:p>
        </w:tc>
        <w:tc>
          <w:tcPr>
            <w:tcW w:w="6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Form T-1 Statement of Eligibility under the Trust Indenture Act of 1939 of</w:t>
            </w:r>
          </w:p>
        </w:tc>
        <w:tc>
          <w:tcPr>
            <w:tcW w:w="210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6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First Trust National Association as Trustee.............................</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w w:val="96"/>
              </w:rPr>
              <w:t>Electronic Transmission</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39"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w:t>
        <w:tab/>
        <w:t>Filed or amended herewith.</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961" w:right="1440" w:bottom="1440" w:gutter="0" w:footer="0" w:header="0"/>
        </w:sectPr>
      </w:pPr>
    </w:p>
    <w:bookmarkStart w:id="32" w:name="page33"/>
    <w:bookmarkEnd w:id="32"/>
    <w:p>
      <w:pPr>
        <w:ind w:left="2720"/>
        <w:spacing w:after="0"/>
        <w:rPr>
          <w:sz w:val="20"/>
          <w:szCs w:val="20"/>
          <w:color w:val="auto"/>
        </w:rPr>
      </w:pPr>
      <w:r>
        <w:rPr>
          <w:rFonts w:ascii="Courier New" w:cs="Courier New" w:eastAsia="Courier New" w:hAnsi="Courier New"/>
          <w:sz w:val="15"/>
          <w:szCs w:val="15"/>
          <w:color w:val="auto"/>
        </w:rPr>
        <w:t>THE TORO COMPANY</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DEBT SECURITIES</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UNDERWRITING AGREEMENT</w:t>
      </w:r>
    </w:p>
    <w:p>
      <w:pPr>
        <w:ind w:left="25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5460"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June ....</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 1997</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Representatives of the</w:t>
      </w:r>
    </w:p>
    <w:p>
      <w:pPr>
        <w:ind w:left="260"/>
        <w:spacing w:after="0"/>
        <w:rPr>
          <w:sz w:val="20"/>
          <w:szCs w:val="20"/>
          <w:color w:val="auto"/>
        </w:rPr>
      </w:pPr>
      <w:r>
        <w:rPr>
          <w:rFonts w:ascii="Courier New" w:cs="Courier New" w:eastAsia="Courier New" w:hAnsi="Courier New"/>
          <w:sz w:val="15"/>
          <w:szCs w:val="15"/>
          <w:color w:val="auto"/>
        </w:rPr>
        <w:t>several Underwriters named in the</w:t>
      </w:r>
    </w:p>
    <w:p>
      <w:pPr>
        <w:ind w:left="260"/>
        <w:spacing w:after="0"/>
        <w:rPr>
          <w:sz w:val="20"/>
          <w:szCs w:val="20"/>
          <w:color w:val="auto"/>
        </w:rPr>
      </w:pPr>
      <w:r>
        <w:rPr>
          <w:rFonts w:ascii="Courier New" w:cs="Courier New" w:eastAsia="Courier New" w:hAnsi="Courier New"/>
          <w:sz w:val="15"/>
          <w:szCs w:val="15"/>
          <w:color w:val="auto"/>
        </w:rPr>
        <w:t>respective Pricing Agreements</w:t>
      </w:r>
    </w:p>
    <w:p>
      <w:pPr>
        <w:ind w:left="260"/>
        <w:spacing w:after="0" w:line="238" w:lineRule="auto"/>
        <w:rPr>
          <w:sz w:val="20"/>
          <w:szCs w:val="20"/>
          <w:color w:val="auto"/>
        </w:rPr>
      </w:pPr>
      <w:r>
        <w:rPr>
          <w:rFonts w:ascii="Courier New" w:cs="Courier New" w:eastAsia="Courier New" w:hAnsi="Courier New"/>
          <w:sz w:val="15"/>
          <w:szCs w:val="15"/>
          <w:color w:val="auto"/>
        </w:rPr>
        <w:t>hereinafter described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439" w:firstLine="264"/>
        <w:spacing w:after="0" w:line="238" w:lineRule="auto"/>
        <w:rPr>
          <w:sz w:val="20"/>
          <w:szCs w:val="20"/>
          <w:color w:val="auto"/>
        </w:rPr>
      </w:pPr>
      <w:r>
        <w:rPr>
          <w:rFonts w:ascii="Courier New" w:cs="Courier New" w:eastAsia="Courier New" w:hAnsi="Courier New"/>
          <w:sz w:val="15"/>
          <w:szCs w:val="15"/>
          <w:color w:val="auto"/>
        </w:rPr>
        <w:t>From time to time The Toro Company, a Delaware corporation (the "Company"), proposes to enter into one or more Pricing Agreements (each a "Pricing Agreement") in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debt securities (the "Securities") specified in Schedule II to such Pricing Agreement (with respect to such Pricing Agreement, the "Designated Securities").</w:t>
      </w:r>
    </w:p>
    <w:p>
      <w:pPr>
        <w:spacing w:after="0" w:line="180" w:lineRule="exact"/>
        <w:rPr>
          <w:sz w:val="20"/>
          <w:szCs w:val="20"/>
          <w:color w:val="auto"/>
        </w:rPr>
      </w:pPr>
    </w:p>
    <w:p>
      <w:pPr>
        <w:ind w:right="3619" w:firstLine="264"/>
        <w:spacing w:after="0" w:line="237" w:lineRule="auto"/>
        <w:rPr>
          <w:sz w:val="20"/>
          <w:szCs w:val="20"/>
          <w:color w:val="auto"/>
        </w:rPr>
      </w:pPr>
      <w:r>
        <w:rPr>
          <w:rFonts w:ascii="Courier New" w:cs="Courier New" w:eastAsia="Courier New" w:hAnsi="Courier New"/>
          <w:sz w:val="15"/>
          <w:szCs w:val="15"/>
          <w:color w:val="auto"/>
        </w:rPr>
        <w:t>The terms and rights of any particular issuance of Designated Securities shall be as specified in the Pricing Agreement relating thereto and in or pursuant to the indenture (the "Indenture") identified in such Pricing Agreement.</w:t>
      </w:r>
    </w:p>
    <w:p>
      <w:pPr>
        <w:spacing w:after="0" w:line="176" w:lineRule="exact"/>
        <w:rPr>
          <w:sz w:val="20"/>
          <w:szCs w:val="20"/>
          <w:color w:val="auto"/>
        </w:rPr>
      </w:pPr>
    </w:p>
    <w:p>
      <w:pPr>
        <w:ind w:right="3439" w:firstLine="255"/>
        <w:spacing w:after="0" w:line="256" w:lineRule="auto"/>
        <w:tabs>
          <w:tab w:leader="none" w:pos="61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Particular sales of Designated Securities may be made from time to time to the Underwriters of such Securities, for whom the firms designated as representatives of the Underwriters of such Securities in the Pricing Agreement relating thereto will act as representatives (the "Representatives"). The term "Representatives" also refers to a single firm acting as sole representative of the Underwriters and to an Underwriter or Underwriters who act without any firm being designated as its or their representatives. This Underwriting Agreement shall not be construed as an obligation of the Company to sell any of the Securities or as an obligation of any of the Underwriters to purchase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telegraphic communications or any other rapid transmission device designed to produce a written record of communications transmitted. The obligations of the Underwriters under this Agreement and each Pricing Agreement shall be several and not joint.</w:t>
      </w:r>
    </w:p>
    <w:p>
      <w:pPr>
        <w:spacing w:after="0" w:line="348" w:lineRule="exact"/>
        <w:rPr>
          <w:rFonts w:ascii="Courier New" w:cs="Courier New" w:eastAsia="Courier New" w:hAnsi="Courier New"/>
          <w:sz w:val="14"/>
          <w:szCs w:val="14"/>
          <w:color w:val="auto"/>
        </w:rPr>
      </w:pPr>
    </w:p>
    <w:p>
      <w:pPr>
        <w:ind w:right="3619" w:firstLine="255"/>
        <w:spacing w:after="0" w:line="235" w:lineRule="auto"/>
        <w:tabs>
          <w:tab w:leader="none" w:pos="61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represents and warrants to, and agrees with, each of the Underwriters that:</w:t>
      </w:r>
    </w:p>
    <w:p>
      <w:pPr>
        <w:spacing w:after="0" w:line="345" w:lineRule="exact"/>
        <w:rPr>
          <w:rFonts w:ascii="Courier New" w:cs="Courier New" w:eastAsia="Courier New" w:hAnsi="Courier New"/>
          <w:sz w:val="15"/>
          <w:szCs w:val="15"/>
          <w:color w:val="auto"/>
        </w:rPr>
      </w:pPr>
    </w:p>
    <w:p>
      <w:pPr>
        <w:ind w:left="600" w:right="3539" w:firstLine="184"/>
        <w:spacing w:after="0" w:line="256" w:lineRule="auto"/>
        <w:tabs>
          <w:tab w:leader="none" w:pos="1217"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registration statement on Form S-3 (File No. 333-20901 in respect of the Securities has been filed with the Securities and Exchange Commission (the "Commission"); such registration statement, as amended by pre-effective amendment number 1 thereto (as amended, the "Initial Registration Statement"), and any post-effective amendment thereto, each in the form heretofore delivered or to be delivered to the Representatives and, excluding exhibits thereto, but including all documents incorporated by reference in the prospectus contained therein, to the Representatives for each of the other Underwriters, has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or document incorporated by reference therein has heretofore been filed or transmitted for filing with the Commission (other than prospectuses filed pursuant to Rule 424(b) of the rules and regulations of the Commission under the Act, each in the form heretofore delivered to the Representatives); and no stop order suspending the effectiveness of the Initial Registration Statement, any post-effective amendment thereto or the Rule 462(b) Registration Statement, if any, has been issued and no proceeding for that purpose has been initiated or threatened by the Commission (any preliminary prospectus included in</w:t>
      </w:r>
    </w:p>
    <w:p>
      <w:pPr>
        <w:sectPr>
          <w:pgSz w:w="11900" w:h="16838" w:orient="portrait"/>
          <w:cols w:equalWidth="0" w:num="1">
            <w:col w:w="10219"/>
          </w:cols>
          <w:pgMar w:left="240" w:top="791" w:right="1440" w:bottom="0" w:gutter="0" w:footer="0" w:header="0"/>
        </w:sectPr>
      </w:pPr>
    </w:p>
    <w:bookmarkStart w:id="33" w:name="page34"/>
    <w:bookmarkEnd w:id="33"/>
    <w:p>
      <w:pPr>
        <w:ind w:right="3539"/>
        <w:spacing w:after="0" w:line="256" w:lineRule="auto"/>
        <w:rPr>
          <w:sz w:val="20"/>
          <w:szCs w:val="20"/>
          <w:color w:val="auto"/>
        </w:rPr>
      </w:pPr>
      <w:r>
        <w:rPr>
          <w:rFonts w:ascii="Courier New" w:cs="Courier New" w:eastAsia="Courier New" w:hAnsi="Courier New"/>
          <w:sz w:val="14"/>
          <w:szCs w:val="14"/>
          <w:color w:val="auto"/>
        </w:rPr>
        <w:t>the Initial Registration Statement or filed with the Commission pursuant to Rule 424(a) under the Act, is hereinafter called a "Preliminary Prospectus"; the various parts of the Initial Registration Statement and the Rule 462(b) Registration Statement, if any, including all exhibits thereto and the documents incorporated by reference in the prospectus contained in the Initial Registration Statement at the time such part of the registration statement became effective but excluding Form T-1, each as amended at the time such part of the registration statement became effective or such part of the Rule 462(b) Registration Statement, if any, became or hereafter becomes effective, are hereinafter collectively called the "Registration Statement"; the prospectus relating to the Securities, in the form in which it has most recently been filed, or transmitted for filing, with the Commission on or prior to the date of this Agreement, being hereinafter called the "Prospectus"; any reference herein to any Preliminary Prospectus or the Prospectus shall be deemed to refer to and include the documents incorporated by reference therein pursuant to the applicable form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annual report of the Company filed pursuant to Sections 13(a) or 15(d) of the Exchange Act after the effective date of the Initial Registration Statement that is incorporated by reference in the Registration Statement; and any reference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619"/>
          </w:cols>
          <w:pgMar w:left="840" w:top="141" w:right="1440" w:bottom="1440" w:gutter="0" w:footer="0" w:header="0"/>
        </w:sectPr>
      </w:pPr>
    </w:p>
    <w:bookmarkStart w:id="34" w:name="page35"/>
    <w:bookmarkEnd w:id="34"/>
    <w:p>
      <w:pPr>
        <w:ind w:right="3439"/>
        <w:spacing w:after="0" w:line="238" w:lineRule="auto"/>
        <w:rPr>
          <w:sz w:val="20"/>
          <w:szCs w:val="20"/>
          <w:color w:val="auto"/>
        </w:rPr>
      </w:pPr>
      <w:r>
        <w:rPr>
          <w:rFonts w:ascii="Courier New" w:cs="Courier New" w:eastAsia="Courier New" w:hAnsi="Courier New"/>
          <w:sz w:val="15"/>
          <w:szCs w:val="15"/>
          <w:color w:val="auto"/>
        </w:rPr>
        <w:t>Prospectus as amended or supplemented shall be deemed to refer to the Prospectus as amended or supplemented in relation to the applicable Designated Securities in the form in which it is filed with the Commission pursuant to Rule 424(b) under the Act in accordance with Section 5(a) hereof, including any documents incorporated by reference therein as of the date of such filing);</w:t>
      </w:r>
    </w:p>
    <w:p>
      <w:pPr>
        <w:spacing w:after="0" w:line="176" w:lineRule="exact"/>
        <w:rPr>
          <w:sz w:val="20"/>
          <w:szCs w:val="20"/>
          <w:color w:val="auto"/>
        </w:rPr>
      </w:pPr>
    </w:p>
    <w:p>
      <w:pPr>
        <w:ind w:right="3439" w:firstLine="184"/>
        <w:spacing w:after="0" w:line="256" w:lineRule="auto"/>
        <w:tabs>
          <w:tab w:leader="none" w:pos="61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176" w:lineRule="exact"/>
        <w:rPr>
          <w:rFonts w:ascii="Courier New" w:cs="Courier New" w:eastAsia="Courier New" w:hAnsi="Courier New"/>
          <w:sz w:val="14"/>
          <w:szCs w:val="14"/>
          <w:color w:val="auto"/>
        </w:rPr>
      </w:pPr>
    </w:p>
    <w:p>
      <w:pPr>
        <w:ind w:right="3439" w:firstLine="184"/>
        <w:spacing w:after="0" w:line="257" w:lineRule="auto"/>
        <w:tabs>
          <w:tab w:leader="none" w:pos="61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and the Prospectus conform, and any further amendments or supplements to the Registration Statement or the Prospectus will conform, in all material respects to the requirements of the Act and the Trust Indenture Act of 1939, as amended (the "Trust Indenture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 there is no material document of a character required to be described in the Registration Statement or the Prospectus or to be filed as an exhibit to the Registration Statement which is not described or filed as required;</w:t>
      </w:r>
    </w:p>
    <w:p>
      <w:pPr>
        <w:spacing w:after="0" w:line="332" w:lineRule="exact"/>
        <w:rPr>
          <w:rFonts w:ascii="Courier New" w:cs="Courier New" w:eastAsia="Courier New" w:hAnsi="Courier New"/>
          <w:sz w:val="14"/>
          <w:szCs w:val="14"/>
          <w:color w:val="auto"/>
        </w:rPr>
      </w:pPr>
    </w:p>
    <w:p>
      <w:pPr>
        <w:ind w:right="3539" w:firstLine="184"/>
        <w:spacing w:after="0" w:line="257" w:lineRule="auto"/>
        <w:tabs>
          <w:tab w:leader="none" w:pos="61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change in the capital stock or long-term debt of the Company or any of its</w:t>
      </w:r>
    </w:p>
    <w:p>
      <w:pPr>
        <w:spacing w:after="0" w:line="330"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619"/>
          </w:cols>
          <w:pgMar w:left="840" w:top="627" w:right="1440" w:bottom="1440" w:gutter="0" w:footer="0" w:header="0"/>
        </w:sectPr>
      </w:pPr>
    </w:p>
    <w:bookmarkStart w:id="35" w:name="page36"/>
    <w:bookmarkEnd w:id="35"/>
    <w:p>
      <w:pPr>
        <w:ind w:right="3539"/>
        <w:spacing w:after="0" w:line="258" w:lineRule="auto"/>
        <w:rPr>
          <w:sz w:val="20"/>
          <w:szCs w:val="20"/>
          <w:color w:val="auto"/>
        </w:rPr>
      </w:pPr>
      <w:r>
        <w:rPr>
          <w:rFonts w:ascii="Courier New" w:cs="Courier New" w:eastAsia="Courier New" w:hAnsi="Courier New"/>
          <w:sz w:val="14"/>
          <w:szCs w:val="14"/>
          <w:color w:val="auto"/>
        </w:rPr>
        <w:t>subsidiaries, or any material adverse change, or any development involving a prospective material adverse change, in or affecting the general affairs, management, financial position, stockholders' equity or results of operations of the Company and its subsidiaries, otherwise than as set forth or contemplated in the Prospectus;</w:t>
      </w:r>
    </w:p>
    <w:p>
      <w:pPr>
        <w:spacing w:after="0" w:line="165" w:lineRule="exact"/>
        <w:rPr>
          <w:sz w:val="20"/>
          <w:szCs w:val="20"/>
          <w:color w:val="auto"/>
        </w:rPr>
      </w:pPr>
    </w:p>
    <w:p>
      <w:pPr>
        <w:ind w:right="3439" w:firstLine="184"/>
        <w:spacing w:after="0" w:line="256" w:lineRule="auto"/>
        <w:tabs>
          <w:tab w:leader="none" w:pos="61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incorporated and is validly existing as a corporation in good standing under the laws of the jurisdiction of its incorporation, with corporate power and authority to own its properties and conduct its business as described in the Prospectus, and has been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would not, individually or in the aggregate, have a material adverse effect on the current or future position (financial or otherwise), stockholders' equity or results of operations of the Company and its subsidiaries taken as a whole, upon the Company's ability to perform its obligations under this Agreement or upon the validity or consummation of the transactions contemplated by this Agreement (a "Material Adverse Effect"); and each subsidiary of the Company has been duly incorporated and is validly existing as a corporation in good standing under the laws of its jurisdiction of incorporation, with corporate power and authority to own its properties and conduct its business as described in the Prospectus, and has been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would not, individually or in the aggregate, have a Material Adverse Effect;</w:t>
      </w:r>
    </w:p>
    <w:p>
      <w:pPr>
        <w:spacing w:after="0" w:line="347" w:lineRule="exact"/>
        <w:rPr>
          <w:rFonts w:ascii="Courier New" w:cs="Courier New" w:eastAsia="Courier New" w:hAnsi="Courier New"/>
          <w:sz w:val="14"/>
          <w:szCs w:val="14"/>
          <w:color w:val="auto"/>
        </w:rPr>
      </w:pPr>
    </w:p>
    <w:p>
      <w:pPr>
        <w:ind w:right="3439" w:firstLine="184"/>
        <w:spacing w:after="0" w:line="238" w:lineRule="auto"/>
        <w:tabs>
          <w:tab w:leader="none" w:pos="61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 authorized and outstanding capitalization as set forth in the Prospectus, and all of the issued shares of capital stock of the Company have been duly and validly authorized and issued and are fully paid and non-assessable; and all of the issued shares of capital stock of each subsidiary of the Company have been duly and validly authorized and issued, are fully paid and non-assessable and (except for directors' qualifying shares and as set forth or incorporated by reference in the Registration Statement) are owned directly or indirectly by the Company, free and clear of all liens, encumbrances, equities or claims;</w:t>
      </w:r>
    </w:p>
    <w:p>
      <w:pPr>
        <w:spacing w:after="0" w:line="179" w:lineRule="exact"/>
        <w:rPr>
          <w:rFonts w:ascii="Courier New" w:cs="Courier New" w:eastAsia="Courier New" w:hAnsi="Courier New"/>
          <w:sz w:val="15"/>
          <w:szCs w:val="15"/>
          <w:color w:val="auto"/>
        </w:rPr>
      </w:pPr>
    </w:p>
    <w:p>
      <w:pPr>
        <w:ind w:right="3439" w:firstLine="184"/>
        <w:spacing w:after="0" w:line="239" w:lineRule="auto"/>
        <w:tabs>
          <w:tab w:leader="none" w:pos="61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have been duly authorized, and, when Designated Securities are issued and delivered pursuant to this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(as defined in Section 4 hereof),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Prospectus as amended or supplemented with respect to such Designated Securities;</w:t>
      </w:r>
    </w:p>
    <w:p>
      <w:pPr>
        <w:spacing w:after="0" w:line="339"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619"/>
          </w:cols>
          <w:pgMar w:left="840" w:top="627" w:right="1440" w:bottom="1440" w:gutter="0" w:footer="0" w:header="0"/>
        </w:sectPr>
      </w:pPr>
    </w:p>
    <w:bookmarkStart w:id="36" w:name="page37"/>
    <w:bookmarkEnd w:id="36"/>
    <w:p>
      <w:pPr>
        <w:ind w:left="-184" w:right="3439" w:firstLine="184"/>
        <w:spacing w:after="0" w:line="256" w:lineRule="auto"/>
        <w:tabs>
          <w:tab w:leader="none" w:pos="433"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 and sale of the Securities and the compliance by the Company with all of the provisions of the Securities, the Indenture, this Agreement and any Pricing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Certificate of Incorporation or By-laws of the Company or any of its subsidiaries or any statute or any order, rule or regulation of any court or governmental agency or body having jurisdiction over the Company or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or any Pricing Agreement or the Indenture, except such as have been, or will have been prior to the Time of Delivery, obtained under the Act and the Trust Indenture Act and such consents, approvals, authorizations, registrations or qualifications as may be required under state securities or Blue Sky laws in connection with the purchase and distribution of the Securities by the Underwriters;</w:t>
      </w:r>
    </w:p>
    <w:p>
      <w:pPr>
        <w:spacing w:after="0" w:line="347" w:lineRule="exact"/>
        <w:rPr>
          <w:rFonts w:ascii="Courier New" w:cs="Courier New" w:eastAsia="Courier New" w:hAnsi="Courier New"/>
          <w:sz w:val="14"/>
          <w:szCs w:val="14"/>
          <w:color w:val="auto"/>
        </w:rPr>
      </w:pPr>
    </w:p>
    <w:p>
      <w:pPr>
        <w:ind w:left="-184" w:right="3539" w:firstLine="184"/>
        <w:spacing w:after="0" w:line="238" w:lineRule="auto"/>
        <w:tabs>
          <w:tab w:leader="none" w:pos="43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set forth in the Prospectus as amended or supplemented under the captions "Description of Debt Securities," "Description of Securities," "Description of Capital Stock," "Description of Warrants" and "Description of Units of Securities," insofar as they purport to constitute a summary of the terms of such securities, and under the captions "Plan of Distribution" and "Underwriting", insofar as they purport to describe the provisions of the laws and documents referred to therein, are accurate and fairly and correctly present in all material respects the information required to be presented by the Act or the rules and regulations of the Commission thereunder;</w:t>
      </w:r>
    </w:p>
    <w:p>
      <w:pPr>
        <w:spacing w:after="0" w:line="180" w:lineRule="exact"/>
        <w:rPr>
          <w:rFonts w:ascii="Courier New" w:cs="Courier New" w:eastAsia="Courier New" w:hAnsi="Courier New"/>
          <w:sz w:val="15"/>
          <w:szCs w:val="15"/>
          <w:color w:val="auto"/>
        </w:rPr>
      </w:pPr>
    </w:p>
    <w:p>
      <w:pPr>
        <w:ind w:left="-184" w:right="3439" w:firstLine="184"/>
        <w:spacing w:after="0" w:line="258" w:lineRule="auto"/>
        <w:tabs>
          <w:tab w:leader="none" w:pos="433"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is in violation of its Certificate of Incorporation or By-laws or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w:t>
      </w:r>
    </w:p>
    <w:p>
      <w:pPr>
        <w:spacing w:after="0" w:line="163" w:lineRule="exact"/>
        <w:rPr>
          <w:rFonts w:ascii="Courier New" w:cs="Courier New" w:eastAsia="Courier New" w:hAnsi="Courier New"/>
          <w:sz w:val="14"/>
          <w:szCs w:val="14"/>
          <w:color w:val="auto"/>
        </w:rPr>
      </w:pPr>
    </w:p>
    <w:p>
      <w:pPr>
        <w:ind w:left="-184" w:right="3439" w:firstLine="184"/>
        <w:spacing w:after="0" w:line="257" w:lineRule="auto"/>
        <w:tabs>
          <w:tab w:leader="none" w:pos="433"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and, to the best of the Company's knowledge, no such proceedings are threatened or contemplated by governmental authorities or threatened by others;</w:t>
      </w:r>
    </w:p>
    <w:p>
      <w:pPr>
        <w:spacing w:after="0" w:line="166" w:lineRule="exact"/>
        <w:rPr>
          <w:rFonts w:ascii="Courier New" w:cs="Courier New" w:eastAsia="Courier New" w:hAnsi="Courier New"/>
          <w:sz w:val="14"/>
          <w:szCs w:val="14"/>
          <w:color w:val="auto"/>
        </w:rPr>
      </w:pPr>
    </w:p>
    <w:p>
      <w:pPr>
        <w:ind w:left="-184" w:right="3439" w:firstLine="184"/>
        <w:spacing w:after="0" w:line="237" w:lineRule="auto"/>
        <w:tabs>
          <w:tab w:leader="none" w:pos="43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and, after giving effect to the offering and sale of the Securities, will not be an "investment company" or an entity "controlled" by an "investment company", as such terms are defined in the Investment Company Act of 1940, as amended (the "Investment Company Act");</w:t>
      </w:r>
    </w:p>
    <w:p>
      <w:pPr>
        <w:spacing w:after="0" w:line="178" w:lineRule="exact"/>
        <w:rPr>
          <w:rFonts w:ascii="Courier New" w:cs="Courier New" w:eastAsia="Courier New" w:hAnsi="Courier New"/>
          <w:sz w:val="15"/>
          <w:szCs w:val="15"/>
          <w:color w:val="auto"/>
        </w:rPr>
      </w:pPr>
    </w:p>
    <w:p>
      <w:pPr>
        <w:ind w:left="-184" w:right="3439" w:firstLine="184"/>
        <w:spacing w:after="0" w:line="237" w:lineRule="auto"/>
        <w:tabs>
          <w:tab w:leader="none" w:pos="43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the Company's knowledge, neither the Company nor any of its affiliates does business with the government of Cuba or with any person or affiliate located in Cuba within the meaning of Section 517.075, Florida Statutes;</w:t>
      </w:r>
    </w:p>
    <w:p>
      <w:pPr>
        <w:spacing w:after="0" w:line="340" w:lineRule="exact"/>
        <w:rPr>
          <w:sz w:val="20"/>
          <w:szCs w:val="20"/>
          <w:color w:val="auto"/>
        </w:rPr>
      </w:pPr>
    </w:p>
    <w:p>
      <w:pPr>
        <w:ind w:left="255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36"/>
          </w:cols>
          <w:pgMar w:left="1024" w:top="627" w:right="1440" w:bottom="1440" w:gutter="0" w:footer="0" w:header="0"/>
        </w:sectPr>
      </w:pPr>
    </w:p>
    <w:bookmarkStart w:id="37" w:name="page38"/>
    <w:bookmarkEnd w:id="37"/>
    <w:p>
      <w:pPr>
        <w:ind w:left="-184" w:right="3539" w:firstLine="184"/>
        <w:spacing w:after="0" w:line="238" w:lineRule="auto"/>
        <w:tabs>
          <w:tab w:leader="none" w:pos="43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KPMG Peat Marwick LLP, who have audited certain financial statements of the Company and its subsidiaries, and who have audited certain combined financial statements of James Hardie Irrigation (a division of James Hardie Irrigation, Inc.), James Hardie Irrigation Pty. Limited and James Hardie Irrigation Europe S.p.A. (collectively, the "James Hardie Irrigation Group"), included or incorporated by reference in the Prospectus, are independent certified public accountants as required by the Act and the rules and regulations of the Commission thereunder;</w:t>
      </w:r>
    </w:p>
    <w:p>
      <w:pPr>
        <w:spacing w:after="0" w:line="348" w:lineRule="exact"/>
        <w:rPr>
          <w:rFonts w:ascii="Courier New" w:cs="Courier New" w:eastAsia="Courier New" w:hAnsi="Courier New"/>
          <w:sz w:val="15"/>
          <w:szCs w:val="15"/>
          <w:color w:val="auto"/>
        </w:rPr>
      </w:pPr>
    </w:p>
    <w:p>
      <w:pPr>
        <w:ind w:left="-184" w:right="3439" w:firstLine="184"/>
        <w:spacing w:after="0" w:line="256" w:lineRule="auto"/>
        <w:tabs>
          <w:tab w:leader="none" w:pos="433"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financial statements and schedules of the Company included or incorporated by reference in the Registration Statement present fairly the consolidated financial position of the Company as of the respective dates of such financial statements, and the consolidated results of operations and cash flows of the Company for the respective periods covered thereby, all in conformity with generally accepted accounting principles consistently applied throughout the periods involved, except as disclosed in the Prospectus. The combined financial statements and schedules of The James Hardie Irrigation Group included or incorporated by reference in the Registration Statement present fairly the consolidated financial position of the covered entities as of the date of such financial statements, and the results of operations and cash flows of the covered entities for the period covered thereby, all in conformity with generally accepted accounting principles consistently applied throughout the period involved, except as disclosed in the Prospectus. The supporting schedules included in the Registration Statement present fairly the information required to be stated therein. The financial information set forth in the Prospectus as amended or supplemented under the captions "Selected Historical and Pro Forma Financial and Other Data" and "Ratios of Earnings to Fixed Charges" presents fairly, on the basis stated therein, the information set forth therein. The pro forma information included or incorporated by reference in the Prospectus as amended or supplemented presents fairly the information shown therein, has been prepared in accordance with generally accepted accounting principles and the Commission's rules and guidelines with respect to pro forma information, has been properly compiled on the pro forma basis described therein, and, in the opinion of the Company, the assumptions used in the preparation thereof are reasonable and the adjustments used therein are appropriate under the circumstances;</w:t>
      </w:r>
    </w:p>
    <w:p>
      <w:pPr>
        <w:spacing w:after="0" w:line="200" w:lineRule="exact"/>
        <w:rPr>
          <w:rFonts w:ascii="Courier New" w:cs="Courier New" w:eastAsia="Courier New" w:hAnsi="Courier New"/>
          <w:sz w:val="14"/>
          <w:szCs w:val="14"/>
          <w:color w:val="auto"/>
        </w:rPr>
      </w:pPr>
    </w:p>
    <w:p>
      <w:pPr>
        <w:spacing w:after="0" w:line="318" w:lineRule="exact"/>
        <w:rPr>
          <w:rFonts w:ascii="Courier New" w:cs="Courier New" w:eastAsia="Courier New" w:hAnsi="Courier New"/>
          <w:sz w:val="14"/>
          <w:szCs w:val="14"/>
          <w:color w:val="auto"/>
        </w:rPr>
      </w:pPr>
    </w:p>
    <w:p>
      <w:pPr>
        <w:ind w:left="-184" w:right="3439" w:firstLine="184"/>
        <w:spacing w:after="0" w:line="239" w:lineRule="auto"/>
        <w:tabs>
          <w:tab w:leader="none" w:pos="43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together with its subsidiaries owns and possesses all right, title and interest in and to, or has duly licensed from third parties a valid, enforceable right to use, all patents, patent rights, licenses, inventions, copyrights, know-how (including trade secrets and other unpatented or unpatentable proprietary or confidential information, systems or procedures), trademarks, service marks and trade names (collectively, "Patent and Proprietary Rights") currently or proposed to be employed by it in connection with its business, except where the failure to own or license such Patent and Proprietary Rights would not, individually or in the aggregate, have a Material Adverse Effect. Neither the Company nor any of its subsidiaries has received any notice of infringement or misappropriation of or conflict with asserted rights of others with respect to any Patent or Proprietary Rights, or of any facts which would render any Patent or Proprietary Rights invalid or inadequate to protect the interest of the Company or its subsidiaries therein, and which asserted infringement, misappropriation or conflict or invalidity or inadequacy, individually or in the aggregate, would or could reasonably be expected to result in a Material Adverse Effect;</w:t>
      </w:r>
    </w:p>
    <w:p>
      <w:pPr>
        <w:spacing w:after="0" w:line="339" w:lineRule="exact"/>
        <w:rPr>
          <w:sz w:val="20"/>
          <w:szCs w:val="20"/>
          <w:color w:val="auto"/>
        </w:rPr>
      </w:pPr>
    </w:p>
    <w:p>
      <w:pPr>
        <w:ind w:left="255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436"/>
          </w:cols>
          <w:pgMar w:left="1024" w:top="797" w:right="1440" w:bottom="1440" w:gutter="0" w:footer="0" w:header="0"/>
        </w:sectPr>
      </w:pPr>
    </w:p>
    <w:bookmarkStart w:id="38" w:name="page39"/>
    <w:bookmarkEnd w:id="38"/>
    <w:p>
      <w:pPr>
        <w:ind w:left="345" w:right="3539" w:firstLine="184"/>
        <w:spacing w:after="0" w:line="238" w:lineRule="auto"/>
        <w:tabs>
          <w:tab w:leader="none" w:pos="962"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(A) are in compliance in all respects with applicable federal, state, local and foreign laws and regulations, except where the failure to be in compliance would not have a Material Adverse Effect; and (B) possess and are in compliance with the terms and conditions of such licenses, permits, consents, orders, certificates or authorizations issued by the appropriate federal, state, foreign or local regulatory agencies or bodies necessary to conduct the businesses now operated by each of them, except for licenses, permits, consents, orders, certificates or authorizations, the absence of which, individually or in the aggregate, would not have a Material Adverse Effect; neither the Company nor any of its subsidiaries has received any notice of proceedings relating to the revocation or modification of any such licenses, permits, consents, orders, certificates or authorizations other than revocations or modifications which, individually or in the aggregate, would not have a Material Adverse Effect;</w:t>
      </w:r>
    </w:p>
    <w:p>
      <w:pPr>
        <w:spacing w:after="0" w:line="180" w:lineRule="exact"/>
        <w:rPr>
          <w:rFonts w:ascii="Courier New" w:cs="Courier New" w:eastAsia="Courier New" w:hAnsi="Courier New"/>
          <w:sz w:val="15"/>
          <w:szCs w:val="15"/>
          <w:color w:val="auto"/>
        </w:rPr>
      </w:pPr>
    </w:p>
    <w:p>
      <w:pPr>
        <w:ind w:left="965" w:hanging="436"/>
        <w:spacing w:after="0"/>
        <w:tabs>
          <w:tab w:leader="none" w:pos="965"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has filed all</w:t>
      </w:r>
    </w:p>
    <w:p>
      <w:pPr>
        <w:spacing w:after="0" w:line="5" w:lineRule="exact"/>
        <w:rPr>
          <w:rFonts w:ascii="Courier New" w:cs="Courier New" w:eastAsia="Courier New" w:hAnsi="Courier New"/>
          <w:sz w:val="15"/>
          <w:szCs w:val="15"/>
          <w:color w:val="auto"/>
        </w:rPr>
      </w:pPr>
    </w:p>
    <w:p>
      <w:pPr>
        <w:ind w:left="345" w:right="343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necessary foreign, federal and state income, value-added, franchise, telecommunications excise, sales and use and similar tax returns and has paid all taxes shown as due thereon, and there is no tax deficiency that has been, or to the knowledge of the Company might be, asserted against the Company, any of its subsidiaries, or any of their respective properties or assets that would or could be expected to have a Material Adverse Effect; and</w:t>
      </w:r>
    </w:p>
    <w:p>
      <w:pPr>
        <w:spacing w:after="0" w:line="176" w:lineRule="exact"/>
        <w:rPr>
          <w:rFonts w:ascii="Courier New" w:cs="Courier New" w:eastAsia="Courier New" w:hAnsi="Courier New"/>
          <w:sz w:val="15"/>
          <w:szCs w:val="15"/>
          <w:color w:val="auto"/>
        </w:rPr>
      </w:pPr>
    </w:p>
    <w:p>
      <w:pPr>
        <w:ind w:left="345" w:right="3439" w:firstLine="184"/>
        <w:spacing w:after="0" w:line="237" w:lineRule="auto"/>
        <w:tabs>
          <w:tab w:leader="none" w:pos="962"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carry, or are covered by, insurance in such amounts and covering such risks as is reasonable for the conduct of their businesses and the value of their properties and as is customary for companies engaged in similar businesses in similar industries.</w:t>
      </w:r>
    </w:p>
    <w:p>
      <w:pPr>
        <w:spacing w:after="0" w:line="178" w:lineRule="exact"/>
        <w:rPr>
          <w:rFonts w:ascii="Courier New" w:cs="Courier New" w:eastAsia="Courier New" w:hAnsi="Courier New"/>
          <w:sz w:val="15"/>
          <w:szCs w:val="15"/>
          <w:color w:val="auto"/>
        </w:rPr>
      </w:pPr>
    </w:p>
    <w:p>
      <w:pPr>
        <w:ind w:left="-255" w:right="3439" w:firstLine="255"/>
        <w:spacing w:after="0" w:line="237" w:lineRule="auto"/>
        <w:tabs>
          <w:tab w:leader="none" w:pos="36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78" w:lineRule="exact"/>
        <w:rPr>
          <w:rFonts w:ascii="Courier New" w:cs="Courier New" w:eastAsia="Courier New" w:hAnsi="Courier New"/>
          <w:sz w:val="15"/>
          <w:szCs w:val="15"/>
          <w:color w:val="auto"/>
        </w:rPr>
      </w:pPr>
    </w:p>
    <w:p>
      <w:pPr>
        <w:ind w:left="-255" w:right="3439" w:firstLine="255"/>
        <w:spacing w:after="0" w:line="238" w:lineRule="auto"/>
        <w:tabs>
          <w:tab w:leader="none" w:pos="36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Designated Securities to be purchased by each Underwriter pursuant to the Pricing Agreement relating thereto, in the form specified in such Pricing Agreement, and in such authorized denominations and registered in such names as the Representatives may request upon at least forty-eight hours' prior notice to the Company, shall be delivered by or on behalf of the Company to the Representatives for the account of such Underwriter, against payment by such Underwriter or on its behalf of the purchase price therefor by certified or official bank check or checks, payable to the order of the Company in the funds specified in such Pricing Agreement,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82" w:lineRule="exact"/>
        <w:rPr>
          <w:rFonts w:ascii="Courier New" w:cs="Courier New" w:eastAsia="Courier New" w:hAnsi="Courier New"/>
          <w:sz w:val="15"/>
          <w:szCs w:val="15"/>
          <w:color w:val="auto"/>
        </w:rPr>
      </w:pPr>
    </w:p>
    <w:p>
      <w:pPr>
        <w:ind w:left="-255" w:right="3799" w:firstLine="255"/>
        <w:spacing w:after="0" w:line="235" w:lineRule="auto"/>
        <w:tabs>
          <w:tab w:leader="none" w:pos="36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with each of the Underwriters of any Designated Securities:</w:t>
      </w:r>
    </w:p>
    <w:p>
      <w:pPr>
        <w:spacing w:after="0" w:line="175" w:lineRule="exact"/>
        <w:rPr>
          <w:rFonts w:ascii="Courier New" w:cs="Courier New" w:eastAsia="Courier New" w:hAnsi="Courier New"/>
          <w:sz w:val="15"/>
          <w:szCs w:val="15"/>
          <w:color w:val="auto"/>
        </w:rPr>
      </w:pPr>
    </w:p>
    <w:p>
      <w:pPr>
        <w:ind w:left="345" w:right="3439" w:firstLine="184"/>
        <w:spacing w:after="0" w:line="238" w:lineRule="auto"/>
        <w:tabs>
          <w:tab w:leader="none" w:pos="962"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prepare the Prospectus as amended or supplemented in relation to the applicable Designated Securities in a form approved by the Representatives and to file such Prospectus pursuant to Rule 424(b) under the Act not later than the Commission's close of business on the second business day following the execution and delivery of the Pricing Agreement relating to the applicable Designated Securities or, if applicable, such earlier time as may be required by Rule 424(b); to make no further amendment or any supplement to the Registration Statement or Prospectus as</w:t>
      </w:r>
    </w:p>
    <w:p>
      <w:pPr>
        <w:spacing w:after="0" w:line="342" w:lineRule="exact"/>
        <w:rPr>
          <w:sz w:val="20"/>
          <w:szCs w:val="20"/>
          <w:color w:val="auto"/>
        </w:rPr>
      </w:pPr>
    </w:p>
    <w:p>
      <w:pPr>
        <w:ind w:left="3085"/>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64"/>
          </w:cols>
          <w:pgMar w:left="495" w:top="627" w:right="1440" w:bottom="1440" w:gutter="0" w:footer="0" w:header="0"/>
        </w:sectPr>
      </w:pPr>
    </w:p>
    <w:bookmarkStart w:id="39" w:name="page40"/>
    <w:bookmarkEnd w:id="39"/>
    <w:p>
      <w:pPr>
        <w:ind w:right="3179"/>
        <w:spacing w:after="0" w:line="239" w:lineRule="auto"/>
        <w:rPr>
          <w:sz w:val="20"/>
          <w:szCs w:val="20"/>
          <w:color w:val="auto"/>
        </w:rPr>
      </w:pPr>
      <w:r>
        <w:rPr>
          <w:rFonts w:ascii="Courier New" w:cs="Courier New" w:eastAsia="Courier New" w:hAnsi="Courier New"/>
          <w:sz w:val="15"/>
          <w:szCs w:val="15"/>
          <w:color w:val="auto"/>
        </w:rPr>
        <w:t>amended or supplemented after the date of the Pricing Agreement relating to such Securities and prior to the Time of Delivery for such Securities which shall be disapproved by the Representatives for such Securities promptly after reasonable notice thereof; to advise the Representatives promptly of any such amendment or supplement after such Time of Delivery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such Securities,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Securities, of the suspension of the qualification of such Securities for offering or</w:t>
      </w:r>
    </w:p>
    <w:p>
      <w:pPr>
        <w:spacing w:after="0" w:line="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Securities or suspending any such qualification, to promptly use its best efforts to obtain the withdrawal of such order;</w:t>
      </w:r>
    </w:p>
    <w:p>
      <w:pPr>
        <w:spacing w:after="0" w:line="178" w:lineRule="exact"/>
        <w:rPr>
          <w:sz w:val="20"/>
          <w:szCs w:val="20"/>
          <w:color w:val="auto"/>
        </w:rPr>
      </w:pPr>
    </w:p>
    <w:p>
      <w:pPr>
        <w:ind w:right="3359" w:firstLine="184"/>
        <w:spacing w:after="0" w:line="257" w:lineRule="auto"/>
        <w:tabs>
          <w:tab w:leader="none" w:pos="61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from time to time to take such action as the Representatives may reasonably request to qualify such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Securities, provided that in connection therewith the Company shall not be required to qualify as a foreign corporation or to file a general consent to service of process in any jurisdiction;</w:t>
      </w:r>
    </w:p>
    <w:p>
      <w:pPr>
        <w:spacing w:after="0" w:line="166" w:lineRule="exact"/>
        <w:rPr>
          <w:rFonts w:ascii="Courier New" w:cs="Courier New" w:eastAsia="Courier New" w:hAnsi="Courier New"/>
          <w:sz w:val="14"/>
          <w:szCs w:val="14"/>
          <w:color w:val="auto"/>
        </w:rPr>
      </w:pPr>
    </w:p>
    <w:p>
      <w:pPr>
        <w:ind w:right="3439" w:firstLine="184"/>
        <w:spacing w:after="0" w:line="239" w:lineRule="auto"/>
        <w:tabs>
          <w:tab w:leader="none" w:pos="61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10:00 a.m., New York City time, on the New York Business Day next succeeding the date of each Pricing Agreement and from time to time, to furnish the Underwriters with copies of the Prospectus as amended or supplemented in New York City in such quantities as the Representatives may from time to time reasonably request, and, if the delivery of a prospectus is required at any time in connection with the offering or sale of the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619"/>
          </w:cols>
          <w:pgMar w:left="840" w:top="627" w:right="1440" w:bottom="1440" w:gutter="0" w:footer="0" w:header="0"/>
        </w:sectPr>
      </w:pPr>
    </w:p>
    <w:bookmarkStart w:id="40" w:name="page41"/>
    <w:bookmarkEnd w:id="40"/>
    <w:p>
      <w:pPr>
        <w:ind w:left="169" w:right="3439" w:firstLine="184"/>
        <w:spacing w:after="0" w:line="238" w:lineRule="auto"/>
        <w:tabs>
          <w:tab w:leader="none" w:pos="786"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generally available to its securityholders as soon as practicable, but in any event not later than eighteen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76" w:lineRule="exact"/>
        <w:rPr>
          <w:rFonts w:ascii="Courier New" w:cs="Courier New" w:eastAsia="Courier New" w:hAnsi="Courier New"/>
          <w:sz w:val="15"/>
          <w:szCs w:val="15"/>
          <w:color w:val="auto"/>
        </w:rPr>
      </w:pPr>
    </w:p>
    <w:p>
      <w:pPr>
        <w:ind w:left="169" w:right="3439" w:firstLine="184"/>
        <w:spacing w:after="0" w:line="238" w:lineRule="auto"/>
        <w:tabs>
          <w:tab w:leader="none" w:pos="786"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beginning from the date of the Pricing Agreement for such Designated Securities and continuing to and including the later of (i) the termination of trading restrictions for such Designated Securities, as notified to the Company by the Representatives and (ii) the Time of Delivery for such Designated Securities, not to offer, sell, contract to sell or otherwise dispose of any debt securities of the Company which mature more than one year after such Time of Delivery and which are substantially similar to such Designated Securities, without the prior written consent of the Representatives;</w:t>
      </w:r>
    </w:p>
    <w:p>
      <w:pPr>
        <w:spacing w:after="0" w:line="179" w:lineRule="exact"/>
        <w:rPr>
          <w:rFonts w:ascii="Courier New" w:cs="Courier New" w:eastAsia="Courier New" w:hAnsi="Courier New"/>
          <w:sz w:val="15"/>
          <w:szCs w:val="15"/>
          <w:color w:val="auto"/>
        </w:rPr>
      </w:pPr>
    </w:p>
    <w:p>
      <w:pPr>
        <w:ind w:left="169" w:right="3439" w:firstLine="184"/>
        <w:spacing w:after="0" w:line="238" w:lineRule="auto"/>
        <w:tabs>
          <w:tab w:leader="none" w:pos="786"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 and</w:t>
      </w:r>
    </w:p>
    <w:p>
      <w:pPr>
        <w:spacing w:after="0" w:line="176" w:lineRule="exact"/>
        <w:rPr>
          <w:rFonts w:ascii="Courier New" w:cs="Courier New" w:eastAsia="Courier New" w:hAnsi="Courier New"/>
          <w:sz w:val="15"/>
          <w:szCs w:val="15"/>
          <w:color w:val="auto"/>
        </w:rPr>
      </w:pPr>
    </w:p>
    <w:p>
      <w:pPr>
        <w:jc w:val="both"/>
        <w:ind w:left="169" w:right="3619" w:firstLine="184"/>
        <w:spacing w:after="0" w:line="237" w:lineRule="auto"/>
        <w:tabs>
          <w:tab w:leader="none" w:pos="786"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the net proceeds received by it from the sale of Designated Securities pursuant to this Agreement in the manner specified in the Prospectus, as amended or supplemented prior to the Time of Delivery, under the caption "Use of Proceeds."</w:t>
      </w:r>
    </w:p>
    <w:p>
      <w:pPr>
        <w:spacing w:after="0" w:line="176" w:lineRule="exact"/>
        <w:rPr>
          <w:rFonts w:ascii="Courier New" w:cs="Courier New" w:eastAsia="Courier New" w:hAnsi="Courier New"/>
          <w:sz w:val="15"/>
          <w:szCs w:val="15"/>
          <w:color w:val="auto"/>
        </w:rPr>
      </w:pPr>
    </w:p>
    <w:p>
      <w:pPr>
        <w:ind w:left="-431" w:right="3439" w:firstLine="431"/>
        <w:spacing w:after="0" w:line="239" w:lineRule="auto"/>
        <w:tabs>
          <w:tab w:leader="none" w:pos="362"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and the Prospectus and amendments and supplements thereto and the mailing and delivering of copies thereof to the Underwriters and dealers; (ii) the cost of printing or producing any Agreement among Underwriters, this Agreement, any Pricing Agreement, any Indenture, any Blue Sky and Legal Investment Memoranda,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Section 5(b) hereof, including the reasonable fees and disbursements of counsel for the Underwriters in connection with such qualification and in connection with the Blue Sky and Legal Investment Surveys; (iv) any fees charged by securities rating services for rating the Securities; (v) any filing fees incident to, and the reasonable fees and disbursements of counsel for the Underwriters in connection with, any required review by the National Association of Securities Dealers, Inc. of the terms of the sale of the Securities; (vi) the cost of preparing the Securities; (vii) the fees and expenses of any Trustee and any agent of any Trustee and the fees and disbursements of counsel for any Trustee in connection with any Indenture and the Securities; and (viii) all other costs and expenses incident to the performance of its obligations hereunder which are not otherwise specifically provided for in this Section. It is understood, however, that, except as provided in this Section, and Sections 8 and 11 hereof, the Underwriters will pay all of their own costs</w:t>
      </w:r>
    </w:p>
    <w:p>
      <w:pPr>
        <w:spacing w:after="0" w:line="342"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88"/>
          </w:cols>
          <w:pgMar w:left="671" w:top="627" w:right="1440" w:bottom="1440" w:gutter="0" w:footer="0" w:header="0"/>
        </w:sectPr>
      </w:pPr>
    </w:p>
    <w:bookmarkStart w:id="41" w:name="page42"/>
    <w:bookmarkEnd w:id="41"/>
    <w:p>
      <w:pPr>
        <w:ind w:right="3439"/>
        <w:spacing w:after="0" w:line="237" w:lineRule="auto"/>
        <w:rPr>
          <w:sz w:val="20"/>
          <w:szCs w:val="20"/>
          <w:color w:val="auto"/>
        </w:rPr>
      </w:pPr>
      <w:r>
        <w:rPr>
          <w:rFonts w:ascii="Courier New" w:cs="Courier New" w:eastAsia="Courier New" w:hAnsi="Courier New"/>
          <w:sz w:val="15"/>
          <w:szCs w:val="15"/>
          <w:color w:val="auto"/>
        </w:rPr>
        <w:t>and expenses, including the fees of their counsel, transfer taxes on resale of any of the Securities by them, and any advertising expenses connected with any offers they may make.</w:t>
      </w:r>
    </w:p>
    <w:p>
      <w:pPr>
        <w:spacing w:after="0" w:line="175" w:lineRule="exact"/>
        <w:rPr>
          <w:sz w:val="20"/>
          <w:szCs w:val="20"/>
          <w:color w:val="auto"/>
        </w:rPr>
      </w:pPr>
    </w:p>
    <w:p>
      <w:pPr>
        <w:ind w:right="3439" w:firstLine="431"/>
        <w:spacing w:after="0" w:line="238" w:lineRule="auto"/>
        <w:tabs>
          <w:tab w:leader="none" w:pos="79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in the Pricing Agreement relating to such Designated Securities are, at and as of the Time of Delivery for such Designated Securities, true and correct, the condition that the Company shall have performed all of its obligations hereunder theretofore to be performed, and the following additional conditions:</w:t>
      </w:r>
    </w:p>
    <w:p>
      <w:pPr>
        <w:spacing w:after="0" w:line="178" w:lineRule="exact"/>
        <w:rPr>
          <w:rFonts w:ascii="Courier New" w:cs="Courier New" w:eastAsia="Courier New" w:hAnsi="Courier New"/>
          <w:sz w:val="15"/>
          <w:szCs w:val="15"/>
          <w:color w:val="auto"/>
        </w:rPr>
      </w:pPr>
    </w:p>
    <w:p>
      <w:pPr>
        <w:ind w:left="600" w:right="3439" w:firstLine="184"/>
        <w:spacing w:after="0" w:line="238" w:lineRule="auto"/>
        <w:tabs>
          <w:tab w:leader="none" w:pos="1217"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Prospectus as amended or supplemented in relation to the applicable Designated Securities shall have been filed with the Commission pursuant to Rule 424(b) within the applicable time period prescribed for such filing by the rules and regulations under the Act and in accordance with Section 5(a) hereof; if the Company has elected to rely upon Rule 462(b),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182" w:lineRule="exact"/>
        <w:rPr>
          <w:rFonts w:ascii="Courier New" w:cs="Courier New" w:eastAsia="Courier New" w:hAnsi="Courier New"/>
          <w:sz w:val="15"/>
          <w:szCs w:val="15"/>
          <w:color w:val="auto"/>
        </w:rPr>
      </w:pPr>
    </w:p>
    <w:p>
      <w:pPr>
        <w:ind w:left="600" w:right="3439" w:firstLine="184"/>
        <w:spacing w:after="0" w:line="238" w:lineRule="auto"/>
        <w:tabs>
          <w:tab w:leader="none" w:pos="1217"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Counsel for the Underwriters shall have furnished to the Representatives such opinion or opinions dated the Time of Delivery for such Designated Securities, with respect to the incorporation of the Company, the validity of the Indenture, the validity of the Designated Securities being delivered at such Time of Delivery, the Registration Statement, the Prospectus, and such other related matters as the Representatives may reasonably request, and such counsel shall have received such papers and information as they may reasonably request to enable them to pass upon such matters;</w:t>
      </w:r>
    </w:p>
    <w:p>
      <w:pPr>
        <w:spacing w:after="0" w:line="178" w:lineRule="exact"/>
        <w:rPr>
          <w:rFonts w:ascii="Courier New" w:cs="Courier New" w:eastAsia="Courier New" w:hAnsi="Courier New"/>
          <w:sz w:val="15"/>
          <w:szCs w:val="15"/>
          <w:color w:val="auto"/>
        </w:rPr>
      </w:pPr>
    </w:p>
    <w:p>
      <w:pPr>
        <w:ind w:left="600" w:right="3439" w:firstLine="184"/>
        <w:spacing w:after="0" w:line="238" w:lineRule="auto"/>
        <w:tabs>
          <w:tab w:leader="none" w:pos="1217"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Counsel for the Company satisfactory to the Representatives shall have furnished to the Representatives their written opinion, dated the Time of Delivery for such Designated Securities, in the form presented to the Representatives prior to the execution of this Agreement and in form and substance satisfactory to the Representatives, to the effect that:</w:t>
      </w:r>
    </w:p>
    <w:p>
      <w:pPr>
        <w:spacing w:after="0" w:line="175" w:lineRule="exact"/>
        <w:rPr>
          <w:rFonts w:ascii="Courier New" w:cs="Courier New" w:eastAsia="Courier New" w:hAnsi="Courier New"/>
          <w:sz w:val="15"/>
          <w:szCs w:val="15"/>
          <w:color w:val="auto"/>
        </w:rPr>
      </w:pPr>
    </w:p>
    <w:p>
      <w:pPr>
        <w:ind w:left="1040" w:right="3539" w:firstLine="184"/>
        <w:spacing w:after="0" w:line="237" w:lineRule="auto"/>
        <w:tabs>
          <w:tab w:leader="none" w:pos="1745"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as a corporation in good standing under the laws of the jurisdiction of its incorporation, with corporate power and authority to own its properties and conduct its business as described in the Prospectus as amended or supplemented;</w:t>
      </w:r>
    </w:p>
    <w:p>
      <w:pPr>
        <w:spacing w:after="0" w:line="178" w:lineRule="exact"/>
        <w:rPr>
          <w:rFonts w:ascii="Courier New" w:cs="Courier New" w:eastAsia="Courier New" w:hAnsi="Courier New"/>
          <w:sz w:val="15"/>
          <w:szCs w:val="15"/>
          <w:color w:val="auto"/>
        </w:rPr>
      </w:pPr>
    </w:p>
    <w:p>
      <w:pPr>
        <w:ind w:left="1040" w:right="3439" w:firstLine="184"/>
        <w:spacing w:after="0" w:line="237" w:lineRule="auto"/>
        <w:tabs>
          <w:tab w:leader="none" w:pos="1745"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 authorized capitalization as set forth in the Prospectus as amended or supplemented and all of the issued shares of capital stock of the Company have been duly and validly authorized and issued and are fully paid and non-assessable;</w:t>
      </w:r>
    </w:p>
    <w:p>
      <w:pPr>
        <w:spacing w:after="0" w:line="178" w:lineRule="exact"/>
        <w:rPr>
          <w:rFonts w:ascii="Courier New" w:cs="Courier New" w:eastAsia="Courier New" w:hAnsi="Courier New"/>
          <w:sz w:val="15"/>
          <w:szCs w:val="15"/>
          <w:color w:val="auto"/>
        </w:rPr>
      </w:pPr>
    </w:p>
    <w:p>
      <w:pPr>
        <w:ind w:left="1040" w:right="3439" w:firstLine="184"/>
        <w:spacing w:after="0" w:line="238" w:lineRule="auto"/>
        <w:tabs>
          <w:tab w:leader="none" w:pos="1833"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Significant Subsidiary of the Company has been duly incorporated and is validly existing as a corporation in good standing under the laws of its jurisdiction of incorporation, with corporate power and authority to own its properties and conduct its business as described in the Prospectus; and all of the issued shares of capital stock of each such Significant Subsidiary have been duly</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42" w:name="page43"/>
    <w:bookmarkEnd w:id="42"/>
    <w:p>
      <w:pPr>
        <w:ind w:right="3539"/>
        <w:spacing w:after="0" w:line="237" w:lineRule="auto"/>
        <w:rPr>
          <w:sz w:val="20"/>
          <w:szCs w:val="20"/>
          <w:color w:val="auto"/>
        </w:rPr>
      </w:pPr>
      <w:r>
        <w:rPr>
          <w:rFonts w:ascii="Courier New" w:cs="Courier New" w:eastAsia="Courier New" w:hAnsi="Courier New"/>
          <w:sz w:val="15"/>
          <w:szCs w:val="15"/>
          <w:color w:val="auto"/>
        </w:rPr>
        <w:t>and validly authorized and issued, are fully paid and non-assessable, and (except for directors' qualifying shares and as set forth or incorporated by reference in the Registration Statement) are owned directly or indirectly by the Company;</w:t>
      </w:r>
    </w:p>
    <w:p>
      <w:pPr>
        <w:spacing w:after="0" w:line="176" w:lineRule="exact"/>
        <w:rPr>
          <w:sz w:val="20"/>
          <w:szCs w:val="20"/>
          <w:color w:val="auto"/>
        </w:rPr>
      </w:pPr>
    </w:p>
    <w:p>
      <w:pPr>
        <w:ind w:right="3539" w:firstLine="184"/>
        <w:spacing w:after="0" w:line="257" w:lineRule="auto"/>
        <w:tabs>
          <w:tab w:leader="none" w:pos="61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such counsel's knowledge and 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current or future consolidated financial position, stockholders' equity or results of operations of the Company and its subsidiaries; and, to the best of such counsel's knowledge, no such proceedings are threatened or contemplated by governmental authorities or threatened by others;</w:t>
      </w:r>
    </w:p>
    <w:p>
      <w:pPr>
        <w:spacing w:after="0" w:line="335" w:lineRule="exact"/>
        <w:rPr>
          <w:rFonts w:ascii="Courier New" w:cs="Courier New" w:eastAsia="Courier New" w:hAnsi="Courier New"/>
          <w:sz w:val="14"/>
          <w:szCs w:val="14"/>
          <w:color w:val="auto"/>
        </w:rPr>
      </w:pPr>
    </w:p>
    <w:p>
      <w:pPr>
        <w:ind w:right="3439" w:firstLine="184"/>
        <w:spacing w:after="0" w:line="237" w:lineRule="auto"/>
        <w:tabs>
          <w:tab w:leader="none" w:pos="61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Pricing Agreement with respect to the Designated Securities have been duly authorized, executed and delivered by the Company;</w:t>
      </w:r>
    </w:p>
    <w:p>
      <w:pPr>
        <w:spacing w:after="0" w:line="174" w:lineRule="exact"/>
        <w:rPr>
          <w:rFonts w:ascii="Courier New" w:cs="Courier New" w:eastAsia="Courier New" w:hAnsi="Courier New"/>
          <w:sz w:val="15"/>
          <w:szCs w:val="15"/>
          <w:color w:val="auto"/>
        </w:rPr>
      </w:pPr>
    </w:p>
    <w:p>
      <w:pPr>
        <w:ind w:right="3539" w:firstLine="184"/>
        <w:spacing w:after="0" w:line="238" w:lineRule="auto"/>
        <w:tabs>
          <w:tab w:leader="none" w:pos="70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Designated Securities have been duly authorized, executed, authenticated, issued and delivered and constitute valid and legally binding obligations of the Company entitled to the benefits provided by the Indenture; and the Designated Securities and the Indenture conform in all material respects to the descriptions thereof in the Prospectus as amended or supplemented;</w:t>
      </w:r>
    </w:p>
    <w:p>
      <w:pPr>
        <w:spacing w:after="0" w:line="176" w:lineRule="exact"/>
        <w:rPr>
          <w:rFonts w:ascii="Courier New" w:cs="Courier New" w:eastAsia="Courier New" w:hAnsi="Courier New"/>
          <w:sz w:val="15"/>
          <w:szCs w:val="15"/>
          <w:color w:val="auto"/>
        </w:rPr>
      </w:pPr>
    </w:p>
    <w:p>
      <w:pPr>
        <w:ind w:right="3619" w:firstLine="184"/>
        <w:spacing w:after="0" w:line="238" w:lineRule="auto"/>
        <w:tabs>
          <w:tab w:leader="none" w:pos="79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has been duly authorized, executed and delivered by the parties thereto and constitutes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has been duly qualified under the Trust Indenture Act;</w:t>
      </w:r>
    </w:p>
    <w:p>
      <w:pPr>
        <w:spacing w:after="0" w:line="177" w:lineRule="exact"/>
        <w:rPr>
          <w:rFonts w:ascii="Courier New" w:cs="Courier New" w:eastAsia="Courier New" w:hAnsi="Courier New"/>
          <w:sz w:val="15"/>
          <w:szCs w:val="15"/>
          <w:color w:val="auto"/>
        </w:rPr>
      </w:pPr>
    </w:p>
    <w:p>
      <w:pPr>
        <w:ind w:right="3539" w:firstLine="184"/>
        <w:spacing w:after="0" w:line="257" w:lineRule="auto"/>
        <w:tabs>
          <w:tab w:leader="none" w:pos="79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 and sale of the Designated Securities and the compliance by the Company with all of the provisions of the Designated Securities, the Indenture, this Agreement and the Pricing Agreement with respect to the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known to such counsel to which the Company is a party or by which the Company is bound or to which any of the property or assets of the Company is subject, nor will such actions result in any violation of the provisions of the Certificate of Incorporation or By-laws of the Company or any statute or any order, rule or regulation known to such counsel of any court or governmental agency or body having jurisdiction over the Company or any of its properties;</w:t>
      </w:r>
    </w:p>
    <w:p>
      <w:pPr>
        <w:spacing w:after="0" w:line="164" w:lineRule="exact"/>
        <w:rPr>
          <w:rFonts w:ascii="Courier New" w:cs="Courier New" w:eastAsia="Courier New" w:hAnsi="Courier New"/>
          <w:sz w:val="14"/>
          <w:szCs w:val="14"/>
          <w:color w:val="auto"/>
        </w:rPr>
      </w:pPr>
    </w:p>
    <w:p>
      <w:pPr>
        <w:ind w:right="3439" w:firstLine="184"/>
        <w:spacing w:after="0" w:line="238" w:lineRule="auto"/>
        <w:tabs>
          <w:tab w:leader="none" w:pos="61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approval, authorization, order, filing, registration or qualification of or with any such court or governmental agency or body is required for the issue and sale of the Designated Securities or the consummation by the Company of the transactions contemplated by this Agreement or such Pricing Agreement or the Indenture, except such as have been obtained under the Act and the Trust Indenture Act and such consents, approvals, authorizations, orders, filings, registrations or qualifications as may be required under state</w:t>
      </w:r>
    </w:p>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179"/>
          </w:cols>
          <w:pgMar w:left="1280" w:top="627" w:right="1440" w:bottom="1440" w:gutter="0" w:footer="0" w:header="0"/>
        </w:sectPr>
      </w:pPr>
    </w:p>
    <w:bookmarkStart w:id="43" w:name="page44"/>
    <w:bookmarkEnd w:id="43"/>
    <w:p>
      <w:pPr>
        <w:ind w:left="1040" w:right="3619"/>
        <w:spacing w:after="0" w:line="265" w:lineRule="auto"/>
        <w:rPr>
          <w:sz w:val="20"/>
          <w:szCs w:val="20"/>
          <w:color w:val="auto"/>
        </w:rPr>
      </w:pPr>
      <w:r>
        <w:rPr>
          <w:rFonts w:ascii="Courier New" w:cs="Courier New" w:eastAsia="Courier New" w:hAnsi="Courier New"/>
          <w:sz w:val="14"/>
          <w:szCs w:val="14"/>
          <w:color w:val="auto"/>
        </w:rPr>
        <w:t>securities or Blue Sky laws in connection with the purchase and distribution of the Designated Securities by the Underwriters;</w:t>
      </w:r>
    </w:p>
    <w:p>
      <w:pPr>
        <w:spacing w:after="0" w:line="158" w:lineRule="exact"/>
        <w:rPr>
          <w:sz w:val="20"/>
          <w:szCs w:val="20"/>
          <w:color w:val="auto"/>
        </w:rPr>
      </w:pPr>
    </w:p>
    <w:p>
      <w:pPr>
        <w:ind w:left="1040" w:right="3979" w:firstLine="184"/>
        <w:spacing w:after="0" w:line="237" w:lineRule="auto"/>
        <w:tabs>
          <w:tab w:leader="none" w:pos="165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such counsel's knowledge, neither the Company nor any of its subsidiaries is in violation of its By-laws or Certificate of Incorporation;</w:t>
      </w:r>
    </w:p>
    <w:p>
      <w:pPr>
        <w:spacing w:after="0" w:line="174" w:lineRule="exact"/>
        <w:rPr>
          <w:rFonts w:ascii="Courier New" w:cs="Courier New" w:eastAsia="Courier New" w:hAnsi="Courier New"/>
          <w:sz w:val="15"/>
          <w:szCs w:val="15"/>
          <w:color w:val="auto"/>
        </w:rPr>
      </w:pPr>
    </w:p>
    <w:p>
      <w:pPr>
        <w:ind w:left="1040" w:right="3439" w:firstLine="184"/>
        <w:spacing w:after="0" w:line="257" w:lineRule="auto"/>
        <w:tabs>
          <w:tab w:leader="none" w:pos="174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set forth in the Prospectus as amended or supplemented under the captions "Description of Debt Securities," "Description of Securities," "Description of Capital Stock," "Description of Warrants" and "Description of Units of Securities," insofar as they purport to constitute a summary of the terms of such securities, and under the captions "Plan of Distribution" and "Underwriting", insofar as they purport to describe the provisions of the laws and documents referred to therein, are accurate and fairly and correctly present in all material respects the information required to be presented by the Act or the rules and regulations of the Commission thereunder;</w:t>
      </w:r>
    </w:p>
    <w:p>
      <w:pPr>
        <w:spacing w:after="0" w:line="165" w:lineRule="exact"/>
        <w:rPr>
          <w:rFonts w:ascii="Courier New" w:cs="Courier New" w:eastAsia="Courier New" w:hAnsi="Courier New"/>
          <w:sz w:val="14"/>
          <w:szCs w:val="14"/>
          <w:color w:val="auto"/>
        </w:rPr>
      </w:pPr>
    </w:p>
    <w:p>
      <w:pPr>
        <w:ind w:left="1040" w:right="3539" w:firstLine="184"/>
        <w:spacing w:after="0" w:line="237" w:lineRule="auto"/>
        <w:tabs>
          <w:tab w:leader="none" w:pos="183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 or an entity "controlled" by an "investment company", as such terms are defined in the Investment Company Act;</w:t>
      </w:r>
    </w:p>
    <w:p>
      <w:pPr>
        <w:spacing w:after="0" w:line="174" w:lineRule="exact"/>
        <w:rPr>
          <w:rFonts w:ascii="Courier New" w:cs="Courier New" w:eastAsia="Courier New" w:hAnsi="Courier New"/>
          <w:sz w:val="15"/>
          <w:szCs w:val="15"/>
          <w:color w:val="auto"/>
        </w:rPr>
      </w:pPr>
    </w:p>
    <w:p>
      <w:pPr>
        <w:ind w:left="1040" w:right="3439" w:firstLine="184"/>
        <w:spacing w:after="0" w:line="238" w:lineRule="auto"/>
        <w:tabs>
          <w:tab w:leader="none" w:pos="192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incorporated by reference in the Prospectus as amended or supplemented (other than the financial statements and related schedules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w:t>
      </w:r>
    </w:p>
    <w:p>
      <w:pPr>
        <w:spacing w:after="0" w:line="177" w:lineRule="exact"/>
        <w:rPr>
          <w:rFonts w:ascii="Courier New" w:cs="Courier New" w:eastAsia="Courier New" w:hAnsi="Courier New"/>
          <w:sz w:val="15"/>
          <w:szCs w:val="15"/>
          <w:color w:val="auto"/>
        </w:rPr>
      </w:pPr>
    </w:p>
    <w:p>
      <w:pPr>
        <w:ind w:left="1040" w:right="3439" w:firstLine="184"/>
        <w:spacing w:after="0" w:line="238" w:lineRule="auto"/>
        <w:tabs>
          <w:tab w:leader="none" w:pos="183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and the Prospectus as amended or supplemented and any further amendments and supplements thereto made by the Company prior to the Time of Delivery for the Designated Securities (other than the financial statements and related schedules therein, as to which such counsel need express no opinion) comply as to form in all material respects with the requirements of the Act and the Trust Indenture Act and the rules and regulations thereunder.</w:t>
      </w:r>
    </w:p>
    <w:p>
      <w:pPr>
        <w:spacing w:after="0" w:line="178" w:lineRule="exact"/>
        <w:rPr>
          <w:sz w:val="20"/>
          <w:szCs w:val="20"/>
          <w:color w:val="auto"/>
        </w:rPr>
      </w:pPr>
    </w:p>
    <w:p>
      <w:pPr>
        <w:ind w:right="3439" w:firstLine="1058"/>
        <w:spacing w:after="0" w:line="257" w:lineRule="auto"/>
        <w:rPr>
          <w:sz w:val="20"/>
          <w:szCs w:val="20"/>
          <w:color w:val="auto"/>
        </w:rPr>
      </w:pPr>
      <w:r>
        <w:rPr>
          <w:rFonts w:ascii="Courier New" w:cs="Courier New" w:eastAsia="Courier New" w:hAnsi="Courier New"/>
          <w:sz w:val="14"/>
          <w:szCs w:val="14"/>
          <w:color w:val="auto"/>
        </w:rPr>
        <w:t>Such counsel shall also advise the Underwriters that, although such counsel is not passing upon and assumes no responsibility or liability for the accuracy, completeness or fairness of the statements contained in the documents incorporated by reference in the Prospectus as amended or supplemented, they have no reason to believe that any such documents incorporated by reference (other than the financial statements and related schedules therein, as to which such counsel need express no opinion), when they became effective or were filed with the Commission, as the case may be, contained, in the case of a registration statement which became effective under the Act, an untrue statement of a material fact or omitted to state a material fact required to be stated therein or necessary to make the statements therein not misleading, or, in the case of other documents which were filed under the Act or the Exchange Act with the Commission, an untrue statement of a material fact or omitted to state a material fact necessary in order to make the statements therein, in the light of the circumstances under which they were made when such documents were so filed, not misleading.</w:t>
      </w:r>
    </w:p>
    <w:p>
      <w:pPr>
        <w:spacing w:after="0" w:line="164" w:lineRule="exact"/>
        <w:rPr>
          <w:sz w:val="20"/>
          <w:szCs w:val="20"/>
          <w:color w:val="auto"/>
        </w:rPr>
      </w:pPr>
    </w:p>
    <w:p>
      <w:pPr>
        <w:ind w:right="3439" w:firstLine="1234"/>
        <w:spacing w:after="0" w:line="258" w:lineRule="auto"/>
        <w:rPr>
          <w:sz w:val="20"/>
          <w:szCs w:val="20"/>
          <w:color w:val="auto"/>
        </w:rPr>
      </w:pPr>
      <w:r>
        <w:rPr>
          <w:rFonts w:ascii="Courier New" w:cs="Courier New" w:eastAsia="Courier New" w:hAnsi="Courier New"/>
          <w:sz w:val="14"/>
          <w:szCs w:val="14"/>
          <w:color w:val="auto"/>
        </w:rPr>
        <w:t>Such counsel shall also advise the Underwriters that, although such counsel is not passing upon and assumes no responsibility or liability for the accuracy, completeness or fairness of the statements contained in the Registration Statement or Prospectus as amended or supplemented, during the course of its representation of the Company in connection with</w:t>
      </w:r>
    </w:p>
    <w:p>
      <w:pPr>
        <w:spacing w:after="0" w:line="32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7" w:right="1440" w:bottom="1440" w:gutter="0" w:footer="0" w:header="0"/>
        </w:sectPr>
      </w:pPr>
    </w:p>
    <w:bookmarkStart w:id="44" w:name="page45"/>
    <w:bookmarkEnd w:id="44"/>
    <w:p>
      <w:pPr>
        <w:ind w:right="3439"/>
        <w:spacing w:after="0" w:line="239" w:lineRule="auto"/>
        <w:rPr>
          <w:sz w:val="20"/>
          <w:szCs w:val="20"/>
          <w:color w:val="auto"/>
        </w:rPr>
      </w:pPr>
      <w:r>
        <w:rPr>
          <w:rFonts w:ascii="Courier New" w:cs="Courier New" w:eastAsia="Courier New" w:hAnsi="Courier New"/>
          <w:sz w:val="15"/>
          <w:szCs w:val="15"/>
          <w:color w:val="auto"/>
        </w:rPr>
        <w:t>the preparation of the Registration Statement and the Prospectus as amended or supplemented, and on the basis of conferences with officers of the Company, examination of documents referred to in the Registration Statement and Prospectus as amended or supplemented and such other procedures as such counsel deemed appropriate, nothing has come to the attention of such counsel that causes such counsel to believe that as of its effective date, the Registration Statement or any further amendment thereto made by the Company prior to the Time of Delivery (other than the financial statements and related schedules therein, as to which such counsel need express no opinion) contained an untrue statement of a material fact or omitted to state a material fact required to be stated therein or necessary to make the statements therein not misleading or that, as of its date, the Prospectus as amended or supplemented prior to the Time of Delivery (other than the financial statements and related schedules therein, as to which such counsel need express no opinion) contained an untrue statement of a material fact or omitted to state a material fact necessary to make the statements therein, in the light of the circumstances under which they were made, not misleading or that, as of the Time of Delivery, either the Registration Statement or the Prospectus as amended or supplemented prior to the Time of Delivery (other than the financial statements and related schedules therein, as to which such counsel need express no opinion) contains an untrue statement of a material fact or omits to state a material fact necessary to make the statements therein, in light of the circumstances under which they were made, not misleading.</w:t>
      </w:r>
    </w:p>
    <w:p>
      <w:pPr>
        <w:spacing w:after="0" w:line="177" w:lineRule="exact"/>
        <w:rPr>
          <w:sz w:val="20"/>
          <w:szCs w:val="20"/>
          <w:color w:val="auto"/>
        </w:rPr>
      </w:pPr>
    </w:p>
    <w:p>
      <w:pPr>
        <w:ind w:right="3539" w:firstLine="1234"/>
        <w:spacing w:after="0" w:line="238" w:lineRule="auto"/>
        <w:rPr>
          <w:sz w:val="20"/>
          <w:szCs w:val="20"/>
          <w:color w:val="auto"/>
        </w:rPr>
      </w:pPr>
      <w:r>
        <w:rPr>
          <w:rFonts w:ascii="Courier New" w:cs="Courier New" w:eastAsia="Courier New" w:hAnsi="Courier New"/>
          <w:sz w:val="15"/>
          <w:szCs w:val="15"/>
          <w:color w:val="auto"/>
        </w:rPr>
        <w:t>In rendering the foregoing opinions, such counsel may rely (i) as to matters of law other than the law of the States of Delaware and Minnesota and federal law, upon the opinion or opinions of local counsel provided that the extent of such reliance is specified in such opinion and that such counsel shall state that such opinion or opinions of local counsel are satisfactory to them and that they believe they and you are justified in relying thereon and (ii) as to matters of fact, to the extent such counsel deems reasonable, upon certificates of officers of the Company and governmental authorities provided that the extent of such reliance is specified in such opinion;</w:t>
      </w:r>
    </w:p>
    <w:p>
      <w:pPr>
        <w:spacing w:after="0" w:line="180" w:lineRule="exact"/>
        <w:rPr>
          <w:sz w:val="20"/>
          <w:szCs w:val="20"/>
          <w:color w:val="auto"/>
        </w:rPr>
      </w:pPr>
    </w:p>
    <w:p>
      <w:pPr>
        <w:ind w:left="600" w:right="3439" w:firstLine="184"/>
        <w:spacing w:after="0" w:line="258" w:lineRule="auto"/>
        <w:tabs>
          <w:tab w:leader="none" w:pos="1217"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counsel of the Company or other counsel for the Company satisfactory to the Representatives shall have furnished to the Representatives his written opinion, dated the Time of Delivery for such Designated Securities, in the form presented to the Representatives prior to the execution of this Agreement and in form and substance satisfactory to the Representatives, to the effect that:</w:t>
      </w:r>
    </w:p>
    <w:p>
      <w:pPr>
        <w:spacing w:after="0" w:line="163" w:lineRule="exact"/>
        <w:rPr>
          <w:rFonts w:ascii="Courier New" w:cs="Courier New" w:eastAsia="Courier New" w:hAnsi="Courier New"/>
          <w:sz w:val="14"/>
          <w:szCs w:val="14"/>
          <w:color w:val="auto"/>
        </w:rPr>
      </w:pPr>
    </w:p>
    <w:p>
      <w:pPr>
        <w:ind w:left="1040" w:right="3539" w:firstLine="184"/>
        <w:spacing w:after="0" w:line="238" w:lineRule="auto"/>
        <w:tabs>
          <w:tab w:leader="none" w:pos="1657"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Significant Subsidiary of the Company has been duly incorporated and is validly existing as a corporation in good standing under the laws of its jurisdiction of incorporation, with corporate power and authority to own its properties and conduct its business as described in the Prospectus; and all of the issued shares of capital stock of each such Significant Subsidiary have been duly and validly authorized and issued, are fully paid and non-assessable, and (except for directors' qualifying shares and as set forth or incorporated by reference in the Registration Statement) are owned directly or indirectly by the Company, free and clear of all liens, encumbrances, equities or claims;</w:t>
      </w:r>
    </w:p>
    <w:p>
      <w:pPr>
        <w:spacing w:after="0" w:line="181" w:lineRule="exact"/>
        <w:rPr>
          <w:rFonts w:ascii="Courier New" w:cs="Courier New" w:eastAsia="Courier New" w:hAnsi="Courier New"/>
          <w:sz w:val="15"/>
          <w:szCs w:val="15"/>
          <w:color w:val="auto"/>
        </w:rPr>
      </w:pPr>
    </w:p>
    <w:p>
      <w:pPr>
        <w:ind w:left="1040" w:right="3179" w:firstLine="184"/>
        <w:spacing w:after="0" w:line="257" w:lineRule="auto"/>
        <w:tabs>
          <w:tab w:leader="none" w:pos="1657"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such counsel's knowledge and 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current or future consolidated financial position, stockholders' equity or results of operations of the Company and its</w:t>
      </w:r>
    </w:p>
    <w:p>
      <w:pPr>
        <w:spacing w:after="0" w:line="3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45" w:name="page46"/>
    <w:bookmarkEnd w:id="45"/>
    <w:p>
      <w:pPr>
        <w:ind w:left="1040" w:right="3979"/>
        <w:spacing w:after="0" w:line="260" w:lineRule="auto"/>
        <w:rPr>
          <w:sz w:val="20"/>
          <w:szCs w:val="20"/>
          <w:color w:val="auto"/>
        </w:rPr>
      </w:pPr>
      <w:r>
        <w:rPr>
          <w:rFonts w:ascii="Courier New" w:cs="Courier New" w:eastAsia="Courier New" w:hAnsi="Courier New"/>
          <w:sz w:val="14"/>
          <w:szCs w:val="14"/>
          <w:color w:val="auto"/>
        </w:rPr>
        <w:t>subsidiaries; and, to the best of such counsel's knowledge, no such proceedings are threatened or contemplated by governmental authorities or threatened by others;</w:t>
      </w:r>
    </w:p>
    <w:p>
      <w:pPr>
        <w:spacing w:after="0" w:line="163" w:lineRule="exact"/>
        <w:rPr>
          <w:sz w:val="20"/>
          <w:szCs w:val="20"/>
          <w:color w:val="auto"/>
        </w:rPr>
      </w:pPr>
    </w:p>
    <w:p>
      <w:pPr>
        <w:ind w:left="1040" w:right="3439" w:firstLine="184"/>
        <w:spacing w:after="0" w:line="238" w:lineRule="auto"/>
        <w:tabs>
          <w:tab w:leader="none" w:pos="183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such counsel's knowledge, the Company together with its subsidiaries owns and possesses all right, title and interest in and to, or has duly licensed from third parties a valid, enforceable right to use, all Patent and Proprietary Rights currently or proposed to be employed by it in connection with its business. To the best of such counsel's knowledge, neither the Company nor any of its subsidiaries has received any notice of infringement or misappropriation of or conflict with asserted rights of others with respect to any Patent or Proprietary Rights, or of any facts which would render any Patent or Proprietary Rights invalid or inadequate to protect the interest of the Company or its subsidiaries therein, and which asserted infringement, misappropriation or conflict or invalidity or inadequacy, individually or in the aggregate, would or could reasonably be expected to result in a Material Adverse Effect;</w:t>
      </w:r>
    </w:p>
    <w:p>
      <w:pPr>
        <w:spacing w:after="0" w:line="185" w:lineRule="exact"/>
        <w:rPr>
          <w:rFonts w:ascii="Courier New" w:cs="Courier New" w:eastAsia="Courier New" w:hAnsi="Courier New"/>
          <w:sz w:val="15"/>
          <w:szCs w:val="15"/>
          <w:color w:val="auto"/>
        </w:rPr>
      </w:pPr>
    </w:p>
    <w:p>
      <w:pPr>
        <w:ind w:left="1040" w:right="3439" w:firstLine="184"/>
        <w:spacing w:after="0" w:line="257" w:lineRule="auto"/>
        <w:tabs>
          <w:tab w:leader="none" w:pos="174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such counsel's knowledge, the Company and each of its subsidiaries has filed all necessary federal and state income, franchise, sales and use tax returns and has paid all taxes shown as due thereon, and there is no tax deficiency that has been, or to the best of such counsel's knowledge, might be, asserted against the Company, any of its subsidiaries, or any of their respective properties or assets that would or could be expected to have a Material Adverse Effect;</w:t>
      </w:r>
    </w:p>
    <w:p>
      <w:pPr>
        <w:spacing w:after="0" w:line="166" w:lineRule="exact"/>
        <w:rPr>
          <w:rFonts w:ascii="Courier New" w:cs="Courier New" w:eastAsia="Courier New" w:hAnsi="Courier New"/>
          <w:sz w:val="14"/>
          <w:szCs w:val="14"/>
          <w:color w:val="auto"/>
        </w:rPr>
      </w:pPr>
    </w:p>
    <w:p>
      <w:pPr>
        <w:ind w:left="1040" w:right="3539" w:firstLine="184"/>
        <w:spacing w:after="0" w:line="238" w:lineRule="auto"/>
        <w:tabs>
          <w:tab w:leader="none" w:pos="165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such counsel's knowledge, neither the Company nor any of its subsidiaries is in violation of its By-laws or Certificate of Incorporation or is in default in the performance or observance of any material obligation, agreement, covenant or condition contained in any contract, indenture, mortgage, loan agreement, note, lease or other instrument to which it is a party or by which it or any of its properties may be bound;</w:t>
      </w:r>
    </w:p>
    <w:p>
      <w:pPr>
        <w:spacing w:after="0" w:line="177" w:lineRule="exact"/>
        <w:rPr>
          <w:rFonts w:ascii="Courier New" w:cs="Courier New" w:eastAsia="Courier New" w:hAnsi="Courier New"/>
          <w:sz w:val="15"/>
          <w:szCs w:val="15"/>
          <w:color w:val="auto"/>
        </w:rPr>
      </w:pPr>
    </w:p>
    <w:p>
      <w:pPr>
        <w:ind w:left="1040" w:right="3439" w:firstLine="184"/>
        <w:spacing w:after="0" w:line="238" w:lineRule="auto"/>
        <w:tabs>
          <w:tab w:leader="none" w:pos="165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incorporated by reference in the Prospectus as amended or supplemented (other than the financial statements and related schedules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w:t>
      </w:r>
    </w:p>
    <w:p>
      <w:pPr>
        <w:spacing w:after="0" w:line="177" w:lineRule="exact"/>
        <w:rPr>
          <w:rFonts w:ascii="Courier New" w:cs="Courier New" w:eastAsia="Courier New" w:hAnsi="Courier New"/>
          <w:sz w:val="15"/>
          <w:szCs w:val="15"/>
          <w:color w:val="auto"/>
        </w:rPr>
      </w:pPr>
    </w:p>
    <w:p>
      <w:pPr>
        <w:ind w:left="1040" w:right="3439" w:firstLine="184"/>
        <w:spacing w:after="0" w:line="238" w:lineRule="auto"/>
        <w:tabs>
          <w:tab w:leader="none" w:pos="174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and the Prospectus as amended or supplemented and any further amendments and supplements thereto made by the Company prior to the Time of Delivery for the Designated Securities (other than the financial statements and related schedules therein, as to which such counsel need express no opinion) comply as to form in all material respects with the requirements of the Act and the Trust Indenture Act and the rules and regulations thereunder.</w:t>
      </w:r>
    </w:p>
    <w:p>
      <w:pPr>
        <w:spacing w:after="0" w:line="178"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Such counsel shall also advise the Underwriters that, although such counsel is not passing upon and assumes no responsibility or liability for the accuracy, completeness or fairness of the statements contained in the documents incorporated by reference in the Prospectus as amended or supplemented, he has no reason to believe that any of such documents incorporated by reference (other than the financial statements and related</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7" w:right="1440" w:bottom="1440" w:gutter="0" w:footer="0" w:header="0"/>
        </w:sectPr>
      </w:pPr>
    </w:p>
    <w:bookmarkStart w:id="46" w:name="page47"/>
    <w:bookmarkEnd w:id="46"/>
    <w:p>
      <w:pPr>
        <w:ind w:right="3439"/>
        <w:spacing w:after="0" w:line="257" w:lineRule="auto"/>
        <w:rPr>
          <w:sz w:val="20"/>
          <w:szCs w:val="20"/>
          <w:color w:val="auto"/>
        </w:rPr>
      </w:pPr>
      <w:r>
        <w:rPr>
          <w:rFonts w:ascii="Courier New" w:cs="Courier New" w:eastAsia="Courier New" w:hAnsi="Courier New"/>
          <w:sz w:val="14"/>
          <w:szCs w:val="14"/>
          <w:color w:val="auto"/>
        </w:rPr>
        <w:t>schedules therein, as to which such counsel need express no opinion), when they became effective or were filed with the Commission, as the case may be, contained, in the case of a registration statement which became effective under the Act, an untrue statement of a material fact or omitted to state a material fact required to be stated therein or necessary to make the statements therein not misleading, or, in the case of other documents which were filed under the Act or the Exchange Act with the Commission, an untrue statement of a material fact or omitted to state a material fact necessary in order to make the statements therein, in the light of the circumstances under which they were made when such documents were so filed, not misleading.</w:t>
      </w:r>
    </w:p>
    <w:p>
      <w:pPr>
        <w:spacing w:after="0" w:line="166" w:lineRule="exact"/>
        <w:rPr>
          <w:sz w:val="20"/>
          <w:szCs w:val="20"/>
          <w:color w:val="auto"/>
        </w:rPr>
      </w:pPr>
    </w:p>
    <w:p>
      <w:pPr>
        <w:ind w:right="3439" w:firstLine="793"/>
        <w:spacing w:after="0" w:line="239" w:lineRule="auto"/>
        <w:rPr>
          <w:sz w:val="20"/>
          <w:szCs w:val="20"/>
          <w:color w:val="auto"/>
        </w:rPr>
      </w:pPr>
      <w:r>
        <w:rPr>
          <w:rFonts w:ascii="Courier New" w:cs="Courier New" w:eastAsia="Courier New" w:hAnsi="Courier New"/>
          <w:sz w:val="15"/>
          <w:szCs w:val="15"/>
          <w:color w:val="auto"/>
        </w:rPr>
        <w:t>Such counsel shall also advise the Underwriters that, although such counsel is not passing upon and assumes no responsibility or liability for the accuracy, completeness or fairness of the statements contained in the Registration Statement or Prospectus as amended or supplemented, during the course of its representation of the Company in connection with the preparation of the Registration Statement and the Prospectus as amended or supplemented, and on the basis of conferences with officers of the Company, examination of documents referred to in the Registration Statement and Prospectus as amended or supplemented and such other procedures as such counsel deemed appropriate, nothing has come to the attention of such counsel that causes such counsel to believe that as of its effective date, the Registration Statement or any further amendment thereto made by the Company prior to the Time of Delivery (other than the financial statements and related schedules therein, as to which such counsel need express no opinion) contained an untrue statement of a material fact or omitted to state a material fact required to be stated therein or necessary to make the statements therein not misleading or that, as of its date, the Prospectus as amended or supplemented prior to the Time of Delivery (other than the financial statements and related schedules therein, as to which such counsel need express no opinion) contained an untrue statement of a material fact or omitted to state a material fact necessary to make the statements therein, in the light of the circumstances under which they were made, not misleading or that, as of the Time of Delivery, either the Registration Statement or the Prospectus as amended or supplemented prior to the Time of Delivery (other than the financial statements and related schedules therein, as to which such counsel need express no opinion) contains an untrue statement of a material fact or omits to state a material fact necessary to make the statements therein, in light of the circumstances under which they were made, not misleading.</w:t>
      </w:r>
    </w:p>
    <w:p>
      <w:pPr>
        <w:spacing w:after="0" w:line="178" w:lineRule="exact"/>
        <w:rPr>
          <w:sz w:val="20"/>
          <w:szCs w:val="20"/>
          <w:color w:val="auto"/>
        </w:rPr>
      </w:pPr>
    </w:p>
    <w:p>
      <w:pPr>
        <w:ind w:right="3439" w:firstLine="793"/>
        <w:spacing w:after="0" w:line="257" w:lineRule="auto"/>
        <w:rPr>
          <w:sz w:val="20"/>
          <w:szCs w:val="20"/>
          <w:color w:val="auto"/>
        </w:rPr>
      </w:pPr>
      <w:r>
        <w:rPr>
          <w:rFonts w:ascii="Courier New" w:cs="Courier New" w:eastAsia="Courier New" w:hAnsi="Courier New"/>
          <w:sz w:val="14"/>
          <w:szCs w:val="14"/>
          <w:color w:val="auto"/>
        </w:rPr>
        <w:t>In rendering the foregoing opinions, such counsel may rely (i) as to matters of law other than the law of the States of Delaware and Minnesota and federal law, upon the opinion or opinions of local counsel provided that the extent of such reliance is specified in such opinion and that such counsel shall state that such opinion or opinions of local counsel are satisfactory to him and that he believes that he and you are justified in relying thereon and (ii) as to matters of fact, to the extent such counsel deems reasonable, upon certificates of officers of the Company and governmental authorities provided that the extent of such reliance is specified in such opinion;</w:t>
      </w:r>
    </w:p>
    <w:p>
      <w:pPr>
        <w:spacing w:after="0" w:line="167" w:lineRule="exact"/>
        <w:rPr>
          <w:sz w:val="20"/>
          <w:szCs w:val="20"/>
          <w:color w:val="auto"/>
        </w:rPr>
      </w:pPr>
    </w:p>
    <w:p>
      <w:pPr>
        <w:ind w:left="600" w:right="3439" w:firstLine="184"/>
        <w:spacing w:after="0" w:line="238" w:lineRule="auto"/>
        <w:tabs>
          <w:tab w:leader="none" w:pos="121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the Pricing Agreement for such Designated Securities at a time prior to the execution of the Pricing Agreement with respect to such Designated Securities and at the Time of Delivery for such Designated Securities, KPMG Peat Marwick LLP shall have furnished to the Representatives a letter, dated the effective date of the Registration Statement or the date of the most recent report filed with the Commission containing financial statements of the Company and incorporated by</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7" w:right="1440" w:bottom="1440" w:gutter="0" w:footer="0" w:header="0"/>
        </w:sectPr>
      </w:pPr>
    </w:p>
    <w:bookmarkStart w:id="47" w:name="page48"/>
    <w:bookmarkEnd w:id="47"/>
    <w:p>
      <w:pPr>
        <w:ind w:right="3179"/>
        <w:spacing w:after="0" w:line="258" w:lineRule="auto"/>
        <w:rPr>
          <w:sz w:val="20"/>
          <w:szCs w:val="20"/>
          <w:color w:val="auto"/>
        </w:rPr>
      </w:pPr>
      <w:r>
        <w:rPr>
          <w:rFonts w:ascii="Courier New" w:cs="Courier New" w:eastAsia="Courier New" w:hAnsi="Courier New"/>
          <w:sz w:val="14"/>
          <w:szCs w:val="14"/>
          <w:color w:val="auto"/>
        </w:rPr>
        <w:t>reference in the Registration Statement, if the date of such report is later than such effective date, and a letter dated such Time of Delivery, respectively, in the form presented to the Representatives prior to the execution of this Agreement and in form and substance satisfactory to the Representatives, to the effect set forth in Annex II hereto;</w:t>
      </w:r>
    </w:p>
    <w:p>
      <w:pPr>
        <w:spacing w:after="0" w:line="165" w:lineRule="exact"/>
        <w:rPr>
          <w:sz w:val="20"/>
          <w:szCs w:val="20"/>
          <w:color w:val="auto"/>
        </w:rPr>
      </w:pPr>
    </w:p>
    <w:p>
      <w:pPr>
        <w:ind w:right="3439" w:firstLine="184"/>
        <w:spacing w:after="0" w:line="256" w:lineRule="auto"/>
        <w:tabs>
          <w:tab w:leader="none" w:pos="61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Neither the Company nor any of its subsidiaries shall have sustained since the date of the latest audited financial statements included or incorporated by reference in the Prospectus as amended or supplemented prior to the date of the Pricing Agreement relating to the Designated Securities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prior to the date of the Pricing Agreement relating to the Designated Securities, and (ii) since the respective dates as of which information is given in the Prospectus as amended or supplemented prior to the date of the Pricing Agreement relating to the Designated Securities there shall not have been any change in the capital stock or long-term debt of the Company or any of its subsidiaries, or any change, or any development involving a prospective change, in or affecting the general affairs, management, financial position, stockholders' equity or results of operations of the Company and its subsidiaries taken as a whole, otherwise than as set forth or contemplated in the Prospectus as amended or supplemented prior to the date of the Pricing Agreement relating to the Designated Securities, the effect of which, in any such case described in Clause (i) or (ii), is in the judgment of the Representatives so material and adverse as to make it impracticable or inadvisable to proceed with the public offering or the delivery of the Designated Securities on the terms and in the manner contemplated in the Prospectus as first amended or supplemented relating to the Designated Securities;</w:t>
      </w:r>
    </w:p>
    <w:p>
      <w:pPr>
        <w:spacing w:after="0" w:line="347" w:lineRule="exact"/>
        <w:rPr>
          <w:rFonts w:ascii="Courier New" w:cs="Courier New" w:eastAsia="Courier New" w:hAnsi="Courier New"/>
          <w:sz w:val="14"/>
          <w:szCs w:val="14"/>
          <w:color w:val="auto"/>
        </w:rPr>
      </w:pPr>
    </w:p>
    <w:p>
      <w:pPr>
        <w:ind w:right="3439" w:firstLine="184"/>
        <w:spacing w:after="0" w:line="238" w:lineRule="auto"/>
        <w:tabs>
          <w:tab w:leader="none" w:pos="61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the date of the Pricing Agreement relating to the Designated Securities (i) no downgrading shall have occurred in the rating accorded the Company's debt securities or preferred stock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stock;</w:t>
      </w:r>
    </w:p>
    <w:p>
      <w:pPr>
        <w:spacing w:after="0" w:line="178" w:lineRule="exact"/>
        <w:rPr>
          <w:rFonts w:ascii="Courier New" w:cs="Courier New" w:eastAsia="Courier New" w:hAnsi="Courier New"/>
          <w:sz w:val="15"/>
          <w:szCs w:val="15"/>
          <w:color w:val="auto"/>
        </w:rPr>
      </w:pPr>
    </w:p>
    <w:p>
      <w:pPr>
        <w:ind w:right="3439" w:firstLine="184"/>
        <w:spacing w:after="0" w:line="238" w:lineRule="auto"/>
        <w:tabs>
          <w:tab w:leader="none" w:pos="61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the date of the Pricing Agreement relating to the Designated Securities there shall not have occurred any of the following: (i) a suspension or material limitation in trading in securities generally on the New York Stock Exchange or Nasdaq Stock Market; (ii) a suspension or material limitation in trading in the Company's securities on the New York Stock Exchange; (iii) a general moratorium on commercial banking activities declared by either Federal, New York or Illinois authorities; or (iv) the outbreak or escalation of hostilities involving the United States or the declaration by the United States of a national emergency or war, if the effect of any such event specified in this Clause (iv) in the judgment of the Representatives makes it impracticable or inadvisable to proceed with the public offering or the delivery of the Designated Securities on the terms and in the manner contemplated in the Prospectus as first amended or supplemented relating to the Designated Securities;</w:t>
      </w:r>
    </w:p>
    <w:p>
      <w:pPr>
        <w:spacing w:after="0" w:line="185" w:lineRule="exact"/>
        <w:rPr>
          <w:rFonts w:ascii="Courier New" w:cs="Courier New" w:eastAsia="Courier New" w:hAnsi="Courier New"/>
          <w:sz w:val="15"/>
          <w:szCs w:val="15"/>
          <w:color w:val="auto"/>
        </w:rPr>
      </w:pPr>
    </w:p>
    <w:p>
      <w:pPr>
        <w:ind w:left="620" w:hanging="436"/>
        <w:spacing w:after="0"/>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furnished or caused to be furnished to the</w:t>
      </w:r>
    </w:p>
    <w:p>
      <w:pPr>
        <w:spacing w:after="0" w:line="344"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619"/>
          </w:cols>
          <w:pgMar w:left="840" w:top="627" w:right="1440" w:bottom="1440" w:gutter="0" w:footer="0" w:header="0"/>
        </w:sectPr>
      </w:pPr>
    </w:p>
    <w:bookmarkStart w:id="48" w:name="page49"/>
    <w:bookmarkEnd w:id="48"/>
    <w:p>
      <w:pPr>
        <w:ind w:left="169" w:right="3439"/>
        <w:spacing w:after="0" w:line="257" w:lineRule="auto"/>
        <w:rPr>
          <w:sz w:val="20"/>
          <w:szCs w:val="20"/>
          <w:color w:val="auto"/>
        </w:rPr>
      </w:pPr>
      <w:r>
        <w:rPr>
          <w:rFonts w:ascii="Courier New" w:cs="Courier New" w:eastAsia="Courier New" w:hAnsi="Courier New"/>
          <w:sz w:val="14"/>
          <w:szCs w:val="14"/>
          <w:color w:val="auto"/>
        </w:rPr>
        <w:t>Representatives at the Time of Delivery for the Designated Securities a certificate or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the introductory paragraph of this Section, subsection (e) of this Section and as to such other matters as the Representatives may reasonably request; and</w:t>
      </w:r>
    </w:p>
    <w:p>
      <w:pPr>
        <w:spacing w:after="0" w:line="167" w:lineRule="exact"/>
        <w:rPr>
          <w:sz w:val="20"/>
          <w:szCs w:val="20"/>
          <w:color w:val="auto"/>
        </w:rPr>
      </w:pPr>
    </w:p>
    <w:p>
      <w:pPr>
        <w:jc w:val="both"/>
        <w:ind w:left="169" w:right="3539" w:firstLine="184"/>
        <w:spacing w:after="0" w:line="260" w:lineRule="auto"/>
        <w:tabs>
          <w:tab w:leader="none" w:pos="786"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complied with the provisions of Section 5(c) hereof with respect to the furnishing of prospectuses on the New York Business Day next succeeding the date of such Pricing Agreement.</w:t>
      </w:r>
    </w:p>
    <w:p>
      <w:pPr>
        <w:spacing w:after="0" w:line="162" w:lineRule="exact"/>
        <w:rPr>
          <w:rFonts w:ascii="Courier New" w:cs="Courier New" w:eastAsia="Courier New" w:hAnsi="Courier New"/>
          <w:sz w:val="14"/>
          <w:szCs w:val="14"/>
          <w:color w:val="auto"/>
        </w:rPr>
      </w:pPr>
    </w:p>
    <w:p>
      <w:pPr>
        <w:ind w:left="-431" w:right="3439" w:firstLine="431"/>
        <w:spacing w:after="0" w:line="239" w:lineRule="auto"/>
        <w:tabs>
          <w:tab w:leader="none" w:pos="36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any Underwriter of Designated Securities through the Representatives expressly for use in the Prospectus as amended or supplemented relating to such Securities.</w:t>
      </w:r>
    </w:p>
    <w:p>
      <w:pPr>
        <w:spacing w:after="0" w:line="177" w:lineRule="exact"/>
        <w:rPr>
          <w:sz w:val="20"/>
          <w:szCs w:val="20"/>
          <w:color w:val="auto"/>
        </w:rPr>
      </w:pPr>
    </w:p>
    <w:p>
      <w:pPr>
        <w:ind w:left="-431" w:right="3439" w:firstLine="431"/>
        <w:spacing w:after="0" w:line="239" w:lineRule="auto"/>
        <w:tabs>
          <w:tab w:leader="none" w:pos="4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w:t>
      </w:r>
    </w:p>
    <w:p>
      <w:pPr>
        <w:spacing w:after="0" w:line="170"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88"/>
          </w:cols>
          <w:pgMar w:left="671" w:top="627" w:right="1440" w:bottom="1440" w:gutter="0" w:footer="0" w:header="0"/>
        </w:sectPr>
      </w:pPr>
    </w:p>
    <w:bookmarkStart w:id="49" w:name="page50"/>
    <w:bookmarkEnd w:id="49"/>
    <w:p>
      <w:pPr>
        <w:ind w:left="10"/>
        <w:spacing w:after="0"/>
        <w:rPr>
          <w:sz w:val="20"/>
          <w:szCs w:val="20"/>
          <w:color w:val="auto"/>
        </w:rPr>
      </w:pPr>
      <w:r>
        <w:rPr>
          <w:rFonts w:ascii="Courier New" w:cs="Courier New" w:eastAsia="Courier New" w:hAnsi="Courier New"/>
          <w:sz w:val="15"/>
          <w:szCs w:val="15"/>
          <w:color w:val="auto"/>
        </w:rPr>
        <w:t>or defending any such action or claim as such expenses are incurred.</w:t>
      </w:r>
    </w:p>
    <w:p>
      <w:pPr>
        <w:spacing w:after="0" w:line="175" w:lineRule="exact"/>
        <w:rPr>
          <w:sz w:val="20"/>
          <w:szCs w:val="20"/>
          <w:color w:val="auto"/>
        </w:rPr>
      </w:pPr>
    </w:p>
    <w:p>
      <w:pPr>
        <w:ind w:left="10" w:right="3439" w:firstLine="431"/>
        <w:spacing w:after="0" w:line="256" w:lineRule="auto"/>
        <w:tabs>
          <w:tab w:leader="none" w:pos="891"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w:t>
      </w:r>
    </w:p>
    <w:p>
      <w:pPr>
        <w:spacing w:after="0" w:line="177" w:lineRule="exact"/>
        <w:rPr>
          <w:rFonts w:ascii="Courier New" w:cs="Courier New" w:eastAsia="Courier New" w:hAnsi="Courier New"/>
          <w:sz w:val="14"/>
          <w:szCs w:val="14"/>
          <w:color w:val="auto"/>
        </w:rPr>
      </w:pPr>
    </w:p>
    <w:p>
      <w:pPr>
        <w:ind w:left="10" w:right="3439" w:hanging="10"/>
        <w:spacing w:after="0" w:line="237" w:lineRule="auto"/>
        <w:tabs>
          <w:tab w:leader="none" w:pos="36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76" w:lineRule="exact"/>
        <w:rPr>
          <w:rFonts w:ascii="Courier New" w:cs="Courier New" w:eastAsia="Courier New" w:hAnsi="Courier New"/>
          <w:sz w:val="15"/>
          <w:szCs w:val="15"/>
          <w:color w:val="auto"/>
        </w:rPr>
      </w:pPr>
    </w:p>
    <w:p>
      <w:pPr>
        <w:ind w:left="10" w:right="3439" w:firstLine="519"/>
        <w:spacing w:after="0" w:line="256" w:lineRule="auto"/>
        <w:tabs>
          <w:tab w:leader="none" w:pos="979"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w:t>
      </w:r>
    </w:p>
    <w:p>
      <w:pPr>
        <w:spacing w:after="0" w:line="200" w:lineRule="exact"/>
        <w:rPr>
          <w:sz w:val="20"/>
          <w:szCs w:val="20"/>
          <w:color w:val="auto"/>
        </w:rPr>
      </w:pPr>
    </w:p>
    <w:p>
      <w:pPr>
        <w:spacing w:after="0" w:line="31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622" w:right="1440" w:bottom="1440" w:gutter="0" w:footer="0" w:header="0"/>
        </w:sectPr>
      </w:pPr>
    </w:p>
    <w:bookmarkStart w:id="50" w:name="page51"/>
    <w:bookmarkEnd w:id="50"/>
    <w:p>
      <w:pPr>
        <w:ind w:right="3439"/>
        <w:spacing w:after="0" w:line="256" w:lineRule="auto"/>
        <w:rPr>
          <w:sz w:val="20"/>
          <w:szCs w:val="20"/>
          <w:color w:val="auto"/>
        </w:rPr>
      </w:pPr>
      <w:r>
        <w:rPr>
          <w:rFonts w:ascii="Courier New" w:cs="Courier New" w:eastAsia="Courier New" w:hAnsi="Courier New"/>
          <w:sz w:val="14"/>
          <w:szCs w:val="14"/>
          <w:color w:val="auto"/>
        </w:rPr>
        <w:t>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w:t>
      </w:r>
    </w:p>
    <w:p>
      <w:pPr>
        <w:spacing w:after="0" w:line="2"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87" w:lineRule="exact"/>
        <w:rPr>
          <w:sz w:val="20"/>
          <w:szCs w:val="20"/>
          <w:color w:val="auto"/>
        </w:rPr>
      </w:pPr>
    </w:p>
    <w:p>
      <w:pPr>
        <w:ind w:right="3619" w:firstLine="431"/>
        <w:spacing w:after="0" w:line="238" w:lineRule="auto"/>
        <w:tabs>
          <w:tab w:leader="none" w:pos="88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179" w:lineRule="exact"/>
        <w:rPr>
          <w:sz w:val="20"/>
          <w:szCs w:val="20"/>
          <w:color w:val="auto"/>
        </w:rPr>
      </w:pPr>
    </w:p>
    <w:p>
      <w:pPr>
        <w:ind w:right="3439" w:firstLine="431"/>
        <w:spacing w:after="0" w:line="256" w:lineRule="auto"/>
        <w:tabs>
          <w:tab w:leader="none" w:pos="793"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If any Underwriter shall default in its obligation to purchase the Designated Securities which it has agreed to purchase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Agreement shall include any person substituted under this Section with like effect as if such person had originally been a party to the Pricing Agreement with respect to such Designated Securities.</w:t>
      </w:r>
    </w:p>
    <w:p>
      <w:pPr>
        <w:spacing w:after="0" w:line="178" w:lineRule="exact"/>
        <w:rPr>
          <w:sz w:val="20"/>
          <w:szCs w:val="20"/>
          <w:color w:val="auto"/>
        </w:rPr>
      </w:pPr>
    </w:p>
    <w:p>
      <w:pPr>
        <w:ind w:left="880" w:hanging="449"/>
        <w:spacing w:after="0"/>
        <w:tabs>
          <w:tab w:leader="none" w:pos="8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giving effect to any arrangements for the purchase of the</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Designated</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7" w:right="1440" w:bottom="1440" w:gutter="0" w:footer="0" w:header="0"/>
        </w:sectPr>
      </w:pPr>
    </w:p>
    <w:bookmarkStart w:id="51" w:name="page52"/>
    <w:bookmarkEnd w:id="51"/>
    <w:p>
      <w:pPr>
        <w:ind w:right="3439"/>
        <w:spacing w:after="0" w:line="238" w:lineRule="auto"/>
        <w:rPr>
          <w:sz w:val="20"/>
          <w:szCs w:val="20"/>
          <w:color w:val="auto"/>
        </w:rPr>
      </w:pPr>
      <w:r>
        <w:rPr>
          <w:rFonts w:ascii="Courier New" w:cs="Courier New" w:eastAsia="Courier New" w:hAnsi="Courier New"/>
          <w:sz w:val="15"/>
          <w:szCs w:val="15"/>
          <w:color w:val="auto"/>
        </w:rPr>
        <w:t>Securities of a defaulting Underwriter or Underwriters by the Representatives and the Company as provided in subsection (a) above, the aggregate principal amount of such Designated Securities which remains unpurchased does not exceed one-eleventh of the aggregate principal amount of the Designated Securities, then the Company shall have the right to require each non-defaulting Underwriter to purchase the principal amount of Designated Securities which such Underwriter agreed to purchase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84" w:lineRule="exact"/>
        <w:rPr>
          <w:sz w:val="20"/>
          <w:szCs w:val="20"/>
          <w:color w:val="auto"/>
        </w:rPr>
      </w:pPr>
    </w:p>
    <w:p>
      <w:pPr>
        <w:ind w:right="3439" w:firstLine="431"/>
        <w:spacing w:after="0" w:line="238" w:lineRule="auto"/>
        <w:tabs>
          <w:tab w:leader="none" w:pos="88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one-eleventh of the aggregate principal amount of the Designated Securities, as referred to in subsection (b) above, or if the Company shall not exercise the right described in subsection (b) above to require non-defaulting Underwriters to purchase Designated Securities of a defaulting Underwriter or Underwriters, then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85" w:lineRule="exact"/>
        <w:rPr>
          <w:sz w:val="20"/>
          <w:szCs w:val="20"/>
          <w:color w:val="auto"/>
        </w:rPr>
      </w:pPr>
    </w:p>
    <w:p>
      <w:pPr>
        <w:ind w:right="3439" w:firstLine="431"/>
        <w:spacing w:after="0" w:line="257" w:lineRule="auto"/>
        <w:tabs>
          <w:tab w:leader="none" w:pos="881"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Securities.</w:t>
      </w:r>
    </w:p>
    <w:p>
      <w:pPr>
        <w:spacing w:after="0" w:line="166" w:lineRule="exact"/>
        <w:rPr>
          <w:rFonts w:ascii="Courier New" w:cs="Courier New" w:eastAsia="Courier New" w:hAnsi="Courier New"/>
          <w:sz w:val="14"/>
          <w:szCs w:val="14"/>
          <w:color w:val="auto"/>
        </w:rPr>
      </w:pPr>
    </w:p>
    <w:p>
      <w:pPr>
        <w:ind w:right="3439" w:firstLine="431"/>
        <w:spacing w:after="0" w:line="257" w:lineRule="auto"/>
        <w:tabs>
          <w:tab w:leader="none" w:pos="881"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Pricing Agreement shall be terminated pursuant to Section 9 hereof, the Company shall not then be under any liability to any Underwriter with respect to the Designated Securities covered by such Pricing Agreement except as provided in Sections 6 and 8 hereof; but, if for any other reason Designated Securities are not delivered by or on behalf of the Company as provided herein,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such Designated Securities, but the Company shall then be under no further liability to any Underwriter with respect to such Designated Securities except as provided in Sections 6 and 8 hereof.</w:t>
      </w:r>
    </w:p>
    <w:p>
      <w:pPr>
        <w:spacing w:after="0" w:line="165" w:lineRule="exact"/>
        <w:rPr>
          <w:rFonts w:ascii="Courier New" w:cs="Courier New" w:eastAsia="Courier New" w:hAnsi="Courier New"/>
          <w:sz w:val="14"/>
          <w:szCs w:val="14"/>
          <w:color w:val="auto"/>
        </w:rPr>
      </w:pPr>
    </w:p>
    <w:p>
      <w:pPr>
        <w:ind w:right="3539" w:firstLine="431"/>
        <w:spacing w:after="0" w:line="258" w:lineRule="auto"/>
        <w:tabs>
          <w:tab w:leader="none" w:pos="881"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64"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All statements, requests, notices and agreements hereunder shall be in writing, and if to</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7" w:right="1440" w:bottom="1440" w:gutter="0" w:footer="0" w:header="0"/>
        </w:sectPr>
      </w:pPr>
    </w:p>
    <w:bookmarkStart w:id="52" w:name="page53"/>
    <w:bookmarkEnd w:id="52"/>
    <w:p>
      <w:pPr>
        <w:ind w:right="3439"/>
        <w:spacing w:after="0" w:line="238" w:lineRule="auto"/>
        <w:rPr>
          <w:sz w:val="20"/>
          <w:szCs w:val="20"/>
          <w:color w:val="auto"/>
        </w:rPr>
      </w:pPr>
      <w:r>
        <w:rPr>
          <w:rFonts w:ascii="Courier New" w:cs="Courier New" w:eastAsia="Courier New" w:hAnsi="Courier New"/>
          <w:sz w:val="15"/>
          <w:szCs w:val="15"/>
          <w:color w:val="auto"/>
        </w:rPr>
        <w:t>the Underwriters shall be delivered or sent by mail, telex or facsimile transmission to the address of the Representatives as set forth in the Pricing Agreement; and if to the Company shall be delivered or sent by mail, telex or facsimile transmission to the address of the Company set forth in the Registration Statement: Attention: Secretary; provided, however, that any notice to an Underwriter pursuant to Section 8(c) hereof shall be delivered or sent by mail, telex or facsimile transmission to such Underwriter at its address set forth in its Underwriters' Questionnaire, or telex constituting such Questionnaire, which address will be supplied to the Company by the Representatives upon request. Any such statements, requests, notices or agreements shall take effect upon receipt thereof.</w:t>
      </w:r>
    </w:p>
    <w:p>
      <w:pPr>
        <w:spacing w:after="0" w:line="181" w:lineRule="exact"/>
        <w:rPr>
          <w:sz w:val="20"/>
          <w:szCs w:val="20"/>
          <w:color w:val="auto"/>
        </w:rPr>
      </w:pPr>
    </w:p>
    <w:p>
      <w:pPr>
        <w:ind w:right="3439" w:firstLine="431"/>
        <w:spacing w:after="0" w:line="238" w:lineRule="auto"/>
        <w:tabs>
          <w:tab w:leader="none" w:pos="881"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each Pricing Agreement shall be binding upon, and inure solely to the benefit of, the Underwriters, the Company and, to the extent provided in Sections 8 and 10 hereof, the officers and directors of the Company and each person who controls the Company or any Underwriter, and their respective heirs, executors, administrators, successors and assigns, and no other person shall acquire or have any right under or by virtue of this Agreement or any such Pricing Agreement. No purchaser of any of the Securities from any Underwriter shall be deemed a successor or assign by reason of such purchase.</w:t>
      </w:r>
    </w:p>
    <w:p>
      <w:pPr>
        <w:spacing w:after="0" w:line="178" w:lineRule="exact"/>
        <w:rPr>
          <w:rFonts w:ascii="Courier New" w:cs="Courier New" w:eastAsia="Courier New" w:hAnsi="Courier New"/>
          <w:sz w:val="15"/>
          <w:szCs w:val="15"/>
          <w:color w:val="auto"/>
        </w:rPr>
      </w:pPr>
    </w:p>
    <w:p>
      <w:pPr>
        <w:ind w:right="3439" w:firstLine="431"/>
        <w:spacing w:after="0" w:line="257" w:lineRule="auto"/>
        <w:tabs>
          <w:tab w:leader="none" w:pos="88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shall be of the essence of each Pricing Agreement. As used herein, "business day" shall mean any day when the Commission's office in Washington, D.C. is open for business. As used herein, "Significant Subsidiaries" shall mean all direct and indirect subsidiaries of the Company as of the Time of Delivery other than any subsidiaries which, considered in the aggregate as a single subsidiary as of the end of the most recent fiscal year of the Company, would not constitute a significant subsidiary as defined in Rule 1-02 of Regulation S-X (or any successor thereto).</w:t>
      </w:r>
    </w:p>
    <w:p>
      <w:pPr>
        <w:spacing w:after="0" w:line="166" w:lineRule="exact"/>
        <w:rPr>
          <w:rFonts w:ascii="Courier New" w:cs="Courier New" w:eastAsia="Courier New" w:hAnsi="Courier New"/>
          <w:sz w:val="14"/>
          <w:szCs w:val="14"/>
          <w:color w:val="auto"/>
        </w:rPr>
      </w:pPr>
    </w:p>
    <w:p>
      <w:pPr>
        <w:ind w:right="3539" w:firstLine="431"/>
        <w:spacing w:after="0" w:line="235" w:lineRule="auto"/>
        <w:tabs>
          <w:tab w:leader="none" w:pos="881"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EACH PRICING AGREEMENT SHALL BE GOVERNED BY AND CONSTRUED IN ACCORDANCE WITH THE LAWS OF THE STATE OF NEW YORK.</w:t>
      </w:r>
    </w:p>
    <w:p>
      <w:pPr>
        <w:spacing w:after="0" w:line="175" w:lineRule="exact"/>
        <w:rPr>
          <w:rFonts w:ascii="Courier New" w:cs="Courier New" w:eastAsia="Courier New" w:hAnsi="Courier New"/>
          <w:sz w:val="15"/>
          <w:szCs w:val="15"/>
          <w:color w:val="auto"/>
        </w:rPr>
      </w:pPr>
    </w:p>
    <w:p>
      <w:pPr>
        <w:ind w:right="3539" w:firstLine="431"/>
        <w:spacing w:after="0" w:line="259" w:lineRule="auto"/>
        <w:tabs>
          <w:tab w:leader="none" w:pos="88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15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THE TORO COMPANY</w:t>
      </w:r>
    </w:p>
    <w:p>
      <w:pPr>
        <w:spacing w:after="0" w:line="33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Name:</w:t>
      </w:r>
    </w:p>
    <w:p>
      <w:pPr>
        <w:ind w:left="3860"/>
        <w:spacing w:after="0" w:line="238" w:lineRule="auto"/>
        <w:rPr>
          <w:sz w:val="20"/>
          <w:szCs w:val="20"/>
          <w:color w:val="auto"/>
        </w:rPr>
      </w:pPr>
      <w:r>
        <w:rPr>
          <w:rFonts w:ascii="Courier New" w:cs="Courier New" w:eastAsia="Courier New" w:hAnsi="Courier New"/>
          <w:sz w:val="15"/>
          <w:szCs w:val="15"/>
          <w:color w:val="auto"/>
        </w:rPr>
        <w:t>Title: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1254484.8</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7" w:right="1440" w:bottom="1440" w:gutter="0" w:footer="0" w:header="0"/>
        </w:sectPr>
      </w:pPr>
    </w:p>
    <w:bookmarkStart w:id="53" w:name="page54"/>
    <w:bookmarkEnd w:id="53"/>
    <w:p>
      <w:pPr>
        <w:ind w:left="6090"/>
        <w:spacing w:after="0"/>
        <w:rPr>
          <w:sz w:val="20"/>
          <w:szCs w:val="20"/>
          <w:color w:val="auto"/>
        </w:rPr>
      </w:pPr>
      <w:r>
        <w:rPr>
          <w:rFonts w:ascii="Courier New" w:cs="Courier New" w:eastAsia="Courier New" w:hAnsi="Courier New"/>
          <w:sz w:val="15"/>
          <w:szCs w:val="15"/>
          <w:color w:val="auto"/>
        </w:rPr>
        <w:t>ANNEX I</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PRICING AGREEMENT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Goldman, Sachs &amp; Co.,</w:t>
      </w:r>
    </w:p>
    <w:p>
      <w:pPr>
        <w:ind w:left="10"/>
        <w:spacing w:after="0"/>
        <w:rPr>
          <w:sz w:val="20"/>
          <w:szCs w:val="20"/>
          <w:color w:val="auto"/>
        </w:rPr>
      </w:pPr>
      <w:r>
        <w:rPr>
          <w:rFonts w:ascii="Courier New" w:cs="Courier New" w:eastAsia="Courier New" w:hAnsi="Courier New"/>
          <w:sz w:val="15"/>
          <w:szCs w:val="15"/>
          <w:color w:val="auto"/>
        </w:rPr>
        <w:t>[Names of Co-Representative(s)]</w:t>
      </w:r>
    </w:p>
    <w:p>
      <w:pPr>
        <w:ind w:left="270"/>
        <w:spacing w:after="0"/>
        <w:rPr>
          <w:sz w:val="20"/>
          <w:szCs w:val="20"/>
          <w:color w:val="auto"/>
        </w:rPr>
      </w:pPr>
      <w:r>
        <w:rPr>
          <w:rFonts w:ascii="Courier New" w:cs="Courier New" w:eastAsia="Courier New" w:hAnsi="Courier New"/>
          <w:sz w:val="15"/>
          <w:szCs w:val="15"/>
          <w:color w:val="auto"/>
        </w:rPr>
        <w:t>As Representatives of the several</w:t>
      </w:r>
    </w:p>
    <w:p>
      <w:pPr>
        <w:ind w:left="350"/>
        <w:spacing w:after="0" w:line="238" w:lineRule="auto"/>
        <w:rPr>
          <w:sz w:val="20"/>
          <w:szCs w:val="20"/>
          <w:color w:val="auto"/>
        </w:rPr>
      </w:pPr>
      <w:r>
        <w:rPr>
          <w:rFonts w:ascii="Courier New" w:cs="Courier New" w:eastAsia="Courier New" w:hAnsi="Courier New"/>
          <w:sz w:val="15"/>
          <w:szCs w:val="15"/>
          <w:color w:val="auto"/>
        </w:rPr>
        <w:t>Underwriters named in Schedule I hereto,</w:t>
      </w:r>
    </w:p>
    <w:p>
      <w:pPr>
        <w:ind w:left="10"/>
        <w:spacing w:after="0"/>
        <w:rPr>
          <w:sz w:val="20"/>
          <w:szCs w:val="20"/>
          <w:color w:val="auto"/>
        </w:rPr>
      </w:pPr>
      <w:r>
        <w:rPr>
          <w:rFonts w:ascii="Courier New" w:cs="Courier New" w:eastAsia="Courier New" w:hAnsi="Courier New"/>
          <w:sz w:val="15"/>
          <w:szCs w:val="15"/>
          <w:color w:val="auto"/>
        </w:rPr>
        <w:t>c/o Goldman, Sachs &amp; Co.</w:t>
      </w:r>
    </w:p>
    <w:p>
      <w:pPr>
        <w:ind w:left="10"/>
        <w:spacing w:after="0"/>
        <w:rPr>
          <w:sz w:val="20"/>
          <w:szCs w:val="20"/>
          <w:color w:val="auto"/>
        </w:rPr>
      </w:pPr>
      <w:r>
        <w:rPr>
          <w:rFonts w:ascii="Courier New" w:cs="Courier New" w:eastAsia="Courier New" w:hAnsi="Courier New"/>
          <w:sz w:val="15"/>
          <w:szCs w:val="15"/>
          <w:color w:val="auto"/>
        </w:rPr>
        <w:t>85 Broad Street,</w:t>
      </w:r>
    </w:p>
    <w:p>
      <w:pPr>
        <w:ind w:left="10"/>
        <w:spacing w:after="0" w:line="238" w:lineRule="auto"/>
        <w:rPr>
          <w:sz w:val="20"/>
          <w:szCs w:val="20"/>
          <w:color w:val="auto"/>
        </w:rPr>
      </w:pPr>
      <w:r>
        <w:rPr>
          <w:rFonts w:ascii="Courier New" w:cs="Courier New" w:eastAsia="Courier New" w:hAnsi="Courier New"/>
          <w:sz w:val="15"/>
          <w:szCs w:val="15"/>
          <w:color w:val="auto"/>
        </w:rPr>
        <w:t>New York, New York 10004.</w:t>
      </w:r>
    </w:p>
    <w:p>
      <w:pPr>
        <w:spacing w:after="0" w:line="169" w:lineRule="exact"/>
        <w:rPr>
          <w:sz w:val="20"/>
          <w:szCs w:val="20"/>
          <w:color w:val="auto"/>
        </w:rPr>
      </w:pPr>
    </w:p>
    <w:p>
      <w:pPr>
        <w:ind w:left="4410"/>
        <w:spacing w:after="0"/>
        <w:rPr>
          <w:sz w:val="20"/>
          <w:szCs w:val="20"/>
          <w:color w:val="auto"/>
        </w:rPr>
      </w:pPr>
      <w:r>
        <w:rPr>
          <w:rFonts w:ascii="Courier New" w:cs="Courier New" w:eastAsia="Courier New" w:hAnsi="Courier New"/>
          <w:sz w:val="15"/>
          <w:szCs w:val="15"/>
          <w:color w:val="auto"/>
        </w:rPr>
        <w:t>..................., 199..</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left="10" w:right="3439" w:firstLine="441"/>
        <w:spacing w:after="0" w:line="256" w:lineRule="auto"/>
        <w:rPr>
          <w:sz w:val="20"/>
          <w:szCs w:val="20"/>
          <w:color w:val="auto"/>
        </w:rPr>
      </w:pPr>
      <w:r>
        <w:rPr>
          <w:rFonts w:ascii="Courier New" w:cs="Courier New" w:eastAsia="Courier New" w:hAnsi="Courier New"/>
          <w:sz w:val="14"/>
          <w:szCs w:val="14"/>
          <w:color w:val="auto"/>
        </w:rPr>
        <w:t>The Toro Company, a Delaware corporation (the "Company"), proposes, subject to the terms and conditions stated herein and in the Underwriting Agreement, dated June ...., 1997 (the "Underwriting Agreement"), to issue and</w:t>
      </w:r>
    </w:p>
    <w:p>
      <w:pPr>
        <w:spacing w:after="0" w:line="1" w:lineRule="exact"/>
        <w:rPr>
          <w:sz w:val="20"/>
          <w:szCs w:val="20"/>
          <w:color w:val="auto"/>
        </w:rPr>
      </w:pPr>
    </w:p>
    <w:p>
      <w:pPr>
        <w:ind w:left="10" w:right="3439"/>
        <w:spacing w:after="0" w:line="256" w:lineRule="auto"/>
        <w:rPr>
          <w:sz w:val="20"/>
          <w:szCs w:val="20"/>
          <w:color w:val="auto"/>
        </w:rPr>
      </w:pPr>
      <w:r>
        <w:rPr>
          <w:rFonts w:ascii="Courier New" w:cs="Courier New" w:eastAsia="Courier New" w:hAnsi="Courier New"/>
          <w:sz w:val="14"/>
          <w:szCs w:val="14"/>
          <w:color w:val="auto"/>
        </w:rPr>
        <w:t>sell to the Underwriters named in Schedule I hereto (the "Underwriters") the Securities specified in Schedule II hereto (the "Designated Securities").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Representatives and on behalf of each of the Underwriters of the Designated Securities pursuant to Section 12 of the Underwriting Agreement and the address of the Representatives referred to in such Section 12 are set forth at the end of Schedule II hereto.</w:t>
      </w:r>
    </w:p>
    <w:p>
      <w:pPr>
        <w:spacing w:after="0" w:line="346"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76" w:lineRule="exact"/>
        <w:rPr>
          <w:sz w:val="20"/>
          <w:szCs w:val="20"/>
          <w:color w:val="auto"/>
        </w:rPr>
      </w:pPr>
    </w:p>
    <w:p>
      <w:pPr>
        <w:ind w:left="10" w:right="3439" w:firstLine="441"/>
        <w:spacing w:after="0" w:line="256" w:lineRule="auto"/>
        <w:rPr>
          <w:sz w:val="20"/>
          <w:szCs w:val="20"/>
          <w:color w:val="auto"/>
        </w:rPr>
      </w:pPr>
      <w:r>
        <w:rPr>
          <w:rFonts w:ascii="Courier New" w:cs="Courier New" w:eastAsia="Courier New" w:hAnsi="Courier New"/>
          <w:sz w:val="14"/>
          <w:szCs w:val="14"/>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and place and at the purchase price to the Underwriters set forth in Schedule</w:t>
      </w:r>
    </w:p>
    <w:p>
      <w:pPr>
        <w:spacing w:after="0" w:line="2" w:lineRule="exact"/>
        <w:rPr>
          <w:sz w:val="20"/>
          <w:szCs w:val="20"/>
          <w:color w:val="auto"/>
        </w:rPr>
      </w:pPr>
    </w:p>
    <w:p>
      <w:pPr>
        <w:ind w:left="10" w:right="3619" w:hanging="10"/>
        <w:spacing w:after="0" w:line="235" w:lineRule="auto"/>
        <w:tabs>
          <w:tab w:leader="none" w:pos="27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hereto, the principal amount of Designated Securities set forth opposite the name of such Underwriter in Schedule I hereto.</w:t>
      </w:r>
    </w:p>
    <w:p>
      <w:pPr>
        <w:spacing w:after="0" w:line="200" w:lineRule="exact"/>
        <w:rPr>
          <w:sz w:val="20"/>
          <w:szCs w:val="20"/>
          <w:color w:val="auto"/>
        </w:rPr>
      </w:pPr>
    </w:p>
    <w:p>
      <w:pPr>
        <w:spacing w:after="0" w:line="315" w:lineRule="exact"/>
        <w:rPr>
          <w:sz w:val="20"/>
          <w:szCs w:val="20"/>
          <w:color w:val="auto"/>
        </w:rPr>
      </w:pPr>
    </w:p>
    <w:p>
      <w:pPr>
        <w:ind w:left="10" w:right="3359" w:firstLine="441"/>
        <w:spacing w:after="0" w:line="238" w:lineRule="auto"/>
        <w:rPr>
          <w:sz w:val="20"/>
          <w:szCs w:val="20"/>
          <w:color w:val="auto"/>
        </w:rPr>
      </w:pPr>
      <w:r>
        <w:rPr>
          <w:rFonts w:ascii="Courier New" w:cs="Courier New" w:eastAsia="Courier New" w:hAnsi="Courier New"/>
          <w:sz w:val="15"/>
          <w:szCs w:val="15"/>
          <w:color w:val="auto"/>
        </w:rPr>
        <w:t>If the foregoing is in accordance with your understanding, please sign and return to us ___ [one for the Company and each of the Representatives plus one for each counsel]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 examination upon request, but without warranty on the part of the Representatives as to the authority of the signers thereof.</w:t>
      </w:r>
    </w:p>
    <w:p>
      <w:pPr>
        <w:spacing w:after="0" w:line="34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THE TORO COMPANY</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By:</w:t>
      </w:r>
    </w:p>
    <w:p>
      <w:pPr>
        <w:ind w:left="37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Name:</w:t>
      </w:r>
    </w:p>
    <w:p>
      <w:pPr>
        <w:ind w:left="3710"/>
        <w:spacing w:after="0"/>
        <w:rPr>
          <w:sz w:val="20"/>
          <w:szCs w:val="20"/>
          <w:color w:val="auto"/>
        </w:rPr>
      </w:pPr>
      <w:r>
        <w:rPr>
          <w:rFonts w:ascii="Courier New" w:cs="Courier New" w:eastAsia="Courier New" w:hAnsi="Courier New"/>
          <w:sz w:val="15"/>
          <w:szCs w:val="15"/>
          <w:color w:val="auto"/>
        </w:rPr>
        <w:t>Title: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Accepted as of the date hereof:</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Goldman, Sachs &amp; Co.</w:t>
      </w:r>
    </w:p>
    <w:p>
      <w:pPr>
        <w:ind w:left="10"/>
        <w:spacing w:after="0"/>
        <w:rPr>
          <w:sz w:val="20"/>
          <w:szCs w:val="20"/>
          <w:color w:val="auto"/>
        </w:rPr>
      </w:pPr>
      <w:r>
        <w:rPr>
          <w:rFonts w:ascii="Courier New" w:cs="Courier New" w:eastAsia="Courier New" w:hAnsi="Courier New"/>
          <w:sz w:val="15"/>
          <w:szCs w:val="15"/>
          <w:color w:val="auto"/>
        </w:rPr>
        <w:t>[Name(s) of Co-Representative(s)]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[By:</w:t>
      </w:r>
    </w:p>
    <w:p>
      <w:pPr>
        <w:ind w:left="350"/>
        <w:spacing w:after="0"/>
        <w:rPr>
          <w:sz w:val="20"/>
          <w:szCs w:val="20"/>
          <w:color w:val="auto"/>
        </w:rPr>
      </w:pPr>
      <w:r>
        <w:rPr>
          <w:rFonts w:ascii="Courier New" w:cs="Courier New" w:eastAsia="Courier New" w:hAnsi="Courier New"/>
          <w:sz w:val="15"/>
          <w:szCs w:val="15"/>
          <w:color w:val="auto"/>
        </w:rPr>
        <w:t>-------------------------------</w:t>
      </w:r>
    </w:p>
    <w:p>
      <w:pPr>
        <w:ind w:left="710"/>
        <w:spacing w:after="0"/>
        <w:rPr>
          <w:sz w:val="20"/>
          <w:szCs w:val="20"/>
          <w:color w:val="auto"/>
        </w:rPr>
      </w:pPr>
      <w:r>
        <w:rPr>
          <w:rFonts w:ascii="Courier New" w:cs="Courier New" w:eastAsia="Courier New" w:hAnsi="Courier New"/>
          <w:sz w:val="15"/>
          <w:szCs w:val="15"/>
          <w:color w:val="auto"/>
        </w:rPr>
        <w:t>(Goldman, Sachs &amp; Co.)</w:t>
      </w:r>
    </w:p>
    <w:p>
      <w:pPr>
        <w:spacing w:after="0" w:line="168"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On behalf of each of the Underwriters</w:t>
      </w:r>
    </w:p>
    <w:p>
      <w:pPr>
        <w:sectPr>
          <w:pgSz w:w="11900" w:h="16838" w:orient="portrait"/>
          <w:cols w:equalWidth="0" w:num="1">
            <w:col w:w="10229"/>
          </w:cols>
          <w:pgMar w:left="230" w:top="622" w:right="1440" w:bottom="226" w:gutter="0" w:footer="0" w:header="0"/>
        </w:sectPr>
      </w:pPr>
    </w:p>
    <w:bookmarkStart w:id="54" w:name="page55"/>
    <w:bookmarkEnd w:id="54"/>
    <w:p>
      <w:pPr>
        <w:ind w:left="21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019"/>
          </w:cols>
          <w:pgMar w:left="1440" w:top="136" w:right="1440" w:bottom="1440" w:gutter="0" w:footer="0" w:header="0"/>
        </w:sectPr>
      </w:pPr>
    </w:p>
    <w:bookmarkStart w:id="55" w:name="page56"/>
    <w:bookmarkEnd w:id="55"/>
    <w:p>
      <w:pPr>
        <w:ind w:left="2980"/>
        <w:spacing w:after="0"/>
        <w:rPr>
          <w:sz w:val="20"/>
          <w:szCs w:val="20"/>
          <w:color w:val="auto"/>
        </w:rPr>
      </w:pPr>
      <w:r>
        <w:rPr>
          <w:rFonts w:ascii="Courier New" w:cs="Courier New" w:eastAsia="Courier New" w:hAnsi="Courier New"/>
          <w:sz w:val="14"/>
          <w:szCs w:val="14"/>
          <w:color w:val="auto"/>
        </w:rPr>
        <w:t>SCHEDULE I</w:t>
      </w:r>
    </w:p>
    <w:p>
      <w:pPr>
        <w:sectPr>
          <w:pgSz w:w="11900" w:h="16838" w:orient="portrait"/>
          <w:cols w:equalWidth="0" w:num="1">
            <w:col w:w="10219"/>
          </w:cols>
          <w:pgMar w:left="240" w:top="6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UNDERWRITER</w:t>
      </w:r>
    </w:p>
    <w:p>
      <w:pPr>
        <w:ind w:left="16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of Co-Representative(s)...........................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of other Underwriters]..............................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w:t>
      </w:r>
    </w:p>
    <w:p>
      <w:pPr>
        <w:spacing w:after="0"/>
        <w:rPr>
          <w:sz w:val="20"/>
          <w:szCs w:val="20"/>
          <w:color w:val="auto"/>
        </w:rPr>
      </w:pPr>
      <w:r>
        <w:rPr>
          <w:rFonts w:ascii="Courier New" w:cs="Courier New" w:eastAsia="Courier New" w:hAnsi="Courier New"/>
          <w:sz w:val="15"/>
          <w:szCs w:val="15"/>
          <w:color w:val="auto"/>
        </w:rPr>
        <w:t>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DESIGNATED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 BE</w:t>
      </w:r>
    </w:p>
    <w:p>
      <w:pPr>
        <w:spacing w:after="0"/>
        <w:rPr>
          <w:sz w:val="20"/>
          <w:szCs w:val="20"/>
          <w:color w:val="auto"/>
        </w:rPr>
      </w:pPr>
      <w:r>
        <w:rPr>
          <w:rFonts w:ascii="Courier New" w:cs="Courier New" w:eastAsia="Courier New" w:hAnsi="Courier New"/>
          <w:sz w:val="15"/>
          <w:szCs w:val="15"/>
          <w:color w:val="auto"/>
        </w:rPr>
        <w:t>PURCHASED</w:t>
      </w:r>
    </w:p>
    <w:p>
      <w:pPr>
        <w:spacing w:after="0"/>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sectPr>
          <w:pgSz w:w="11900" w:h="16838" w:orient="portrait"/>
          <w:cols w:equalWidth="0" w:num="2">
            <w:col w:w="5200" w:space="600"/>
            <w:col w:w="4419"/>
          </w:cols>
          <w:pgMar w:left="240" w:top="627" w:right="1440" w:bottom="1440" w:gutter="0" w:footer="0" w:header="0"/>
          <w:type w:val="continuous"/>
        </w:sectPr>
      </w:pP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200" w:space="700"/>
            <w:col w:w="4319"/>
          </w:cols>
          <w:pgMar w:left="240" w:top="627" w:right="1440" w:bottom="1440" w:gutter="0" w:footer="0" w:header="0"/>
          <w:type w:val="continuous"/>
        </w:sectPr>
      </w:pPr>
    </w:p>
    <w:p>
      <w:pPr>
        <w:spacing w:after="0" w:line="150" w:lineRule="exact"/>
        <w:rPr>
          <w:sz w:val="20"/>
          <w:szCs w:val="20"/>
          <w:color w:val="auto"/>
        </w:rPr>
      </w:pPr>
    </w:p>
    <w:p>
      <w:pPr>
        <w:ind w:left="334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627" w:right="1440" w:bottom="1440" w:gutter="0" w:footer="0" w:header="0"/>
          <w:type w:val="continuous"/>
        </w:sectPr>
      </w:pPr>
    </w:p>
    <w:bookmarkStart w:id="56" w:name="page57"/>
    <w:bookmarkEnd w:id="56"/>
    <w:p>
      <w:pPr>
        <w:ind w:left="3080"/>
        <w:spacing w:after="0"/>
        <w:rPr>
          <w:sz w:val="20"/>
          <w:szCs w:val="20"/>
          <w:color w:val="auto"/>
        </w:rPr>
      </w:pPr>
      <w:r>
        <w:rPr>
          <w:rFonts w:ascii="Courier New" w:cs="Courier New" w:eastAsia="Courier New" w:hAnsi="Courier New"/>
          <w:sz w:val="15"/>
          <w:szCs w:val="15"/>
          <w:color w:val="auto"/>
        </w:rPr>
        <w:t>SCHEDULE II</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Designated Securities: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principal amount: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to Public: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Price by Underwriters: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Designated Securities: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Specified funds for payment of purchase price: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of Delivery: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Indenture: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Indenture dated .................., 1997 between the Company and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as Trustee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Payment Dates: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Provisions: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Sinking Fund Provisions: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Extendable provisions (if 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Floating rate provisions (if 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 provisions: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Closing location for delivery of Designated Securities: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Closing Conditions: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Names and addresses of Representatives:</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Designated Representatives:</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Address for Notices, etc.:</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Terms: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58" w:name="page59"/>
    <w:bookmarkEnd w:id="58"/>
    <w:p>
      <w:pPr>
        <w:ind w:left="6080"/>
        <w:spacing w:after="0"/>
        <w:rPr>
          <w:sz w:val="20"/>
          <w:szCs w:val="20"/>
          <w:color w:val="auto"/>
        </w:rPr>
      </w:pPr>
      <w:r>
        <w:rPr>
          <w:rFonts w:ascii="Courier New" w:cs="Courier New" w:eastAsia="Courier New" w:hAnsi="Courier New"/>
          <w:sz w:val="15"/>
          <w:szCs w:val="15"/>
          <w:color w:val="auto"/>
        </w:rPr>
        <w:t>ANNEX II</w:t>
      </w:r>
    </w:p>
    <w:p>
      <w:pPr>
        <w:spacing w:after="0" w:line="344"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Pursuant to Section 7(d) of the Underwriting Agreement, KPMG Peat Marwick LLP shall furnish letters to the Underwriters to the effect that:</w:t>
      </w:r>
    </w:p>
    <w:p>
      <w:pPr>
        <w:spacing w:after="0" w:line="176" w:lineRule="exact"/>
        <w:rPr>
          <w:sz w:val="20"/>
          <w:szCs w:val="20"/>
          <w:color w:val="auto"/>
        </w:rPr>
      </w:pPr>
    </w:p>
    <w:p>
      <w:pPr>
        <w:ind w:left="600" w:right="3539" w:firstLine="184"/>
        <w:spacing w:after="0" w:line="237" w:lineRule="auto"/>
        <w:tabs>
          <w:tab w:leader="none" w:pos="121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are independent certified public accountants with respect to the Company and its subsidiaries and with respect to the James Hardie Irrigation Group within the meaning of the Act and the applicable published rules and regulations thereunder;</w:t>
      </w:r>
    </w:p>
    <w:p>
      <w:pPr>
        <w:spacing w:after="0" w:line="345" w:lineRule="exact"/>
        <w:rPr>
          <w:rFonts w:ascii="Courier New" w:cs="Courier New" w:eastAsia="Courier New" w:hAnsi="Courier New"/>
          <w:sz w:val="15"/>
          <w:szCs w:val="15"/>
          <w:color w:val="auto"/>
        </w:rPr>
      </w:pPr>
    </w:p>
    <w:p>
      <w:pPr>
        <w:ind w:left="600" w:right="3359" w:firstLine="184"/>
        <w:spacing w:after="0" w:line="239" w:lineRule="auto"/>
        <w:tabs>
          <w:tab w:leader="none" w:pos="121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opinion, the financial statements and any supplementary financial information and schedules of the Company and the James Hardie Irrigation Group audited (and, if applicable, financial forecasts and/or pro forma financial information) or examined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 and, if applicable, they have made a review in accordance with standards established by the American Institute of Certified Public Accountants of the consolidated interim financial statements, selected financial data, pro forma financial information, financial forecasts and/or condensed financial statements derived from audited financial statements of the Company for the periods specified in such letter, as indicated in their reports thereon, copies of which have been separately furnished to the representatives of the Underwriters (the "Representatives") such term to include an Underwriter or Underwriters who act without any firm being designated as its or their representatives;</w:t>
      </w:r>
    </w:p>
    <w:p>
      <w:pPr>
        <w:spacing w:after="0" w:line="344" w:lineRule="exact"/>
        <w:rPr>
          <w:rFonts w:ascii="Courier New" w:cs="Courier New" w:eastAsia="Courier New" w:hAnsi="Courier New"/>
          <w:sz w:val="15"/>
          <w:szCs w:val="15"/>
          <w:color w:val="auto"/>
        </w:rPr>
      </w:pPr>
    </w:p>
    <w:p>
      <w:pPr>
        <w:ind w:left="600" w:right="3439" w:firstLine="184"/>
        <w:spacing w:after="0" w:line="239" w:lineRule="auto"/>
        <w:tabs>
          <w:tab w:leader="none" w:pos="130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have made a review in accordance with standards established by the American Institute of Certified Public Accountants of the unaudited condensed consolidated statements of income, consolidated balance sheets and consolidated statements of cash flows included in the Prospectus and/or included in the Company's quarterly report on Form 10-Q incorporated by reference into the Prospectus as indicated in their reports thereon copies of which have been separately furnished to the Representatives; and on the basis of specified procedures including inquiries of officials of the Company who have responsibility for financial and accounting matters regarding whether the unaudited condensed consolidated financial statements referred to in paragraph (vi)(A)(i) below comply as to form in all material respects with the applicable accounting requirements of the Act and the Exchange Act and the related published rules and regulations, nothing came to their attention that caused them to believe that (i) the unaudited condensed consolidated financial statements do not comply as to form in all material respects with the applicable accounting requirements of the Act and the Exchange Act and the related published rules and regulations; or (ii) any material modification should be made to the unaudited condensed consolidated financial statements;</w:t>
      </w:r>
    </w:p>
    <w:p>
      <w:pPr>
        <w:spacing w:after="0" w:line="175" w:lineRule="exact"/>
        <w:rPr>
          <w:rFonts w:ascii="Courier New" w:cs="Courier New" w:eastAsia="Courier New" w:hAnsi="Courier New"/>
          <w:sz w:val="15"/>
          <w:szCs w:val="15"/>
          <w:color w:val="auto"/>
        </w:rPr>
      </w:pPr>
    </w:p>
    <w:p>
      <w:pPr>
        <w:ind w:left="600" w:right="3439" w:firstLine="184"/>
        <w:spacing w:after="0" w:line="257" w:lineRule="auto"/>
        <w:tabs>
          <w:tab w:leader="none" w:pos="130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selected financial information with respect to the consolidated results of operations and financial position of the Company for the five most recent fiscal years included in the Prospectus and included or incorporated by reference in the Company's Annual Report on Form 10-K for the most recent fiscal year agrees with the corresponding amounts (after restatement where applicable) in the audited consolidated financial statements for five such fiscal years which were included or incorporated by reference in the Company's Annual Reports on Form 10-K for such fiscal years;</w:t>
      </w:r>
    </w:p>
    <w:p>
      <w:pPr>
        <w:sectPr>
          <w:pgSz w:w="11900" w:h="16838" w:orient="portrait"/>
          <w:cols w:equalWidth="0" w:num="1">
            <w:col w:w="10219"/>
          </w:cols>
          <w:pgMar w:left="240" w:top="622" w:right="1440" w:bottom="1440" w:gutter="0" w:footer="0" w:header="0"/>
        </w:sectPr>
      </w:pPr>
    </w:p>
    <w:bookmarkStart w:id="59" w:name="page60"/>
    <w:bookmarkEnd w:id="59"/>
    <w:p>
      <w:pPr>
        <w:ind w:left="-184" w:right="3539" w:firstLine="184"/>
        <w:spacing w:after="0" w:line="257" w:lineRule="auto"/>
        <w:tabs>
          <w:tab w:leader="none" w:pos="52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They have compared the information in the Prospectus under selected captions with the disclosure requirements of Regulation S-K and on the basis of limited procedures specified in such letter nothing came to their attention as a result of the foregoing procedures that caused them to believe that this information does not conform in all material respects with the disclosure requirements of Items 301, 302, 402 and 503(d), respectively, of Regulation S-K;</w:t>
      </w:r>
    </w:p>
    <w:p>
      <w:pPr>
        <w:spacing w:after="0" w:line="336" w:lineRule="exact"/>
        <w:rPr>
          <w:rFonts w:ascii="Courier New" w:cs="Courier New" w:eastAsia="Courier New" w:hAnsi="Courier New"/>
          <w:sz w:val="14"/>
          <w:szCs w:val="14"/>
          <w:color w:val="auto"/>
        </w:rPr>
      </w:pPr>
    </w:p>
    <w:p>
      <w:pPr>
        <w:ind w:left="-184" w:right="3439" w:firstLine="184"/>
        <w:spacing w:after="0" w:line="238" w:lineRule="auto"/>
        <w:tabs>
          <w:tab w:leader="none" w:pos="52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basis of limited procedures, not constituting an audit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or incorporated by reference in the Prospectus, inquiries of officials of the Company and its subsidiaries responsible for financial and accounting matters and such other inquiries and procedures as may be specified in such letter, nothing came to their attention that caused them to believe that:</w:t>
      </w:r>
    </w:p>
    <w:p>
      <w:pPr>
        <w:spacing w:after="0" w:line="351" w:lineRule="exact"/>
        <w:rPr>
          <w:rFonts w:ascii="Courier New" w:cs="Courier New" w:eastAsia="Courier New" w:hAnsi="Courier New"/>
          <w:sz w:val="15"/>
          <w:szCs w:val="15"/>
          <w:color w:val="auto"/>
        </w:rPr>
      </w:pPr>
    </w:p>
    <w:p>
      <w:pPr>
        <w:ind w:left="256" w:right="3439" w:firstLine="184"/>
        <w:spacing w:after="0" w:line="257" w:lineRule="auto"/>
        <w:tabs>
          <w:tab w:leader="none" w:pos="873"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unaudited condensed consolidated statements of income, consolidated balance sheets and consolidated statements of cash flows included in the Prospectus and/or included or incorporated by reference in the Company's Quarterly Reports on Form 10-Q incorporated by reference in the Prospectus do not comply as to form in all material respects with the applicable accounting requirements of the Exchange Act and the related published rules and regulations, or (ii) any material modifications should be made to the unaudited condensed consolidated statements of income, consolidated balance sheets and consolidated statements of cash flows included in the Prospectus or included in the Company's Quarterly Reports on Form 10-Q incorporated by reference in the Prospectus for them to be in conformity with generally accepted accounting principles;</w:t>
      </w:r>
    </w:p>
    <w:p>
      <w:pPr>
        <w:spacing w:after="0" w:line="164" w:lineRule="exact"/>
        <w:rPr>
          <w:rFonts w:ascii="Courier New" w:cs="Courier New" w:eastAsia="Courier New" w:hAnsi="Courier New"/>
          <w:sz w:val="14"/>
          <w:szCs w:val="14"/>
          <w:color w:val="auto"/>
        </w:rPr>
      </w:pPr>
    </w:p>
    <w:p>
      <w:pPr>
        <w:ind w:left="256" w:right="3439" w:firstLine="184"/>
        <w:spacing w:after="0" w:line="238" w:lineRule="auto"/>
        <w:tabs>
          <w:tab w:leader="none" w:pos="873"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or incorporated by reference in the Company's Annual Report on Form 10-K for the most recent fiscal year;</w:t>
      </w:r>
    </w:p>
    <w:p>
      <w:pPr>
        <w:spacing w:after="0" w:line="178" w:lineRule="exact"/>
        <w:rPr>
          <w:rFonts w:ascii="Courier New" w:cs="Courier New" w:eastAsia="Courier New" w:hAnsi="Courier New"/>
          <w:sz w:val="15"/>
          <w:szCs w:val="15"/>
          <w:color w:val="auto"/>
        </w:rPr>
      </w:pPr>
    </w:p>
    <w:p>
      <w:pPr>
        <w:ind w:left="256" w:right="3439" w:firstLine="184"/>
        <w:spacing w:after="0" w:line="238" w:lineRule="auto"/>
        <w:tabs>
          <w:tab w:leader="none" w:pos="873"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financial statements which were not included in the Prospectus but from which were derived the unaudited condensed financial statements referred to in clause (A) and any unaudited income statement data and balance sheet items included in the Prospectus and referred to in Clause (B) were not determined on a basis substantially consistent with the basis for the audited financial statements included or incorporated by reference in the Company's Annual Report on Form 10-K for the most recent fiscal year;</w:t>
      </w:r>
    </w:p>
    <w:p>
      <w:pPr>
        <w:spacing w:after="0" w:line="178" w:lineRule="exact"/>
        <w:rPr>
          <w:rFonts w:ascii="Courier New" w:cs="Courier New" w:eastAsia="Courier New" w:hAnsi="Courier New"/>
          <w:sz w:val="15"/>
          <w:szCs w:val="15"/>
          <w:color w:val="auto"/>
        </w:rPr>
      </w:pPr>
    </w:p>
    <w:p>
      <w:pPr>
        <w:ind w:left="256" w:right="3439" w:firstLine="184"/>
        <w:spacing w:after="0" w:line="238" w:lineRule="auto"/>
        <w:tabs>
          <w:tab w:leader="none" w:pos="873"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unaudited pro forma consolidated condensed financial statements included or incorporated by reference in the Prospectus do not comply as to form in all material respects with the applicable accounting requirements of the Act and the published rules and regulations thereunder or the pro forma adjustments</w:t>
      </w:r>
    </w:p>
    <w:p>
      <w:pPr>
        <w:spacing w:after="0" w:line="339" w:lineRule="exact"/>
        <w:rPr>
          <w:sz w:val="20"/>
          <w:szCs w:val="20"/>
          <w:color w:val="auto"/>
        </w:rPr>
      </w:pPr>
    </w:p>
    <w:p>
      <w:pPr>
        <w:ind w:left="255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436"/>
          </w:cols>
          <w:pgMar w:left="1024" w:top="627" w:right="1440" w:bottom="1440" w:gutter="0" w:footer="0" w:header="0"/>
        </w:sectPr>
      </w:pPr>
    </w:p>
    <w:bookmarkStart w:id="60" w:name="page61"/>
    <w:bookmarkEnd w:id="60"/>
    <w:p>
      <w:pPr>
        <w:ind w:left="1040" w:right="3619"/>
        <w:spacing w:after="0" w:line="235" w:lineRule="auto"/>
        <w:rPr>
          <w:sz w:val="20"/>
          <w:szCs w:val="20"/>
          <w:color w:val="auto"/>
        </w:rPr>
      </w:pPr>
      <w:r>
        <w:rPr>
          <w:rFonts w:ascii="Courier New" w:cs="Courier New" w:eastAsia="Courier New" w:hAnsi="Courier New"/>
          <w:sz w:val="15"/>
          <w:szCs w:val="15"/>
          <w:color w:val="auto"/>
        </w:rPr>
        <w:t>have not been properly applied to the historical amounts in the compilation of those statements;</w:t>
      </w:r>
    </w:p>
    <w:p>
      <w:pPr>
        <w:spacing w:after="0" w:line="176" w:lineRule="exact"/>
        <w:rPr>
          <w:sz w:val="20"/>
          <w:szCs w:val="20"/>
          <w:color w:val="auto"/>
        </w:rPr>
      </w:pPr>
    </w:p>
    <w:p>
      <w:pPr>
        <w:ind w:left="1040" w:right="3439" w:firstLine="184"/>
        <w:spacing w:after="0" w:line="238" w:lineRule="auto"/>
        <w:tabs>
          <w:tab w:leader="none" w:pos="1657"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a specified date not more than five days prior to the date of such letter,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the latest balance sheet included or incorporated by reference in the Prospectus) or any increase in the consolidated long-term debt of the Company and its subsidiaries, or any decreases in consolidated net current assets or stockholders' equity or other items specified by the Representatives, or any increases in any items specified by the Representatives, in each case as compared with amounts shown in the latest balance sheet included or incorporated by reference in the Prospectus, except in each case for changes, increases or decreases which the Prospectus discloses have occurred or may occur or which are described in such letter; and</w:t>
      </w:r>
    </w:p>
    <w:p>
      <w:pPr>
        <w:spacing w:after="0" w:line="186" w:lineRule="exact"/>
        <w:rPr>
          <w:rFonts w:ascii="Courier New" w:cs="Courier New" w:eastAsia="Courier New" w:hAnsi="Courier New"/>
          <w:sz w:val="15"/>
          <w:szCs w:val="15"/>
          <w:color w:val="auto"/>
        </w:rPr>
      </w:pPr>
    </w:p>
    <w:p>
      <w:pPr>
        <w:ind w:left="1040" w:right="3439" w:firstLine="184"/>
        <w:spacing w:after="0" w:line="257" w:lineRule="auto"/>
        <w:tabs>
          <w:tab w:leader="none" w:pos="1657" w:val="left"/>
        </w:tabs>
        <w:numPr>
          <w:ilvl w:val="2"/>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period from the date of the latest financial statements included or incorporated by reference in the Prospectus to the specified date referred to in Clause (E) there were any decreases in consolidated net revenues or operating profit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increases or decreases which the Prospectus discloses have occurred or may occur or which are described in such letter; and</w:t>
      </w:r>
    </w:p>
    <w:p>
      <w:pPr>
        <w:spacing w:after="0" w:line="165" w:lineRule="exact"/>
        <w:rPr>
          <w:rFonts w:ascii="Courier New" w:cs="Courier New" w:eastAsia="Courier New" w:hAnsi="Courier New"/>
          <w:sz w:val="14"/>
          <w:szCs w:val="14"/>
          <w:color w:val="auto"/>
        </w:rPr>
      </w:pPr>
    </w:p>
    <w:p>
      <w:pPr>
        <w:ind w:left="600" w:right="3439" w:firstLine="184"/>
        <w:spacing w:after="0" w:line="257" w:lineRule="auto"/>
        <w:tabs>
          <w:tab w:leader="none" w:pos="1393"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audit referred to in their report(s) included or incorporated by reference in the Prospectus and the limited procedures, inspection of minute books, inquiries and other procedures referred to in paragraphs (iii) and (vi) above, they have carried out certain specified procedures, not constituting an audit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(excluding documents incorporated by reference), or in Part II of, or in exhibits and schedules to, the Registration Statement specified by the Representatives or in documents incorporated by reference in the Prospectus specified by the Representatives, and have compared certain of such amounts, percentages and financial information with the accounting records of the Company and its subsidiaries and have found them to be in agreement.</w:t>
      </w:r>
    </w:p>
    <w:p>
      <w:pPr>
        <w:spacing w:after="0" w:line="164" w:lineRule="exact"/>
        <w:rPr>
          <w:sz w:val="20"/>
          <w:szCs w:val="20"/>
          <w:color w:val="auto"/>
        </w:rPr>
      </w:pPr>
    </w:p>
    <w:p>
      <w:pPr>
        <w:ind w:right="3699" w:firstLine="441"/>
        <w:spacing w:after="0" w:line="238" w:lineRule="auto"/>
        <w:rPr>
          <w:sz w:val="20"/>
          <w:szCs w:val="20"/>
          <w:color w:val="auto"/>
        </w:rPr>
      </w:pPr>
      <w:r>
        <w:rPr>
          <w:rFonts w:ascii="Courier New" w:cs="Courier New" w:eastAsia="Courier New" w:hAnsi="Courier New"/>
          <w:sz w:val="15"/>
          <w:szCs w:val="15"/>
          <w:color w:val="auto"/>
        </w:rPr>
        <w:t>All references in this Annex II to the Prospectus shall be deemed to refer to the Prospectus (including the documents incorporated by reference therein) as defined in the Underwriting Agreement as of the date of the letter delivered on the date of the Pricing Agreement for purposes of such letter and to the Prospectus as amended or supplemented (including the documents incorporated by reference therein) in relation to the applicable Designated Securities for purposes of the letter delivered at the Time of Delivery for such Designated Securities.</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61" w:name="page62"/>
    <w:bookmarkEnd w:id="61"/>
    <w:p>
      <w:pPr>
        <w:ind w:left="5990"/>
        <w:spacing w:after="0"/>
        <w:rPr>
          <w:sz w:val="20"/>
          <w:szCs w:val="20"/>
          <w:color w:val="auto"/>
        </w:rPr>
      </w:pPr>
      <w:r>
        <w:rPr>
          <w:rFonts w:ascii="Courier New" w:cs="Courier New" w:eastAsia="Courier New" w:hAnsi="Courier New"/>
          <w:sz w:val="15"/>
          <w:szCs w:val="15"/>
          <w:color w:val="auto"/>
        </w:rPr>
        <w:t>EXHIBIT 12</w:t>
      </w:r>
    </w:p>
    <w:p>
      <w:pPr>
        <w:spacing w:after="0" w:line="169" w:lineRule="exact"/>
        <w:rPr>
          <w:sz w:val="20"/>
          <w:szCs w:val="20"/>
          <w:color w:val="auto"/>
        </w:rPr>
      </w:pPr>
    </w:p>
    <w:p>
      <w:pPr>
        <w:jc w:val="center"/>
        <w:ind w:right="3070"/>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Computation of Ratio of Earnings to Fixed Charges</w:t>
      </w:r>
    </w:p>
    <w:p>
      <w:pPr>
        <w:jc w:val="center"/>
        <w:ind w:right="307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9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09"/>
        </w:trPr>
        <w:tc>
          <w:tcPr>
            <w:tcW w:w="2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Transition</w:t>
            </w:r>
          </w:p>
        </w:tc>
        <w:tc>
          <w:tcPr>
            <w:tcW w:w="1240" w:type="dxa"/>
            <w:vAlign w:val="bottom"/>
          </w:tcPr>
          <w:p>
            <w:pPr>
              <w:spacing w:after="0"/>
              <w:rPr>
                <w:sz w:val="24"/>
                <w:szCs w:val="24"/>
                <w:color w:val="auto"/>
              </w:rPr>
            </w:pPr>
          </w:p>
        </w:tc>
      </w:tr>
      <w:tr>
        <w:trPr>
          <w:trHeight w:val="170"/>
        </w:trPr>
        <w:tc>
          <w:tcPr>
            <w:tcW w:w="2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period</w:t>
            </w:r>
          </w:p>
        </w:tc>
        <w:tc>
          <w:tcPr>
            <w:tcW w:w="124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Year ended July 31,</w:t>
            </w:r>
          </w:p>
        </w:tc>
        <w:tc>
          <w:tcPr>
            <w:tcW w:w="880" w:type="dxa"/>
            <w:vAlign w:val="bottom"/>
          </w:tcPr>
          <w:p>
            <w:pPr>
              <w:spacing w:after="0"/>
              <w:rPr>
                <w:sz w:val="14"/>
                <w:szCs w:val="1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ended</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264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October 31,</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October 31,</w:t>
            </w:r>
          </w:p>
        </w:tc>
      </w:tr>
      <w:tr>
        <w:trPr>
          <w:trHeight w:val="170"/>
        </w:trPr>
        <w:tc>
          <w:tcPr>
            <w:tcW w:w="2640" w:type="dxa"/>
            <w:vAlign w:val="bottom"/>
          </w:tcPr>
          <w:p>
            <w:pPr>
              <w:spacing w:after="0"/>
              <w:rPr>
                <w:sz w:val="14"/>
                <w:szCs w:val="14"/>
                <w:color w:val="auto"/>
              </w:rPr>
            </w:pPr>
          </w:p>
        </w:tc>
        <w:tc>
          <w:tcPr>
            <w:tcW w:w="1220" w:type="dxa"/>
            <w:vAlign w:val="bottom"/>
          </w:tcPr>
          <w:p>
            <w:pPr>
              <w:jc w:val="right"/>
              <w:ind w:right="371"/>
              <w:spacing w:after="0"/>
              <w:rPr>
                <w:sz w:val="20"/>
                <w:szCs w:val="20"/>
                <w:color w:val="auto"/>
              </w:rPr>
            </w:pPr>
            <w:r>
              <w:rPr>
                <w:rFonts w:ascii="Courier New" w:cs="Courier New" w:eastAsia="Courier New" w:hAnsi="Courier New"/>
                <w:sz w:val="15"/>
                <w:szCs w:val="15"/>
                <w:color w:val="auto"/>
              </w:rPr>
              <w:t>1992</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w w:val="71"/>
              </w:rPr>
              <w:t>- -------------------------------------------------------------------------</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Earnings before income</w:t>
            </w: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taxes</w:t>
            </w:r>
          </w:p>
        </w:tc>
        <w:tc>
          <w:tcPr>
            <w:tcW w:w="122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 (34,903)</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$21,355</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$ 37,050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$61,112</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$6,606</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$60,180</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Plus: Fixed charges (1)</w:t>
            </w:r>
          </w:p>
        </w:tc>
        <w:tc>
          <w:tcPr>
            <w:tcW w:w="1220" w:type="dxa"/>
            <w:vAlign w:val="bottom"/>
          </w:tcPr>
          <w:p>
            <w:pPr>
              <w:jc w:val="right"/>
              <w:ind w:right="271"/>
              <w:spacing w:after="0"/>
              <w:rPr>
                <w:sz w:val="20"/>
                <w:szCs w:val="20"/>
                <w:color w:val="auto"/>
              </w:rPr>
            </w:pPr>
            <w:r>
              <w:rPr>
                <w:rFonts w:ascii="Courier New" w:cs="Courier New" w:eastAsia="Courier New" w:hAnsi="Courier New"/>
                <w:sz w:val="15"/>
                <w:szCs w:val="15"/>
                <w:color w:val="auto"/>
              </w:rPr>
              <w:t>21,253</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19,142</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15,989</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14,892</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3,266</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16,728</w:t>
            </w:r>
          </w:p>
        </w:tc>
      </w:tr>
    </w:tbl>
    <w:p>
      <w:pPr>
        <w:spacing w:after="0" w:line="5" w:lineRule="exact"/>
        <w:rPr>
          <w:sz w:val="20"/>
          <w:szCs w:val="20"/>
          <w:color w:val="auto"/>
        </w:rPr>
      </w:pPr>
    </w:p>
    <w:p>
      <w:pPr>
        <w:ind w:left="170" w:hanging="170"/>
        <w:spacing w:after="0"/>
        <w:tabs>
          <w:tab w:leader="none" w:pos="17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Earnings available to cover</w:t>
      </w:r>
    </w:p>
    <w:p>
      <w:pPr>
        <w:ind w:left="270"/>
        <w:spacing w:after="0"/>
        <w:tabs>
          <w:tab w:leader="none" w:pos="2709" w:val="left"/>
          <w:tab w:leader="none" w:pos="3149" w:val="left"/>
          <w:tab w:leader="none" w:pos="3849" w:val="left"/>
          <w:tab w:leader="none" w:pos="4749" w:val="left"/>
          <w:tab w:leader="none" w:pos="5709" w:val="left"/>
          <w:tab w:leader="none" w:pos="7029" w:val="left"/>
          <w:tab w:leader="none" w:pos="8089" w:val="left"/>
        </w:tabs>
        <w:rPr>
          <w:sz w:val="20"/>
          <w:szCs w:val="20"/>
          <w:color w:val="auto"/>
        </w:rPr>
      </w:pPr>
      <w:r>
        <w:rPr>
          <w:rFonts w:ascii="Courier New" w:cs="Courier New" w:eastAsia="Courier New" w:hAnsi="Courier New"/>
          <w:sz w:val="15"/>
          <w:szCs w:val="15"/>
          <w:color w:val="auto"/>
        </w:rPr>
        <w:t>fixed charges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w:t>
        <w:tab/>
        <w:t>$40,497</w:t>
      </w:r>
      <w:r>
        <w:rPr>
          <w:sz w:val="20"/>
          <w:szCs w:val="20"/>
          <w:color w:val="auto"/>
        </w:rPr>
        <w:tab/>
      </w:r>
      <w:r>
        <w:rPr>
          <w:rFonts w:ascii="Courier New" w:cs="Courier New" w:eastAsia="Courier New" w:hAnsi="Courier New"/>
          <w:sz w:val="15"/>
          <w:szCs w:val="15"/>
          <w:color w:val="auto"/>
        </w:rPr>
        <w:t>$53,039</w:t>
      </w:r>
      <w:r>
        <w:rPr>
          <w:sz w:val="20"/>
          <w:szCs w:val="20"/>
          <w:color w:val="auto"/>
        </w:rPr>
        <w:tab/>
      </w:r>
      <w:r>
        <w:rPr>
          <w:rFonts w:ascii="Courier New" w:cs="Courier New" w:eastAsia="Courier New" w:hAnsi="Courier New"/>
          <w:sz w:val="15"/>
          <w:szCs w:val="15"/>
          <w:color w:val="auto"/>
        </w:rPr>
        <w:t>$76,004</w:t>
      </w:r>
      <w:r>
        <w:rPr>
          <w:sz w:val="20"/>
          <w:szCs w:val="20"/>
          <w:color w:val="auto"/>
        </w:rPr>
        <w:tab/>
      </w:r>
      <w:r>
        <w:rPr>
          <w:rFonts w:ascii="Courier New" w:cs="Courier New" w:eastAsia="Courier New" w:hAnsi="Courier New"/>
          <w:sz w:val="15"/>
          <w:szCs w:val="15"/>
          <w:color w:val="auto"/>
        </w:rPr>
        <w:t>$9,872</w:t>
      </w:r>
      <w:r>
        <w:rPr>
          <w:sz w:val="20"/>
          <w:szCs w:val="20"/>
          <w:color w:val="auto"/>
        </w:rPr>
        <w:tab/>
      </w:r>
      <w:r>
        <w:rPr>
          <w:rFonts w:ascii="Courier New" w:cs="Courier New" w:eastAsia="Courier New" w:hAnsi="Courier New"/>
          <w:sz w:val="14"/>
          <w:szCs w:val="14"/>
          <w:color w:val="auto"/>
        </w:rPr>
        <w:t>$76,908</w:t>
      </w:r>
    </w:p>
    <w:p>
      <w:pPr>
        <w:spacing w:after="0" w:line="4" w:lineRule="exact"/>
        <w:rPr>
          <w:sz w:val="20"/>
          <w:szCs w:val="20"/>
          <w:color w:val="auto"/>
        </w:rPr>
      </w:pPr>
    </w:p>
    <w:p>
      <w:pPr>
        <w:ind w:left="170" w:hanging="170"/>
        <w:spacing w:after="0"/>
        <w:tabs>
          <w:tab w:leader="none" w:pos="17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Ratio of earnings to</w:t>
      </w:r>
    </w:p>
    <w:tbl>
      <w:tblPr>
        <w:tblLayout w:type="fixed"/>
        <w:tblInd w:w="270" w:type="dxa"/>
        <w:tblCellMar>
          <w:top w:w="0" w:type="dxa"/>
          <w:left w:w="0" w:type="dxa"/>
          <w:bottom w:w="0" w:type="dxa"/>
          <w:right w:w="0" w:type="dxa"/>
        </w:tblCellMar>
      </w:tblPr>
      <w:tr>
        <w:trPr>
          <w:trHeight w:val="169"/>
        </w:trPr>
        <w:tc>
          <w:tcPr>
            <w:tcW w:w="202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3.32</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5.10</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4.60</w:t>
            </w:r>
          </w:p>
        </w:tc>
      </w:tr>
    </w:tbl>
    <w:p>
      <w:pPr>
        <w:spacing w:after="0" w:line="5" w:lineRule="exact"/>
        <w:rPr>
          <w:sz w:val="20"/>
          <w:szCs w:val="20"/>
          <w:color w:val="auto"/>
        </w:rPr>
      </w:pPr>
    </w:p>
    <w:p>
      <w:pPr>
        <w:ind w:left="170" w:hanging="170"/>
        <w:spacing w:after="0"/>
        <w:tabs>
          <w:tab w:leader="none" w:pos="17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(1)</w:t>
        <w:tab/>
        <w:t>Fixed Charges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Transition</w:t>
            </w:r>
          </w:p>
        </w:tc>
        <w:tc>
          <w:tcPr>
            <w:tcW w:w="124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period</w:t>
            </w:r>
          </w:p>
        </w:tc>
        <w:tc>
          <w:tcPr>
            <w:tcW w:w="124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Year ended July 31,</w:t>
            </w:r>
          </w:p>
        </w:tc>
        <w:tc>
          <w:tcPr>
            <w:tcW w:w="96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ended</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264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7"/>
              </w:rPr>
              <w:t>-------------------------------------------</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October 31,</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October 31,</w:t>
            </w:r>
          </w:p>
        </w:tc>
      </w:tr>
      <w:tr>
        <w:trPr>
          <w:trHeight w:val="170"/>
        </w:trPr>
        <w:tc>
          <w:tcPr>
            <w:tcW w:w="2640" w:type="dxa"/>
            <w:vAlign w:val="bottom"/>
          </w:tcPr>
          <w:p>
            <w:pPr>
              <w:spacing w:after="0"/>
              <w:rPr>
                <w:sz w:val="14"/>
                <w:szCs w:val="14"/>
                <w:color w:val="auto"/>
              </w:rPr>
            </w:pPr>
          </w:p>
        </w:tc>
        <w:tc>
          <w:tcPr>
            <w:tcW w:w="1220" w:type="dxa"/>
            <w:vAlign w:val="bottom"/>
          </w:tcPr>
          <w:p>
            <w:pPr>
              <w:jc w:val="right"/>
              <w:ind w:right="372"/>
              <w:spacing w:after="0"/>
              <w:rPr>
                <w:sz w:val="20"/>
                <w:szCs w:val="20"/>
                <w:color w:val="auto"/>
              </w:rPr>
            </w:pPr>
            <w:r>
              <w:rPr>
                <w:rFonts w:ascii="Courier New" w:cs="Courier New" w:eastAsia="Courier New" w:hAnsi="Courier New"/>
                <w:sz w:val="15"/>
                <w:szCs w:val="15"/>
                <w:color w:val="auto"/>
              </w:rPr>
              <w:t>1992</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w w:val="71"/>
              </w:rPr>
              <w:t>- -------------------------------------------------------------------------</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220" w:type="dxa"/>
            <w:vAlign w:val="bottom"/>
          </w:tcPr>
          <w:p>
            <w:pPr>
              <w:jc w:val="right"/>
              <w:ind w:right="272"/>
              <w:spacing w:after="0"/>
              <w:rPr>
                <w:sz w:val="20"/>
                <w:szCs w:val="20"/>
                <w:color w:val="auto"/>
              </w:rPr>
            </w:pPr>
            <w:r>
              <w:rPr>
                <w:rFonts w:ascii="Courier New" w:cs="Courier New" w:eastAsia="Courier New" w:hAnsi="Courier New"/>
                <w:sz w:val="15"/>
                <w:szCs w:val="15"/>
                <w:color w:val="auto"/>
              </w:rPr>
              <w:t>$18,726</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$17,150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$13,562</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$11,902</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$2,532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$13,590</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Rentals (interest factor)</w:t>
            </w:r>
          </w:p>
        </w:tc>
        <w:tc>
          <w:tcPr>
            <w:tcW w:w="1220" w:type="dxa"/>
            <w:vAlign w:val="bottom"/>
          </w:tcPr>
          <w:p>
            <w:pPr>
              <w:jc w:val="right"/>
              <w:ind w:right="272"/>
              <w:spacing w:after="0"/>
              <w:rPr>
                <w:sz w:val="20"/>
                <w:szCs w:val="20"/>
                <w:color w:val="auto"/>
              </w:rPr>
            </w:pPr>
            <w:r>
              <w:rPr>
                <w:rFonts w:ascii="Courier New" w:cs="Courier New" w:eastAsia="Courier New" w:hAnsi="Courier New"/>
                <w:sz w:val="15"/>
                <w:szCs w:val="15"/>
                <w:color w:val="auto"/>
              </w:rPr>
              <w:t>2,527</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2,427</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2,990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734</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3,138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Total fixed charges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$21,253</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$19,142</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$15,989</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$14,892</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$3,266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$16,728</w:t>
            </w:r>
          </w:p>
        </w:tc>
      </w:tr>
    </w:tbl>
    <w:p>
      <w:pPr>
        <w:spacing w:after="0" w:line="5" w:lineRule="exact"/>
        <w:rPr>
          <w:sz w:val="20"/>
          <w:szCs w:val="20"/>
          <w:color w:val="auto"/>
        </w:rPr>
      </w:pPr>
    </w:p>
    <w:p>
      <w:pPr>
        <w:ind w:left="170" w:hanging="170"/>
        <w:spacing w:after="0"/>
        <w:tabs>
          <w:tab w:leader="none" w:pos="17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50" w:right="3979" w:hanging="450"/>
        <w:spacing w:after="0" w:line="235" w:lineRule="auto"/>
        <w:tabs>
          <w:tab w:leader="none" w:pos="45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fiscal year ended July 31, 1992, earnings were insufficient to cover fixed charges by $34,903,000.</w:t>
      </w:r>
    </w:p>
    <w:p>
      <w:pPr>
        <w:sectPr>
          <w:pgSz w:w="11900" w:h="16838" w:orient="portrait"/>
          <w:cols w:equalWidth="0" w:num="1">
            <w:col w:w="10229"/>
          </w:cols>
          <w:pgMar w:left="230" w:top="644" w:right="1440" w:bottom="1440" w:gutter="0" w:footer="0" w:header="0"/>
        </w:sectPr>
      </w:pPr>
    </w:p>
    <w:bookmarkStart w:id="62" w:name="page63"/>
    <w:bookmarkEnd w:id="62"/>
    <w:p>
      <w:pPr>
        <w:jc w:val="center"/>
        <w:ind w:right="4370"/>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169" w:lineRule="exact"/>
        <w:rPr>
          <w:sz w:val="20"/>
          <w:szCs w:val="20"/>
          <w:color w:val="auto"/>
        </w:rPr>
      </w:pPr>
    </w:p>
    <w:p>
      <w:pPr>
        <w:jc w:val="center"/>
        <w:ind w:right="4390"/>
        <w:spacing w:after="0"/>
        <w:rPr>
          <w:sz w:val="20"/>
          <w:szCs w:val="20"/>
          <w:color w:val="auto"/>
        </w:rPr>
      </w:pPr>
      <w:r>
        <w:rPr>
          <w:rFonts w:ascii="Courier New" w:cs="Courier New" w:eastAsia="Courier New" w:hAnsi="Courier New"/>
          <w:sz w:val="15"/>
          <w:szCs w:val="15"/>
          <w:color w:val="auto"/>
        </w:rPr>
        <w:t>Computation of Ratio of Earnings to Fixed Charges</w:t>
      </w:r>
    </w:p>
    <w:p>
      <w:pPr>
        <w:jc w:val="center"/>
        <w:ind w:right="437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 forma</w:t>
            </w:r>
          </w:p>
        </w:tc>
        <w:tc>
          <w:tcPr>
            <w:tcW w:w="25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246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Year ended</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Year ended</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Year ended</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Year ended</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Year ended</w:t>
            </w:r>
          </w:p>
        </w:tc>
        <w:tc>
          <w:tcPr>
            <w:tcW w:w="2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46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October 30,</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October 29,</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October 28,</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October 31,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October 31,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October 31,</w:t>
            </w:r>
          </w:p>
        </w:tc>
        <w:tc>
          <w:tcPr>
            <w:tcW w:w="2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February 2, January 31,</w:t>
            </w:r>
          </w:p>
        </w:tc>
      </w:tr>
      <w:tr>
        <w:trPr>
          <w:trHeight w:val="170"/>
        </w:trPr>
        <w:tc>
          <w:tcPr>
            <w:tcW w:w="24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1992</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5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4"/>
              </w:rPr>
              <w:t>1996</w:t>
            </w:r>
          </w:p>
        </w:tc>
      </w:tr>
      <w:tr>
        <w:trPr>
          <w:trHeight w:val="170"/>
        </w:trPr>
        <w:tc>
          <w:tcPr>
            <w:tcW w:w="3560" w:type="dxa"/>
            <w:vAlign w:val="bottom"/>
            <w:gridSpan w:val="2"/>
          </w:tcPr>
          <w:p>
            <w:pPr>
              <w:spacing w:after="0"/>
              <w:rPr>
                <w:sz w:val="20"/>
                <w:szCs w:val="20"/>
                <w:color w:val="auto"/>
              </w:rPr>
            </w:pPr>
            <w:r>
              <w:rPr>
                <w:rFonts w:ascii="Courier New" w:cs="Courier New" w:eastAsia="Courier New" w:hAnsi="Courier New"/>
                <w:sz w:val="10"/>
                <w:szCs w:val="10"/>
                <w:color w:val="auto"/>
                <w:w w:val="78"/>
              </w:rPr>
              <w:t>- -------------------------------------------------------------------------</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0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Earnings before income</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taxes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(31,792)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$24,868</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$54,045</w:t>
            </w: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1"/>
              </w:rPr>
              <w:t>$53,881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$60,180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$50,286</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$14,049</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$4,117</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Plus: Fixed charges (1)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20,730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18,405</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15,273</w:t>
            </w: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14,944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16,728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26,246</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4,632</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3,689</w:t>
            </w:r>
          </w:p>
        </w:tc>
      </w:tr>
    </w:tbl>
    <w:p>
      <w:pPr>
        <w:spacing w:after="0" w:line="5" w:lineRule="exact"/>
        <w:rPr>
          <w:sz w:val="20"/>
          <w:szCs w:val="20"/>
          <w:color w:val="auto"/>
        </w:rPr>
      </w:pPr>
    </w:p>
    <w:p>
      <w:pPr>
        <w:ind w:left="170" w:hanging="170"/>
        <w:spacing w:after="0"/>
        <w:tabs>
          <w:tab w:leader="none" w:pos="17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Earnings available to cover</w:t>
      </w:r>
    </w:p>
    <w:p>
      <w:pPr>
        <w:ind w:left="270"/>
        <w:spacing w:after="0"/>
        <w:tabs>
          <w:tab w:leader="none" w:pos="2529" w:val="left"/>
          <w:tab w:leader="none" w:pos="2969" w:val="left"/>
          <w:tab w:leader="none" w:pos="3769" w:val="left"/>
          <w:tab w:leader="none" w:pos="4649" w:val="left"/>
          <w:tab w:leader="none" w:pos="5709" w:val="left"/>
          <w:tab w:leader="none" w:pos="6949" w:val="left"/>
          <w:tab w:leader="none" w:pos="8089" w:val="left"/>
          <w:tab w:leader="none" w:pos="9329" w:val="left"/>
          <w:tab w:leader="none" w:pos="10549" w:val="left"/>
        </w:tabs>
        <w:rPr>
          <w:sz w:val="20"/>
          <w:szCs w:val="20"/>
          <w:color w:val="auto"/>
        </w:rPr>
      </w:pPr>
      <w:r>
        <w:rPr>
          <w:rFonts w:ascii="Courier New" w:cs="Courier New" w:eastAsia="Courier New" w:hAnsi="Courier New"/>
          <w:sz w:val="15"/>
          <w:szCs w:val="15"/>
          <w:color w:val="auto"/>
        </w:rPr>
        <w:t>fixed charges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$43,273</w:t>
        <w:tab/>
        <w:t>$69,318</w:t>
      </w:r>
      <w:r>
        <w:rPr>
          <w:sz w:val="20"/>
          <w:szCs w:val="20"/>
          <w:color w:val="auto"/>
        </w:rPr>
        <w:tab/>
      </w:r>
      <w:r>
        <w:rPr>
          <w:rFonts w:ascii="Courier New" w:cs="Courier New" w:eastAsia="Courier New" w:hAnsi="Courier New"/>
          <w:sz w:val="15"/>
          <w:szCs w:val="15"/>
          <w:color w:val="auto"/>
        </w:rPr>
        <w:t>$68,825</w:t>
      </w:r>
      <w:r>
        <w:rPr>
          <w:sz w:val="20"/>
          <w:szCs w:val="20"/>
          <w:color w:val="auto"/>
        </w:rPr>
        <w:tab/>
      </w:r>
      <w:r>
        <w:rPr>
          <w:rFonts w:ascii="Courier New" w:cs="Courier New" w:eastAsia="Courier New" w:hAnsi="Courier New"/>
          <w:sz w:val="15"/>
          <w:szCs w:val="15"/>
          <w:color w:val="auto"/>
        </w:rPr>
        <w:t>$76,908</w:t>
      </w:r>
      <w:r>
        <w:rPr>
          <w:sz w:val="20"/>
          <w:szCs w:val="20"/>
          <w:color w:val="auto"/>
        </w:rPr>
        <w:tab/>
      </w:r>
      <w:r>
        <w:rPr>
          <w:rFonts w:ascii="Courier New" w:cs="Courier New" w:eastAsia="Courier New" w:hAnsi="Courier New"/>
          <w:sz w:val="15"/>
          <w:szCs w:val="15"/>
          <w:color w:val="auto"/>
        </w:rPr>
        <w:t>$76,532</w:t>
      </w:r>
      <w:r>
        <w:rPr>
          <w:sz w:val="20"/>
          <w:szCs w:val="20"/>
          <w:color w:val="auto"/>
        </w:rPr>
        <w:tab/>
      </w:r>
      <w:r>
        <w:rPr>
          <w:rFonts w:ascii="Courier New" w:cs="Courier New" w:eastAsia="Courier New" w:hAnsi="Courier New"/>
          <w:sz w:val="15"/>
          <w:szCs w:val="15"/>
          <w:color w:val="auto"/>
        </w:rPr>
        <w:t>18,681</w:t>
      </w:r>
      <w:r>
        <w:rPr>
          <w:sz w:val="20"/>
          <w:szCs w:val="20"/>
          <w:color w:val="auto"/>
        </w:rPr>
        <w:tab/>
      </w:r>
      <w:r>
        <w:rPr>
          <w:rFonts w:ascii="Courier New" w:cs="Courier New" w:eastAsia="Courier New" w:hAnsi="Courier New"/>
          <w:sz w:val="14"/>
          <w:szCs w:val="14"/>
          <w:color w:val="auto"/>
        </w:rPr>
        <w:t>7,806</w:t>
      </w:r>
    </w:p>
    <w:p>
      <w:pPr>
        <w:spacing w:after="0" w:line="4" w:lineRule="exact"/>
        <w:rPr>
          <w:sz w:val="20"/>
          <w:szCs w:val="20"/>
          <w:color w:val="auto"/>
        </w:rPr>
      </w:pPr>
    </w:p>
    <w:p>
      <w:pPr>
        <w:ind w:left="170" w:hanging="170"/>
        <w:spacing w:after="0"/>
        <w:tabs>
          <w:tab w:leader="none" w:pos="17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Ratio of earnings to</w:t>
      </w:r>
    </w:p>
    <w:tbl>
      <w:tblPr>
        <w:tblLayout w:type="fixed"/>
        <w:tblInd w:w="270" w:type="dxa"/>
        <w:tblCellMar>
          <w:top w:w="0" w:type="dxa"/>
          <w:left w:w="0" w:type="dxa"/>
          <w:bottom w:w="0" w:type="dxa"/>
          <w:right w:w="0" w:type="dxa"/>
        </w:tblCellMar>
      </w:tblPr>
      <w:tr>
        <w:trPr>
          <w:trHeight w:val="169"/>
        </w:trPr>
        <w:tc>
          <w:tcPr>
            <w:tcW w:w="194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4.54</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4.61</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4.60</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2.92</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4.03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r>
    </w:tbl>
    <w:p>
      <w:pPr>
        <w:spacing w:after="0" w:line="5" w:lineRule="exact"/>
        <w:rPr>
          <w:sz w:val="20"/>
          <w:szCs w:val="20"/>
          <w:color w:val="auto"/>
        </w:rPr>
      </w:pPr>
    </w:p>
    <w:p>
      <w:pPr>
        <w:ind w:left="170" w:hanging="170"/>
        <w:spacing w:after="0"/>
        <w:tabs>
          <w:tab w:leader="none" w:pos="17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(1)</w:t>
        <w:tab/>
        <w:t>Fixed Charges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 forma</w:t>
            </w:r>
          </w:p>
        </w:tc>
        <w:tc>
          <w:tcPr>
            <w:tcW w:w="25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246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Year ended</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Year ended</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Year ended</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Year ended</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Year ended</w:t>
            </w:r>
          </w:p>
        </w:tc>
        <w:tc>
          <w:tcPr>
            <w:tcW w:w="2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46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October 30,</w:t>
            </w:r>
          </w:p>
        </w:tc>
        <w:tc>
          <w:tcPr>
            <w:tcW w:w="32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October 29, October 28, October 31,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October 31,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October 31,</w:t>
            </w:r>
          </w:p>
        </w:tc>
        <w:tc>
          <w:tcPr>
            <w:tcW w:w="2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February 2, January 31,</w:t>
            </w:r>
          </w:p>
        </w:tc>
      </w:tr>
      <w:tr>
        <w:trPr>
          <w:trHeight w:val="170"/>
        </w:trPr>
        <w:tc>
          <w:tcPr>
            <w:tcW w:w="24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1992</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5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4"/>
              </w:rPr>
              <w:t>1996</w:t>
            </w:r>
          </w:p>
        </w:tc>
      </w:t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0"/>
                <w:szCs w:val="10"/>
                <w:color w:val="auto"/>
                <w:w w:val="77"/>
              </w:rPr>
              <w:t>- -------------------------------------------------------------------------</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0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$18,337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$16,304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$12,705</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$11,954</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$13,590</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$22,735</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$3,847</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$2,969</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Rentals (interest factor)</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2,393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2,101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2,568</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2,990</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3,138</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3,511</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785</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Total fixed charges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$20,730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$18,405</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$15,273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$14,944</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$16,728</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$26,246</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4,632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3,689</w:t>
            </w:r>
          </w:p>
        </w:tc>
      </w:tr>
    </w:tbl>
    <w:p>
      <w:pPr>
        <w:spacing w:after="0" w:line="5" w:lineRule="exact"/>
        <w:rPr>
          <w:sz w:val="20"/>
          <w:szCs w:val="20"/>
          <w:color w:val="auto"/>
        </w:rPr>
      </w:pPr>
    </w:p>
    <w:p>
      <w:pPr>
        <w:ind w:left="170" w:hanging="170"/>
        <w:spacing w:after="0"/>
        <w:tabs>
          <w:tab w:leader="none" w:pos="17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50" w:right="5000" w:hanging="450"/>
        <w:spacing w:after="0" w:line="235" w:lineRule="auto"/>
        <w:tabs>
          <w:tab w:leader="none" w:pos="45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fiscal year ended October 31, 1992, earnings were insufficient to cover fixed charges by $31,792,000.</w:t>
      </w:r>
    </w:p>
    <w:p>
      <w:pPr>
        <w:sectPr>
          <w:pgSz w:w="11900" w:h="16838" w:orient="portrait"/>
          <w:cols w:equalWidth="0" w:num="1">
            <w:col w:w="11530"/>
          </w:cols>
          <w:pgMar w:left="230" w:top="1130" w:right="139" w:bottom="1440" w:gutter="0" w:footer="0" w:header="0"/>
        </w:sectPr>
      </w:pPr>
    </w:p>
    <w:bookmarkStart w:id="63" w:name="page64"/>
    <w:bookmarkEnd w:id="63"/>
    <w:p>
      <w:pPr>
        <w:jc w:val="right"/>
        <w:ind w:right="3359"/>
        <w:spacing w:after="0"/>
        <w:rPr>
          <w:sz w:val="20"/>
          <w:szCs w:val="20"/>
          <w:color w:val="auto"/>
        </w:rPr>
      </w:pPr>
      <w:r>
        <w:rPr>
          <w:rFonts w:ascii="Courier New" w:cs="Courier New" w:eastAsia="Courier New" w:hAnsi="Courier New"/>
          <w:sz w:val="15"/>
          <w:szCs w:val="15"/>
          <w:color w:val="auto"/>
        </w:rPr>
        <w:t>Exhibit 23(b)</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INDEPENDENT AUDITORS' CONSENT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rPr>
          <w:sz w:val="20"/>
          <w:szCs w:val="20"/>
          <w:color w:val="auto"/>
        </w:rPr>
      </w:pPr>
      <w:r>
        <w:rPr>
          <w:rFonts w:ascii="Courier New" w:cs="Courier New" w:eastAsia="Courier New" w:hAnsi="Courier New"/>
          <w:sz w:val="15"/>
          <w:szCs w:val="15"/>
          <w:color w:val="auto"/>
        </w:rPr>
        <w:t>The Toro Company:</w:t>
      </w:r>
    </w:p>
    <w:p>
      <w:pPr>
        <w:spacing w:after="0" w:line="174"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We consent to the use of our reports incorporated herein by reference and to the reference to our firm under the headings "Selected Historical and Pro Forma Financial and Other Data" and "Experts" in the prospectus.</w:t>
      </w:r>
    </w:p>
    <w:p>
      <w:pPr>
        <w:spacing w:after="0" w:line="200" w:lineRule="exact"/>
        <w:rPr>
          <w:sz w:val="20"/>
          <w:szCs w:val="20"/>
          <w:color w:val="auto"/>
        </w:rPr>
      </w:pPr>
    </w:p>
    <w:p>
      <w:pPr>
        <w:spacing w:after="0" w:line="308"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5"/>
          <w:szCs w:val="15"/>
          <w:color w:val="auto"/>
        </w:rPr>
        <w:t>/s/ KPMG Peat Marwick LLP</w:t>
      </w:r>
    </w:p>
    <w:p>
      <w:pPr>
        <w:jc w:val="right"/>
        <w:ind w:right="4319"/>
        <w:spacing w:after="0"/>
        <w:rPr>
          <w:sz w:val="20"/>
          <w:szCs w:val="20"/>
          <w:color w:val="auto"/>
        </w:rPr>
      </w:pPr>
      <w:r>
        <w:rPr>
          <w:rFonts w:ascii="Courier New" w:cs="Courier New" w:eastAsia="Courier New" w:hAnsi="Courier New"/>
          <w:sz w:val="15"/>
          <w:szCs w:val="15"/>
          <w:color w:val="auto"/>
        </w:rPr>
        <w:t>KPMG Peat Marwick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rPr>
          <w:sz w:val="20"/>
          <w:szCs w:val="20"/>
          <w:color w:val="auto"/>
        </w:rPr>
      </w:pPr>
      <w:r>
        <w:rPr>
          <w:rFonts w:ascii="Courier New" w:cs="Courier New" w:eastAsia="Courier New" w:hAnsi="Courier New"/>
          <w:sz w:val="15"/>
          <w:szCs w:val="15"/>
          <w:color w:val="auto"/>
        </w:rPr>
        <w:t>June 9, 1997</w:t>
      </w:r>
    </w:p>
    <w:p>
      <w:pPr>
        <w:sectPr>
          <w:pgSz w:w="11900" w:h="16838" w:orient="portrait"/>
          <w:cols w:equalWidth="0" w:num="1">
            <w:col w:w="10219"/>
          </w:cols>
          <w:pgMar w:left="240" w:top="475" w:right="1440" w:bottom="1440" w:gutter="0" w:footer="0" w:header="0"/>
        </w:sectPr>
      </w:pPr>
    </w:p>
    <w:bookmarkStart w:id="64" w:name="page65"/>
    <w:bookmarkEnd w:id="64"/>
    <w:p>
      <w:pPr>
        <w:jc w:val="center"/>
        <w:ind w:right="35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9"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FORM T-1</w:t>
      </w:r>
    </w:p>
    <w:p>
      <w:pPr>
        <w:spacing w:after="0" w:line="169"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Statement of Eligibility Under the</w:t>
      </w:r>
    </w:p>
    <w:p>
      <w:pPr>
        <w:ind w:left="1500"/>
        <w:spacing w:after="0"/>
        <w:rPr>
          <w:sz w:val="20"/>
          <w:szCs w:val="20"/>
          <w:color w:val="auto"/>
        </w:rPr>
      </w:pPr>
      <w:r>
        <w:rPr>
          <w:rFonts w:ascii="Courier New" w:cs="Courier New" w:eastAsia="Courier New" w:hAnsi="Courier New"/>
          <w:sz w:val="15"/>
          <w:szCs w:val="15"/>
          <w:color w:val="auto"/>
        </w:rPr>
        <w:t>Trust Indenture Act of 1939 of a Corporation</w:t>
      </w:r>
    </w:p>
    <w:p>
      <w:pPr>
        <w:ind w:left="2120"/>
        <w:spacing w:after="0"/>
        <w:rPr>
          <w:sz w:val="20"/>
          <w:szCs w:val="20"/>
          <w:color w:val="auto"/>
        </w:rPr>
      </w:pPr>
      <w:r>
        <w:rPr>
          <w:rFonts w:ascii="Courier New" w:cs="Courier New" w:eastAsia="Courier New" w:hAnsi="Courier New"/>
          <w:sz w:val="15"/>
          <w:szCs w:val="15"/>
          <w:color w:val="auto"/>
        </w:rPr>
        <w:t>Designated to Act as Trustee</w:t>
      </w:r>
    </w:p>
    <w:p>
      <w:pPr>
        <w:spacing w:after="0" w:line="33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FIRST TRUST NATIONAL ASSOCIATION</w:t>
      </w:r>
    </w:p>
    <w:p>
      <w:pPr>
        <w:jc w:val="center"/>
        <w:ind w:right="3079"/>
        <w:spacing w:after="0"/>
        <w:rPr>
          <w:sz w:val="20"/>
          <w:szCs w:val="20"/>
          <w:color w:val="auto"/>
        </w:rPr>
      </w:pPr>
      <w:r>
        <w:rPr>
          <w:rFonts w:ascii="Courier New" w:cs="Courier New" w:eastAsia="Courier New" w:hAnsi="Courier New"/>
          <w:sz w:val="15"/>
          <w:szCs w:val="15"/>
          <w:color w:val="auto"/>
        </w:rPr>
        <w:t>(Exact name of Trustee as specified in its charter)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ind w:left="800"/>
              <w:spacing w:after="0"/>
              <w:rPr>
                <w:sz w:val="20"/>
                <w:szCs w:val="20"/>
                <w:color w:val="auto"/>
              </w:rPr>
            </w:pPr>
            <w:r>
              <w:rPr>
                <w:rFonts w:ascii="Courier New" w:cs="Courier New" w:eastAsia="Courier New" w:hAnsi="Courier New"/>
                <w:sz w:val="15"/>
                <w:szCs w:val="15"/>
                <w:color w:val="auto"/>
              </w:rPr>
              <w:t>United States</w:t>
            </w:r>
          </w:p>
        </w:tc>
        <w:tc>
          <w:tcPr>
            <w:tcW w:w="19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41-0257700</w:t>
            </w:r>
          </w:p>
        </w:tc>
      </w:tr>
      <w:tr>
        <w:trPr>
          <w:trHeight w:val="170"/>
        </w:trPr>
        <w:tc>
          <w:tcPr>
            <w:tcW w:w="4460" w:type="dxa"/>
            <w:vAlign w:val="bottom"/>
          </w:tcPr>
          <w:p>
            <w:pPr>
              <w:jc w:val="center"/>
              <w:ind w:right="1547"/>
              <w:spacing w:after="0"/>
              <w:rPr>
                <w:sz w:val="20"/>
                <w:szCs w:val="20"/>
                <w:color w:val="auto"/>
              </w:rPr>
            </w:pPr>
            <w:r>
              <w:rPr>
                <w:rFonts w:ascii="Courier New" w:cs="Courier New" w:eastAsia="Courier New" w:hAnsi="Courier New"/>
                <w:sz w:val="15"/>
                <w:szCs w:val="15"/>
                <w:color w:val="auto"/>
                <w:w w:val="98"/>
              </w:rPr>
              <w:t>(State of Incorporation)</w:t>
            </w:r>
          </w:p>
        </w:tc>
        <w:tc>
          <w:tcPr>
            <w:tcW w:w="19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(I.R.S. Employer</w:t>
            </w:r>
          </w:p>
        </w:tc>
      </w:tr>
      <w:tr>
        <w:trPr>
          <w:trHeight w:val="170"/>
        </w:trPr>
        <w:tc>
          <w:tcPr>
            <w:tcW w:w="4460" w:type="dxa"/>
            <w:vAlign w:val="bottom"/>
          </w:tcPr>
          <w:p>
            <w:pPr>
              <w:spacing w:after="0"/>
              <w:rPr>
                <w:sz w:val="14"/>
                <w:szCs w:val="14"/>
                <w:color w:val="auto"/>
              </w:rPr>
            </w:pPr>
          </w:p>
        </w:tc>
        <w:tc>
          <w:tcPr>
            <w:tcW w:w="1900" w:type="dxa"/>
            <w:vAlign w:val="bottom"/>
          </w:tcPr>
          <w:p>
            <w:pPr>
              <w:ind w:left="220"/>
              <w:spacing w:after="0"/>
              <w:rPr>
                <w:sz w:val="20"/>
                <w:szCs w:val="20"/>
                <w:color w:val="auto"/>
              </w:rPr>
            </w:pPr>
            <w:r>
              <w:rPr>
                <w:rFonts w:ascii="Courier New" w:cs="Courier New" w:eastAsia="Courier New" w:hAnsi="Courier New"/>
                <w:sz w:val="15"/>
                <w:szCs w:val="15"/>
                <w:color w:val="auto"/>
                <w:w w:val="97"/>
              </w:rPr>
              <w:t>Identification No.)</w:t>
            </w:r>
          </w:p>
        </w:tc>
      </w:tr>
      <w:tr>
        <w:trPr>
          <w:trHeight w:val="339"/>
        </w:trPr>
        <w:tc>
          <w:tcPr>
            <w:tcW w:w="4460" w:type="dxa"/>
            <w:vAlign w:val="bottom"/>
          </w:tcPr>
          <w:p>
            <w:pPr>
              <w:jc w:val="center"/>
              <w:ind w:right="1547"/>
              <w:spacing w:after="0"/>
              <w:rPr>
                <w:sz w:val="20"/>
                <w:szCs w:val="20"/>
                <w:color w:val="auto"/>
              </w:rPr>
            </w:pPr>
            <w:r>
              <w:rPr>
                <w:rFonts w:ascii="Courier New" w:cs="Courier New" w:eastAsia="Courier New" w:hAnsi="Courier New"/>
                <w:sz w:val="15"/>
                <w:szCs w:val="15"/>
                <w:color w:val="auto"/>
                <w:w w:val="98"/>
              </w:rPr>
              <w:t>First Trust Center</w:t>
            </w:r>
          </w:p>
        </w:tc>
        <w:tc>
          <w:tcPr>
            <w:tcW w:w="1900" w:type="dxa"/>
            <w:vAlign w:val="bottom"/>
          </w:tcPr>
          <w:p>
            <w:pPr>
              <w:spacing w:after="0"/>
              <w:rPr>
                <w:sz w:val="24"/>
                <w:szCs w:val="24"/>
                <w:color w:val="auto"/>
              </w:rPr>
            </w:pPr>
          </w:p>
        </w:tc>
      </w:tr>
      <w:tr>
        <w:trPr>
          <w:trHeight w:val="170"/>
        </w:trPr>
        <w:tc>
          <w:tcPr>
            <w:tcW w:w="4460" w:type="dxa"/>
            <w:vAlign w:val="bottom"/>
          </w:tcPr>
          <w:p>
            <w:pPr>
              <w:ind w:left="540"/>
              <w:spacing w:after="0"/>
              <w:rPr>
                <w:sz w:val="20"/>
                <w:szCs w:val="20"/>
                <w:color w:val="auto"/>
              </w:rPr>
            </w:pPr>
            <w:r>
              <w:rPr>
                <w:rFonts w:ascii="Courier New" w:cs="Courier New" w:eastAsia="Courier New" w:hAnsi="Courier New"/>
                <w:sz w:val="15"/>
                <w:szCs w:val="15"/>
                <w:color w:val="auto"/>
              </w:rPr>
              <w:t>180 East Fifth Street</w:t>
            </w:r>
          </w:p>
        </w:tc>
        <w:tc>
          <w:tcPr>
            <w:tcW w:w="1900" w:type="dxa"/>
            <w:vAlign w:val="bottom"/>
          </w:tcPr>
          <w:p>
            <w:pPr>
              <w:spacing w:after="0"/>
              <w:rPr>
                <w:sz w:val="14"/>
                <w:szCs w:val="14"/>
                <w:color w:val="auto"/>
              </w:rPr>
            </w:pPr>
          </w:p>
        </w:tc>
      </w:tr>
      <w:tr>
        <w:trPr>
          <w:trHeight w:val="170"/>
        </w:trPr>
        <w:tc>
          <w:tcPr>
            <w:tcW w:w="4460" w:type="dxa"/>
            <w:vAlign w:val="bottom"/>
          </w:tcPr>
          <w:p>
            <w:pPr>
              <w:ind w:left="620"/>
              <w:spacing w:after="0"/>
              <w:rPr>
                <w:sz w:val="20"/>
                <w:szCs w:val="20"/>
                <w:color w:val="auto"/>
              </w:rPr>
            </w:pPr>
            <w:r>
              <w:rPr>
                <w:rFonts w:ascii="Courier New" w:cs="Courier New" w:eastAsia="Courier New" w:hAnsi="Courier New"/>
                <w:sz w:val="15"/>
                <w:szCs w:val="15"/>
                <w:color w:val="auto"/>
              </w:rPr>
              <w:t>St. Paul, Minnesota</w:t>
            </w:r>
          </w:p>
        </w:tc>
        <w:tc>
          <w:tcPr>
            <w:tcW w:w="1900" w:type="dxa"/>
            <w:vAlign w:val="bottom"/>
          </w:tcPr>
          <w:p>
            <w:pPr>
              <w:ind w:left="740"/>
              <w:spacing w:after="0"/>
              <w:rPr>
                <w:sz w:val="20"/>
                <w:szCs w:val="20"/>
                <w:color w:val="auto"/>
              </w:rPr>
            </w:pPr>
            <w:r>
              <w:rPr>
                <w:rFonts w:ascii="Courier New" w:cs="Courier New" w:eastAsia="Courier New" w:hAnsi="Courier New"/>
                <w:sz w:val="15"/>
                <w:szCs w:val="15"/>
                <w:color w:val="auto"/>
              </w:rPr>
              <w:t>55101</w:t>
            </w:r>
          </w:p>
        </w:tc>
      </w:t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19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(Zip Code)</w:t>
            </w:r>
          </w:p>
        </w:tc>
      </w:tr>
      <w:tr>
        <w:trPr>
          <w:trHeight w:val="678"/>
        </w:trPr>
        <w:tc>
          <w:tcPr>
            <w:tcW w:w="4460" w:type="dxa"/>
            <w:vAlign w:val="bottom"/>
          </w:tcPr>
          <w:p>
            <w:pPr>
              <w:ind w:left="2820"/>
              <w:spacing w:after="0"/>
              <w:rPr>
                <w:sz w:val="20"/>
                <w:szCs w:val="20"/>
                <w:color w:val="auto"/>
              </w:rPr>
            </w:pPr>
            <w:r>
              <w:rPr>
                <w:rFonts w:ascii="Courier New" w:cs="Courier New" w:eastAsia="Courier New" w:hAnsi="Courier New"/>
                <w:sz w:val="15"/>
                <w:szCs w:val="15"/>
                <w:color w:val="auto"/>
              </w:rPr>
              <w:t>THE TORO COMPANY</w:t>
            </w:r>
          </w:p>
        </w:tc>
        <w:tc>
          <w:tcPr>
            <w:tcW w:w="1900" w:type="dxa"/>
            <w:vAlign w:val="bottom"/>
          </w:tcPr>
          <w:p>
            <w:pPr>
              <w:spacing w:after="0"/>
              <w:rPr>
                <w:sz w:val="24"/>
                <w:szCs w:val="24"/>
                <w:color w:val="auto"/>
              </w:rPr>
            </w:pPr>
          </w:p>
        </w:tc>
      </w:tr>
      <w:tr>
        <w:trPr>
          <w:trHeight w:val="170"/>
        </w:trPr>
        <w:tc>
          <w:tcPr>
            <w:tcW w:w="636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(Exact name of Registrant as specified in its charter)</w:t>
            </w:r>
          </w:p>
        </w:tc>
      </w:tr>
      <w:tr>
        <w:trPr>
          <w:trHeight w:val="339"/>
        </w:trPr>
        <w:tc>
          <w:tcPr>
            <w:tcW w:w="4460" w:type="dxa"/>
            <w:vAlign w:val="bottom"/>
          </w:tcPr>
          <w:p>
            <w:pPr>
              <w:jc w:val="center"/>
              <w:ind w:right="1567"/>
              <w:spacing w:after="0"/>
              <w:rPr>
                <w:sz w:val="20"/>
                <w:szCs w:val="20"/>
                <w:color w:val="auto"/>
              </w:rPr>
            </w:pPr>
            <w:r>
              <w:rPr>
                <w:rFonts w:ascii="Courier New" w:cs="Courier New" w:eastAsia="Courier New" w:hAnsi="Courier New"/>
                <w:sz w:val="15"/>
                <w:szCs w:val="15"/>
                <w:color w:val="auto"/>
                <w:w w:val="97"/>
              </w:rPr>
              <w:t>Delaware</w:t>
            </w:r>
          </w:p>
        </w:tc>
        <w:tc>
          <w:tcPr>
            <w:tcW w:w="19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41-0580470</w:t>
            </w:r>
          </w:p>
        </w:tc>
      </w:tr>
      <w:tr>
        <w:trPr>
          <w:trHeight w:val="170"/>
        </w:trPr>
        <w:tc>
          <w:tcPr>
            <w:tcW w:w="4460" w:type="dxa"/>
            <w:vAlign w:val="bottom"/>
          </w:tcPr>
          <w:p>
            <w:pPr>
              <w:jc w:val="center"/>
              <w:ind w:right="1547"/>
              <w:spacing w:after="0"/>
              <w:rPr>
                <w:sz w:val="20"/>
                <w:szCs w:val="20"/>
                <w:color w:val="auto"/>
              </w:rPr>
            </w:pPr>
            <w:r>
              <w:rPr>
                <w:rFonts w:ascii="Courier New" w:cs="Courier New" w:eastAsia="Courier New" w:hAnsi="Courier New"/>
                <w:sz w:val="15"/>
                <w:szCs w:val="15"/>
                <w:color w:val="auto"/>
                <w:w w:val="98"/>
              </w:rPr>
              <w:t>(State of Incorporation)</w:t>
            </w:r>
          </w:p>
        </w:tc>
        <w:tc>
          <w:tcPr>
            <w:tcW w:w="19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(I.R.S. Employer</w:t>
            </w:r>
          </w:p>
        </w:tc>
      </w:tr>
      <w:tr>
        <w:trPr>
          <w:trHeight w:val="170"/>
        </w:trPr>
        <w:tc>
          <w:tcPr>
            <w:tcW w:w="4460" w:type="dxa"/>
            <w:vAlign w:val="bottom"/>
          </w:tcPr>
          <w:p>
            <w:pPr>
              <w:spacing w:after="0"/>
              <w:rPr>
                <w:sz w:val="14"/>
                <w:szCs w:val="14"/>
                <w:color w:val="auto"/>
              </w:rPr>
            </w:pPr>
          </w:p>
        </w:tc>
        <w:tc>
          <w:tcPr>
            <w:tcW w:w="1900" w:type="dxa"/>
            <w:vAlign w:val="bottom"/>
          </w:tcPr>
          <w:p>
            <w:pPr>
              <w:ind w:left="220"/>
              <w:spacing w:after="0"/>
              <w:rPr>
                <w:sz w:val="20"/>
                <w:szCs w:val="20"/>
                <w:color w:val="auto"/>
              </w:rPr>
            </w:pPr>
            <w:r>
              <w:rPr>
                <w:rFonts w:ascii="Courier New" w:cs="Courier New" w:eastAsia="Courier New" w:hAnsi="Courier New"/>
                <w:sz w:val="15"/>
                <w:szCs w:val="15"/>
                <w:color w:val="auto"/>
                <w:w w:val="97"/>
              </w:rPr>
              <w:t>Identification No.)</w:t>
            </w:r>
          </w:p>
        </w:tc>
      </w:tr>
      <w:tr>
        <w:trPr>
          <w:trHeight w:val="678"/>
        </w:trPr>
        <w:tc>
          <w:tcPr>
            <w:tcW w:w="4460" w:type="dxa"/>
            <w:vAlign w:val="bottom"/>
          </w:tcPr>
          <w:p>
            <w:pPr>
              <w:ind w:left="440"/>
              <w:spacing w:after="0"/>
              <w:rPr>
                <w:sz w:val="20"/>
                <w:szCs w:val="20"/>
                <w:color w:val="auto"/>
              </w:rPr>
            </w:pPr>
            <w:r>
              <w:rPr>
                <w:rFonts w:ascii="Courier New" w:cs="Courier New" w:eastAsia="Courier New" w:hAnsi="Courier New"/>
                <w:sz w:val="15"/>
                <w:szCs w:val="15"/>
                <w:color w:val="auto"/>
              </w:rPr>
              <w:t>8111 Lyndale Avenue South</w:t>
            </w:r>
          </w:p>
        </w:tc>
        <w:tc>
          <w:tcPr>
            <w:tcW w:w="1900" w:type="dxa"/>
            <w:vAlign w:val="bottom"/>
          </w:tcPr>
          <w:p>
            <w:pPr>
              <w:spacing w:after="0"/>
              <w:rPr>
                <w:sz w:val="24"/>
                <w:szCs w:val="24"/>
                <w:color w:val="auto"/>
              </w:rPr>
            </w:pPr>
          </w:p>
        </w:tc>
      </w:tr>
      <w:tr>
        <w:trPr>
          <w:trHeight w:val="170"/>
        </w:trPr>
        <w:tc>
          <w:tcPr>
            <w:tcW w:w="4460" w:type="dxa"/>
            <w:vAlign w:val="bottom"/>
          </w:tcPr>
          <w:p>
            <w:pPr>
              <w:ind w:left="620"/>
              <w:spacing w:after="0"/>
              <w:rPr>
                <w:sz w:val="20"/>
                <w:szCs w:val="20"/>
                <w:color w:val="auto"/>
              </w:rPr>
            </w:pPr>
            <w:r>
              <w:rPr>
                <w:rFonts w:ascii="Courier New" w:cs="Courier New" w:eastAsia="Courier New" w:hAnsi="Courier New"/>
                <w:sz w:val="15"/>
                <w:szCs w:val="15"/>
                <w:color w:val="auto"/>
              </w:rPr>
              <w:t>Bloomington, Minnesota</w:t>
            </w:r>
          </w:p>
        </w:tc>
        <w:tc>
          <w:tcPr>
            <w:tcW w:w="1900" w:type="dxa"/>
            <w:vAlign w:val="bottom"/>
          </w:tcPr>
          <w:p>
            <w:pPr>
              <w:ind w:left="480"/>
              <w:spacing w:after="0"/>
              <w:rPr>
                <w:sz w:val="20"/>
                <w:szCs w:val="20"/>
                <w:color w:val="auto"/>
              </w:rPr>
            </w:pPr>
            <w:r>
              <w:rPr>
                <w:rFonts w:ascii="Courier New" w:cs="Courier New" w:eastAsia="Courier New" w:hAnsi="Courier New"/>
                <w:sz w:val="15"/>
                <w:szCs w:val="15"/>
                <w:color w:val="auto"/>
              </w:rPr>
              <w:t>55420-1196</w:t>
            </w:r>
          </w:p>
        </w:tc>
      </w:tr>
      <w:tr>
        <w:trPr>
          <w:trHeight w:val="170"/>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(Address of Principal Executive Offices)</w:t>
            </w:r>
          </w:p>
        </w:tc>
        <w:tc>
          <w:tcPr>
            <w:tcW w:w="1900" w:type="dxa"/>
            <w:vAlign w:val="bottom"/>
          </w:tcPr>
          <w:p>
            <w:pPr>
              <w:ind w:left="480"/>
              <w:spacing w:after="0"/>
              <w:rPr>
                <w:sz w:val="20"/>
                <w:szCs w:val="20"/>
                <w:color w:val="auto"/>
              </w:rPr>
            </w:pPr>
            <w:r>
              <w:rPr>
                <w:rFonts w:ascii="Courier New" w:cs="Courier New" w:eastAsia="Courier New" w:hAnsi="Courier New"/>
                <w:sz w:val="15"/>
                <w:szCs w:val="15"/>
                <w:color w:val="auto"/>
              </w:rPr>
              <w:t>(Zip Code)</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Debt Securities</w:t>
      </w:r>
    </w:p>
    <w:p>
      <w:pPr>
        <w:jc w:val="center"/>
        <w:ind w:right="3079"/>
        <w:spacing w:after="0"/>
        <w:rPr>
          <w:sz w:val="20"/>
          <w:szCs w:val="20"/>
          <w:color w:val="auto"/>
        </w:rPr>
      </w:pPr>
      <w:r>
        <w:rPr>
          <w:rFonts w:ascii="Courier New" w:cs="Courier New" w:eastAsia="Courier New" w:hAnsi="Courier New"/>
          <w:sz w:val="15"/>
          <w:szCs w:val="15"/>
          <w:color w:val="auto"/>
        </w:rPr>
        <w:t>(Title of the Indenture Securities)</w:t>
      </w:r>
    </w:p>
    <w:p>
      <w:pPr>
        <w:sectPr>
          <w:pgSz w:w="11900" w:h="16838" w:orient="portrait"/>
          <w:cols w:equalWidth="0" w:num="1">
            <w:col w:w="10059"/>
          </w:cols>
          <w:pgMar w:left="400" w:top="475" w:right="1440" w:bottom="1440" w:gutter="0" w:footer="0" w:header="0"/>
        </w:sectPr>
      </w:pPr>
    </w:p>
    <w:bookmarkStart w:id="65" w:name="page66"/>
    <w:bookmarkEnd w:id="65"/>
    <w:p>
      <w:pPr>
        <w:ind w:left="3170"/>
        <w:spacing w:after="0"/>
        <w:rPr>
          <w:sz w:val="20"/>
          <w:szCs w:val="20"/>
          <w:color w:val="auto"/>
        </w:rPr>
      </w:pPr>
      <w:r>
        <w:rPr>
          <w:rFonts w:ascii="Courier New" w:cs="Courier New" w:eastAsia="Courier New" w:hAnsi="Courier New"/>
          <w:sz w:val="15"/>
          <w:szCs w:val="15"/>
          <w:color w:val="auto"/>
        </w:rPr>
        <w:t>GENERAL</w:t>
      </w:r>
    </w:p>
    <w:p>
      <w:pPr>
        <w:spacing w:after="0" w:line="169" w:lineRule="exact"/>
        <w:rPr>
          <w:sz w:val="20"/>
          <w:szCs w:val="20"/>
          <w:color w:val="auto"/>
        </w:rPr>
      </w:pPr>
    </w:p>
    <w:p>
      <w:pPr>
        <w:ind w:left="350" w:hanging="350"/>
        <w:spacing w:after="0"/>
        <w:tabs>
          <w:tab w:leader="none" w:pos="35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INFORMATION  Furnish the following information as to the Trustee.</w:t>
      </w:r>
    </w:p>
    <w:p>
      <w:pPr>
        <w:spacing w:after="0" w:line="174" w:lineRule="exact"/>
        <w:rPr>
          <w:rFonts w:ascii="Courier New" w:cs="Courier New" w:eastAsia="Courier New" w:hAnsi="Courier New"/>
          <w:sz w:val="15"/>
          <w:szCs w:val="15"/>
          <w:color w:val="auto"/>
        </w:rPr>
      </w:pPr>
    </w:p>
    <w:p>
      <w:pPr>
        <w:ind w:left="710" w:right="3539" w:hanging="357"/>
        <w:spacing w:after="0" w:line="235" w:lineRule="auto"/>
        <w:tabs>
          <w:tab w:leader="none" w:pos="71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6" w:lineRule="exact"/>
        <w:rPr>
          <w:rFonts w:ascii="Courier New" w:cs="Courier New" w:eastAsia="Courier New" w:hAnsi="Courier New"/>
          <w:sz w:val="15"/>
          <w:szCs w:val="15"/>
          <w:color w:val="auto"/>
        </w:rPr>
      </w:pPr>
    </w:p>
    <w:p>
      <w:pPr>
        <w:ind w:left="970" w:right="68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Comptroller of the Currency Washington, D.C.</w:t>
      </w:r>
    </w:p>
    <w:p>
      <w:pPr>
        <w:spacing w:after="0" w:line="170"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w:t>
      </w:r>
    </w:p>
    <w:p>
      <w:pPr>
        <w:ind w:left="970"/>
        <w:spacing w:after="0"/>
        <w:rPr>
          <w:sz w:val="20"/>
          <w:szCs w:val="20"/>
          <w:color w:val="auto"/>
        </w:rPr>
      </w:pPr>
      <w:r>
        <w:rPr>
          <w:rFonts w:ascii="Courier New" w:cs="Courier New" w:eastAsia="Courier New" w:hAnsi="Courier New"/>
          <w:sz w:val="15"/>
          <w:szCs w:val="15"/>
          <w:color w:val="auto"/>
        </w:rPr>
        <w:t>Yes</w:t>
      </w:r>
    </w:p>
    <w:p>
      <w:pPr>
        <w:spacing w:after="0" w:line="174" w:lineRule="exact"/>
        <w:rPr>
          <w:sz w:val="20"/>
          <w:szCs w:val="20"/>
          <w:color w:val="auto"/>
        </w:rPr>
      </w:pPr>
    </w:p>
    <w:p>
      <w:pPr>
        <w:ind w:left="350" w:right="3439" w:hanging="350"/>
        <w:spacing w:after="0" w:line="237" w:lineRule="auto"/>
        <w:tabs>
          <w:tab w:leader="none" w:pos="35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AFFILIATIONS WITH OBLIGOR AND UNDERWRITERS If the obligor or any underwriter for the obligor is an affiliate of the Trustee, describe each such affiliation.</w:t>
      </w:r>
    </w:p>
    <w:p>
      <w:pPr>
        <w:ind w:left="9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8"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following Item 16.</w:t>
      </w:r>
    </w:p>
    <w:p>
      <w:pPr>
        <w:spacing w:after="0" w:line="175" w:lineRule="exact"/>
        <w:rPr>
          <w:sz w:val="20"/>
          <w:szCs w:val="20"/>
          <w:color w:val="auto"/>
        </w:rPr>
      </w:pPr>
    </w:p>
    <w:p>
      <w:pPr>
        <w:jc w:val="both"/>
        <w:ind w:left="350" w:right="3179"/>
        <w:spacing w:after="0" w:line="237" w:lineRule="auto"/>
        <w:rPr>
          <w:sz w:val="20"/>
          <w:szCs w:val="20"/>
          <w:color w:val="auto"/>
        </w:rPr>
      </w:pPr>
      <w:r>
        <w:rPr>
          <w:rFonts w:ascii="Courier New" w:cs="Courier New" w:eastAsia="Courier New" w:hAnsi="Courier New"/>
          <w:sz w:val="15"/>
          <w:szCs w:val="15"/>
          <w:color w:val="auto"/>
        </w:rPr>
        <w:t>Items 3-15 are not applicable because to the best of the Trustee's knowledge the obligor is not in default under any Indenture for which the Trustee acts as Trustee.</w:t>
      </w:r>
    </w:p>
    <w:p>
      <w:pPr>
        <w:spacing w:after="0" w:line="175" w:lineRule="exact"/>
        <w:rPr>
          <w:sz w:val="20"/>
          <w:szCs w:val="20"/>
          <w:color w:val="auto"/>
        </w:rPr>
      </w:pPr>
    </w:p>
    <w:p>
      <w:pPr>
        <w:ind w:left="350" w:right="4139" w:hanging="350"/>
        <w:spacing w:after="0" w:line="235" w:lineRule="auto"/>
        <w:tabs>
          <w:tab w:leader="none" w:pos="35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EXHIBITS List below all exhibits filed as a part of this statement of eligibility and qualification.</w:t>
      </w:r>
    </w:p>
    <w:p>
      <w:pPr>
        <w:spacing w:after="0" w:line="170"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Copy of Articles of Association.*</w:t>
      </w:r>
    </w:p>
    <w:p>
      <w:pPr>
        <w:spacing w:after="0" w:line="169"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Copy of Certificate of Authority to Commence Business.*</w:t>
      </w:r>
    </w:p>
    <w:p>
      <w:pPr>
        <w:spacing w:after="0" w:line="174" w:lineRule="exact"/>
        <w:rPr>
          <w:rFonts w:ascii="Courier New" w:cs="Courier New" w:eastAsia="Courier New" w:hAnsi="Courier New"/>
          <w:sz w:val="15"/>
          <w:szCs w:val="15"/>
          <w:color w:val="auto"/>
        </w:rPr>
      </w:pPr>
    </w:p>
    <w:p>
      <w:pPr>
        <w:ind w:left="610" w:right="4059" w:hanging="257"/>
        <w:spacing w:after="0" w:line="265" w:lineRule="auto"/>
        <w:tabs>
          <w:tab w:leader="none" w:pos="61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of the Trustee to exercise corporate trust powers (included in Exhibits 1 and 2; no separate instrument).*</w:t>
      </w:r>
    </w:p>
    <w:p>
      <w:pPr>
        <w:spacing w:after="0" w:line="152" w:lineRule="exact"/>
        <w:rPr>
          <w:rFonts w:ascii="Courier New" w:cs="Courier New" w:eastAsia="Courier New" w:hAnsi="Courier New"/>
          <w:sz w:val="14"/>
          <w:szCs w:val="14"/>
          <w:color w:val="auto"/>
        </w:rPr>
      </w:pPr>
    </w:p>
    <w:p>
      <w:pPr>
        <w:ind w:left="610" w:hanging="257"/>
        <w:spacing w:after="0"/>
        <w:tabs>
          <w:tab w:leader="none" w:pos="61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Copy of existing By-Laws.*</w:t>
      </w:r>
    </w:p>
    <w:p>
      <w:pPr>
        <w:spacing w:after="0" w:line="169"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Copy of each Indenture referred to in Item 4.  N/A.</w:t>
      </w:r>
    </w:p>
    <w:p>
      <w:pPr>
        <w:spacing w:after="0" w:line="169"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consents of the Trustee required by Section 321(b) of the act.</w:t>
      </w:r>
    </w:p>
    <w:p>
      <w:pPr>
        <w:spacing w:after="0" w:line="174" w:lineRule="exact"/>
        <w:rPr>
          <w:rFonts w:ascii="Courier New" w:cs="Courier New" w:eastAsia="Courier New" w:hAnsi="Courier New"/>
          <w:sz w:val="15"/>
          <w:szCs w:val="15"/>
          <w:color w:val="auto"/>
        </w:rPr>
      </w:pPr>
    </w:p>
    <w:p>
      <w:pPr>
        <w:ind w:left="610" w:right="3259" w:hanging="257"/>
        <w:spacing w:after="0" w:line="260" w:lineRule="auto"/>
        <w:tabs>
          <w:tab w:leader="none" w:pos="61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Copy of the latest report of condition of the Trustee published pursuant to law or the requirements of its supervising or examining authority is incorporated by reference to Registration Number 333-24029.</w:t>
      </w:r>
    </w:p>
    <w:p>
      <w:pPr>
        <w:spacing w:after="0" w:line="157"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 Incorporated by reference to Registration Number 22-27000.</w:t>
      </w:r>
    </w:p>
    <w:p>
      <w:pPr>
        <w:sectPr>
          <w:pgSz w:w="11900" w:h="16838" w:orient="portrait"/>
          <w:cols w:equalWidth="0" w:num="1">
            <w:col w:w="10229"/>
          </w:cols>
          <w:pgMar w:left="230" w:top="791" w:right="1440" w:bottom="1440" w:gutter="0" w:footer="0" w:header="0"/>
        </w:sectPr>
      </w:pPr>
    </w:p>
    <w:bookmarkStart w:id="66" w:name="page67"/>
    <w:bookmarkEnd w:id="66"/>
    <w:p>
      <w:pPr>
        <w:ind w:left="2990"/>
        <w:spacing w:after="0"/>
        <w:rPr>
          <w:sz w:val="20"/>
          <w:szCs w:val="20"/>
          <w:color w:val="auto"/>
        </w:rPr>
      </w:pPr>
      <w:r>
        <w:rPr>
          <w:rFonts w:ascii="Courier New" w:cs="Courier New" w:eastAsia="Courier New" w:hAnsi="Courier New"/>
          <w:sz w:val="15"/>
          <w:szCs w:val="15"/>
          <w:color w:val="auto"/>
        </w:rPr>
        <w:t>NOTE</w:t>
      </w:r>
    </w:p>
    <w:p>
      <w:pPr>
        <w:spacing w:after="0" w:line="175" w:lineRule="exact"/>
        <w:rPr>
          <w:sz w:val="20"/>
          <w:szCs w:val="20"/>
          <w:color w:val="auto"/>
        </w:rPr>
      </w:pPr>
    </w:p>
    <w:p>
      <w:pPr>
        <w:ind w:left="10" w:right="3539" w:firstLine="353"/>
        <w:spacing w:after="0" w:line="238" w:lineRule="auto"/>
        <w:rPr>
          <w:sz w:val="20"/>
          <w:szCs w:val="20"/>
          <w:color w:val="auto"/>
        </w:rPr>
      </w:pPr>
      <w:r>
        <w:rPr>
          <w:rFonts w:ascii="Courier New" w:cs="Courier New" w:eastAsia="Courier New" w:hAnsi="Courier New"/>
          <w:sz w:val="15"/>
          <w:szCs w:val="15"/>
          <w:color w:val="auto"/>
        </w:rPr>
        <w:t>The answers to this statement insofar as such answers relate to what persons have been underwriters for any securities of the obligors within three years prior to the date of filing this statement, or what persons are owners of 10% or more of the voting securities of the obligors, or affiliates, are based upon information furnished to the Trustee by the obligors. While the Trustee has no reason to doubt the accuracy of any such information, it cannot accept any responsibility therefor.</w:t>
      </w:r>
    </w:p>
    <w:p>
      <w:pPr>
        <w:spacing w:after="0" w:line="171" w:lineRule="exact"/>
        <w:rPr>
          <w:sz w:val="20"/>
          <w:szCs w:val="20"/>
          <w:color w:val="auto"/>
        </w:rPr>
      </w:pPr>
    </w:p>
    <w:p>
      <w:pPr>
        <w:jc w:val="center"/>
        <w:ind w:right="3790"/>
        <w:spacing w:after="0"/>
        <w:rPr>
          <w:sz w:val="20"/>
          <w:szCs w:val="20"/>
          <w:color w:val="auto"/>
        </w:rPr>
      </w:pPr>
      <w:r>
        <w:rPr>
          <w:rFonts w:ascii="Courier New" w:cs="Courier New" w:eastAsia="Courier New" w:hAnsi="Courier New"/>
          <w:sz w:val="15"/>
          <w:szCs w:val="15"/>
          <w:color w:val="auto"/>
        </w:rPr>
        <w:t>SIGNATURE</w:t>
      </w:r>
    </w:p>
    <w:p>
      <w:pPr>
        <w:spacing w:after="0" w:line="175" w:lineRule="exact"/>
        <w:rPr>
          <w:sz w:val="20"/>
          <w:szCs w:val="20"/>
          <w:color w:val="auto"/>
        </w:rPr>
      </w:pPr>
    </w:p>
    <w:p>
      <w:pPr>
        <w:ind w:left="10" w:right="3439" w:firstLine="353"/>
        <w:spacing w:after="0" w:line="238" w:lineRule="auto"/>
        <w:rPr>
          <w:sz w:val="20"/>
          <w:szCs w:val="20"/>
          <w:color w:val="auto"/>
        </w:rPr>
      </w:pPr>
      <w:r>
        <w:rPr>
          <w:rFonts w:ascii="Courier New" w:cs="Courier New" w:eastAsia="Courier New" w:hAnsi="Courier New"/>
          <w:sz w:val="15"/>
          <w:szCs w:val="15"/>
          <w:color w:val="auto"/>
        </w:rPr>
        <w:t>Pursuant to the requirements of the Trust Indenture Act of 1939, the Trustee, First Trust National Association, an Association organized and existing under the laws of the United States, has duly caused this statement of eligibility and qualification to be signed on its behalf by the undersigned, thereunto duly authorized, and its seal to be hereunto affixed and attested, all in the City of Saint Paul and State of Minnesota on the 5th day of June, 1997.</w:t>
      </w:r>
    </w:p>
    <w:p>
      <w:pPr>
        <w:spacing w:after="0" w:line="171"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FIRST TRUST NATIONAL ASSOCIATION</w:t>
      </w:r>
    </w:p>
    <w:p>
      <w:pPr>
        <w:ind w:left="10"/>
        <w:spacing w:after="0"/>
        <w:rPr>
          <w:sz w:val="20"/>
          <w:szCs w:val="20"/>
          <w:color w:val="auto"/>
        </w:rPr>
      </w:pPr>
      <w:r>
        <w:rPr>
          <w:rFonts w:ascii="Courier New" w:cs="Courier New" w:eastAsia="Courier New" w:hAnsi="Courier New"/>
          <w:sz w:val="15"/>
          <w:szCs w:val="15"/>
          <w:color w:val="auto"/>
        </w:rPr>
        <w:t>[SEAL]</w:t>
      </w:r>
    </w:p>
    <w:p>
      <w:pPr>
        <w:spacing w:after="0" w:line="16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/s/ R. Prokosch</w:t>
      </w:r>
    </w:p>
    <w:p>
      <w:pPr>
        <w:ind w:left="2830"/>
        <w:spacing w:after="0"/>
        <w:rPr>
          <w:sz w:val="20"/>
          <w:szCs w:val="20"/>
          <w:color w:val="auto"/>
        </w:rPr>
      </w:pPr>
      <w:r>
        <w:rPr>
          <w:rFonts w:ascii="Courier New" w:cs="Courier New" w:eastAsia="Courier New" w:hAnsi="Courier New"/>
          <w:sz w:val="15"/>
          <w:szCs w:val="15"/>
          <w:color w:val="auto"/>
        </w:rPr>
        <w:t>------------------------</w:t>
      </w:r>
    </w:p>
    <w:p>
      <w:pPr>
        <w:ind w:left="2830"/>
        <w:spacing w:after="0"/>
        <w:rPr>
          <w:sz w:val="20"/>
          <w:szCs w:val="20"/>
          <w:color w:val="auto"/>
        </w:rPr>
      </w:pPr>
      <w:r>
        <w:rPr>
          <w:rFonts w:ascii="Courier New" w:cs="Courier New" w:eastAsia="Courier New" w:hAnsi="Courier New"/>
          <w:sz w:val="15"/>
          <w:szCs w:val="15"/>
          <w:color w:val="auto"/>
        </w:rPr>
        <w:t>Richard H. Prokosch</w:t>
      </w:r>
    </w:p>
    <w:p>
      <w:pPr>
        <w:ind w:left="2830"/>
        <w:spacing w:after="0" w:line="238" w:lineRule="auto"/>
        <w:rPr>
          <w:sz w:val="20"/>
          <w:szCs w:val="20"/>
          <w:color w:val="auto"/>
        </w:rPr>
      </w:pPr>
      <w:r>
        <w:rPr>
          <w:rFonts w:ascii="Courier New" w:cs="Courier New" w:eastAsia="Courier New" w:hAnsi="Courier New"/>
          <w:sz w:val="15"/>
          <w:szCs w:val="15"/>
          <w:color w:val="auto"/>
        </w:rPr>
        <w:t>Trust Officer</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K. Barrett</w:t>
      </w:r>
    </w:p>
    <w:p>
      <w:pPr>
        <w:ind w:left="170" w:hanging="170"/>
        <w:spacing w:after="0"/>
        <w:tabs>
          <w:tab w:leader="none" w:pos="17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855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Kathe M. Barrett Assistant Secretary</w:t>
      </w:r>
    </w:p>
    <w:p>
      <w:pPr>
        <w:sectPr>
          <w:pgSz w:w="11900" w:h="16838" w:orient="portrait"/>
          <w:cols w:equalWidth="0" w:num="1">
            <w:col w:w="10229"/>
          </w:cols>
          <w:pgMar w:left="230" w:top="791" w:right="1440" w:bottom="1440" w:gutter="0" w:footer="0" w:header="0"/>
        </w:sectPr>
      </w:pPr>
    </w:p>
    <w:bookmarkStart w:id="67" w:name="page68"/>
    <w:bookmarkEnd w:id="67"/>
    <w:p>
      <w:pPr>
        <w:jc w:val="center"/>
        <w:ind w:right="-260"/>
        <w:spacing w:after="0"/>
        <w:rPr>
          <w:sz w:val="20"/>
          <w:szCs w:val="20"/>
          <w:color w:val="auto"/>
        </w:rPr>
      </w:pPr>
      <w:r>
        <w:rPr>
          <w:rFonts w:ascii="Courier New" w:cs="Courier New" w:eastAsia="Courier New" w:hAnsi="Courier New"/>
          <w:sz w:val="15"/>
          <w:szCs w:val="15"/>
          <w:color w:val="auto"/>
        </w:rPr>
        <w:t>EXHIBIT 6</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CONSENT</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In accordance with Section 321(b) of the Trust Indenture Act of 1939, the undersigned, FIRST TRUST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June 5, 1997</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FIRST TRUST NATIONAL ASSOCIATION</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 Richard H. Prokosch</w:t>
      </w:r>
    </w:p>
    <w:p>
      <w:pPr>
        <w:ind w:left="2820"/>
        <w:spacing w:after="0"/>
        <w:rPr>
          <w:sz w:val="20"/>
          <w:szCs w:val="20"/>
          <w:color w:val="auto"/>
        </w:rPr>
      </w:pPr>
      <w:r>
        <w:rPr>
          <w:rFonts w:ascii="Courier New" w:cs="Courier New" w:eastAsia="Courier New" w:hAnsi="Courier New"/>
          <w:sz w:val="15"/>
          <w:szCs w:val="15"/>
          <w:color w:val="auto"/>
        </w:rPr>
        <w:t>---------------------------------</w:t>
      </w:r>
    </w:p>
    <w:p>
      <w:pPr>
        <w:ind w:left="2820"/>
        <w:spacing w:after="0"/>
        <w:rPr>
          <w:sz w:val="20"/>
          <w:szCs w:val="20"/>
          <w:color w:val="auto"/>
        </w:rPr>
      </w:pPr>
      <w:r>
        <w:rPr>
          <w:rFonts w:ascii="Courier New" w:cs="Courier New" w:eastAsia="Courier New" w:hAnsi="Courier New"/>
          <w:sz w:val="15"/>
          <w:szCs w:val="15"/>
          <w:color w:val="auto"/>
        </w:rPr>
        <w:t>Richard H. Prokosch</w:t>
      </w:r>
    </w:p>
    <w:p>
      <w:pPr>
        <w:ind w:left="2820"/>
        <w:spacing w:after="0" w:line="238" w:lineRule="auto"/>
        <w:rPr>
          <w:sz w:val="20"/>
          <w:szCs w:val="20"/>
          <w:color w:val="auto"/>
        </w:rPr>
      </w:pPr>
      <w:r>
        <w:rPr>
          <w:rFonts w:ascii="Courier New" w:cs="Courier New" w:eastAsia="Courier New" w:hAnsi="Courier New"/>
          <w:sz w:val="15"/>
          <w:szCs w:val="15"/>
          <w:color w:val="auto"/>
        </w:rPr>
        <w:t>Trust Officer</w:t>
      </w:r>
    </w:p>
    <w:sectPr>
      <w:pgSz w:w="11900" w:h="16838" w:orient="portrait"/>
      <w:cols w:equalWidth="0" w:num="1">
        <w:col w:w="10219"/>
      </w:cols>
      <w:pgMar w:left="240" w:top="9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lowerRoman"/>
      <w:start w:val="4"/>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lowerRoman"/>
      <w:start w:val="14"/>
    </w:lvl>
  </w:abstractNum>
  <w:abstractNum w:abstractNumId="5">
    <w:nsid w:val="7724C67E"/>
    <w:multiLevelType w:val="hybridMultilevel"/>
    <w:lvl w:ilvl="0">
      <w:lvlJc w:val="left"/>
      <w:lvlText w:val="%1"/>
      <w:numFmt w:val="lowerLetter"/>
      <w:start w:val="1"/>
    </w:lvl>
    <w:lvl w:ilvl="1">
      <w:lvlJc w:val="left"/>
      <w:lvlText w:val="(%2)"/>
      <w:numFmt w:val="lowerLetter"/>
      <w:start w:val="1"/>
    </w:lvl>
  </w:abstractNum>
  <w:abstractNum w:abstractNumId="6">
    <w:nsid w:val="5C482A97"/>
    <w:multiLevelType w:val="hybridMultilevel"/>
    <w:lvl w:ilvl="0">
      <w:lvlJc w:val="left"/>
      <w:lvlText w:val="(%1)"/>
      <w:numFmt w:val="lowerLetter"/>
      <w:start w:val="7"/>
    </w:lvl>
    <w:lvl w:ilvl="1">
      <w:lvlJc w:val="left"/>
      <w:lvlText w:val="%2"/>
      <w:numFmt w:val="lowerLetter"/>
      <w:start w:val="1"/>
    </w:lvl>
  </w:abstractNum>
  <w:abstractNum w:abstractNumId="7">
    <w:nsid w:val="2463B9EA"/>
    <w:multiLevelType w:val="hybridMultilevel"/>
    <w:lvl w:ilvl="0">
      <w:lvlJc w:val="left"/>
      <w:lvlText w:val="(%1)"/>
      <w:numFmt w:val="lowerLetter"/>
      <w:start w:val="7"/>
    </w:lvl>
  </w:abstractNum>
  <w:abstractNum w:abstractNumId="8">
    <w:nsid w:val="5E884ADC"/>
    <w:multiLevelType w:val="hybridMultilevel"/>
    <w:lvl w:ilvl="0">
      <w:lvlJc w:val="left"/>
      <w:lvlText w:val="(%1)"/>
      <w:numFmt w:val="lowerLetter"/>
      <w:start w:val="1"/>
    </w:lvl>
  </w:abstractNum>
  <w:abstractNum w:abstractNumId="9">
    <w:nsid w:val="51EAD36B"/>
    <w:multiLevelType w:val="hybridMultilevel"/>
    <w:lvl w:ilvl="0">
      <w:lvlJc w:val="left"/>
      <w:lvlText w:val="&amp;"/>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5"/>
      <w:numFmt w:val="bullet"/>
      <w:start w:val="1"/>
    </w:lvl>
  </w:abstractNum>
  <w:abstractNum w:abstractNumId="12">
    <w:nsid w:val="153EA438"/>
    <w:multiLevelType w:val="hybridMultilevel"/>
    <w:lvl w:ilvl="0">
      <w:lvlJc w:val="left"/>
      <w:lvlText w:val="%1"/>
      <w:numFmt w:val="decimal"/>
      <w:start w:val="24"/>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lowerLetter"/>
      <w:start w:val="1"/>
    </w:lvl>
    <w:lvl w:ilvl="1">
      <w:lvlJc w:val="left"/>
      <w:lvlText w:val="(%2)"/>
      <w:numFmt w:val="decimal"/>
      <w:start w:val="1"/>
    </w:lvl>
  </w:abstractNum>
  <w:abstractNum w:abstractNumId="15">
    <w:nsid w:val="6A2342EC"/>
    <w:multiLevelType w:val="hybridMultilevel"/>
    <w:lvl w:ilvl="0">
      <w:lvlJc w:val="left"/>
      <w:lvlText w:val="(%1)"/>
      <w:numFmt w:val="lowerRoman"/>
      <w:start w:val="1"/>
    </w:lvl>
  </w:abstractNum>
  <w:abstractNum w:abstractNumId="16">
    <w:nsid w:val="2A487CB0"/>
    <w:multiLevelType w:val="hybridMultilevel"/>
    <w:lvl w:ilvl="0">
      <w:lvlJc w:val="left"/>
      <w:lvlText w:val="(%1)"/>
      <w:numFmt w:val="lowerRoman"/>
      <w:start w:val="2"/>
    </w:lvl>
  </w:abstractNum>
  <w:abstractNum w:abstractNumId="17">
    <w:nsid w:val="1D4ED43B"/>
    <w:multiLevelType w:val="hybridMultilevel"/>
    <w:lvl w:ilvl="0">
      <w:lvlJc w:val="left"/>
      <w:lvlText w:val="%1"/>
      <w:numFmt w:val="lowerLetter"/>
      <w:start w:val="1"/>
    </w:lvl>
    <w:lvl w:ilvl="1">
      <w:lvlJc w:val="left"/>
      <w:lvlText w:val="(%2)"/>
      <w:numFmt w:val="decimal"/>
      <w:start w:val="2"/>
    </w:lvl>
  </w:abstractNum>
  <w:abstractNum w:abstractNumId="18">
    <w:nsid w:val="725A06FB"/>
    <w:multiLevelType w:val="hybridMultilevel"/>
    <w:lvl w:ilvl="0">
      <w:lvlJc w:val="left"/>
      <w:lvlText w:val="(%1)"/>
      <w:numFmt w:val="lowerLetter"/>
      <w:start w:val="2"/>
    </w:lvl>
    <w:lvl w:ilvl="1">
      <w:lvlJc w:val="left"/>
      <w:lvlText w:val="%2"/>
      <w:numFmt w:val="decimal"/>
      <w:start w:val="1"/>
    </w:lvl>
  </w:abstractNum>
  <w:abstractNum w:abstractNumId="19">
    <w:nsid w:val="2CD89A32"/>
    <w:multiLevelType w:val="hybridMultilevel"/>
    <w:lvl w:ilvl="0">
      <w:lvlJc w:val="left"/>
      <w:lvlText w:val="(%1)"/>
      <w:numFmt w:val="lowerLetter"/>
      <w:start w:val="8"/>
    </w:lvl>
  </w:abstractNum>
  <w:abstractNum w:abstractNumId="20">
    <w:nsid w:val="57E4CCAF"/>
    <w:multiLevelType w:val="hybridMultilevel"/>
    <w:lvl w:ilvl="0">
      <w:lvlJc w:val="left"/>
      <w:lvlText w:val="5"/>
      <w:numFmt w:val="bullet"/>
      <w:start w:val="1"/>
    </w:lvl>
  </w:abstractNum>
  <w:abstractNum w:abstractNumId="21">
    <w:nsid w:val="7A6D8D3C"/>
    <w:multiLevelType w:val="hybridMultilevel"/>
    <w:lvl w:ilvl="0">
      <w:lvlJc w:val="left"/>
      <w:lvlText w:val="%1"/>
      <w:numFmt w:val="decimal"/>
      <w:start w:val="24"/>
    </w:lvl>
  </w:abstractNum>
  <w:abstractNum w:abstractNumId="22">
    <w:nsid w:val="4B588F54"/>
    <w:multiLevelType w:val="hybridMultilevel"/>
    <w:lvl w:ilvl="0">
      <w:lvlJc w:val="left"/>
      <w:lvlText w:val="%1."/>
      <w:numFmt w:val="decimal"/>
      <w:start w:val="1"/>
    </w:lvl>
    <w:lvl w:ilvl="1">
      <w:lvlJc w:val="left"/>
      <w:lvlText w:val="(%2)"/>
      <w:numFmt w:val="lowerLetter"/>
      <w:start w:val="1"/>
    </w:lvl>
  </w:abstractNum>
  <w:abstractNum w:abstractNumId="23">
    <w:nsid w:val="542289EC"/>
    <w:multiLevelType w:val="hybridMultilevel"/>
    <w:lvl w:ilvl="0">
      <w:lvlJc w:val="left"/>
      <w:lvlText w:val="(%1)"/>
      <w:numFmt w:val="lowerLetter"/>
      <w:start w:val="2"/>
    </w:lvl>
  </w:abstractNum>
  <w:abstractNum w:abstractNumId="24">
    <w:nsid w:val="6DE91B18"/>
    <w:multiLevelType w:val="hybridMultilevel"/>
    <w:lvl w:ilvl="0">
      <w:lvlJc w:val="left"/>
      <w:lvlText w:val="(%1)"/>
      <w:numFmt w:val="lowerLetter"/>
      <w:start w:val="5"/>
    </w:lvl>
  </w:abstractNum>
  <w:abstractNum w:abstractNumId="25">
    <w:nsid w:val="38437FDB"/>
    <w:multiLevelType w:val="hybridMultilevel"/>
    <w:lvl w:ilvl="0">
      <w:lvlJc w:val="left"/>
      <w:lvlText w:val="(%1)"/>
      <w:numFmt w:val="lowerLetter"/>
      <w:start w:val="8"/>
    </w:lvl>
  </w:abstractNum>
  <w:abstractNum w:abstractNumId="26">
    <w:nsid w:val="7644A45C"/>
    <w:multiLevelType w:val="hybridMultilevel"/>
    <w:lvl w:ilvl="0">
      <w:lvlJc w:val="left"/>
      <w:lvlText w:val="(%1)"/>
      <w:numFmt w:val="lowerLetter"/>
      <w:start w:val="14"/>
    </w:lvl>
  </w:abstractNum>
  <w:abstractNum w:abstractNumId="27">
    <w:nsid w:val="32FFF902"/>
    <w:multiLevelType w:val="hybridMultilevel"/>
    <w:lvl w:ilvl="0">
      <w:lvlJc w:val="left"/>
      <w:lvlText w:val="%1"/>
      <w:numFmt w:val="decimal"/>
      <w:start w:val="1"/>
    </w:lvl>
    <w:lvl w:ilvl="1">
      <w:lvlJc w:val="left"/>
      <w:lvlText w:val="(%2)"/>
      <w:numFmt w:val="lowerLetter"/>
      <w:start w:val="17"/>
    </w:lvl>
  </w:abstractNum>
  <w:abstractNum w:abstractNumId="28">
    <w:nsid w:val="684A481A"/>
    <w:multiLevelType w:val="hybridMultilevel"/>
    <w:lvl w:ilvl="0">
      <w:lvlJc w:val="left"/>
      <w:lvlText w:val="%1."/>
      <w:numFmt w:val="decimal"/>
      <w:start w:val="3"/>
    </w:lvl>
    <w:lvl w:ilvl="1">
      <w:lvlJc w:val="left"/>
      <w:lvlText w:val="(%2)"/>
      <w:numFmt w:val="lowerLetter"/>
      <w:start w:val="1"/>
    </w:lvl>
  </w:abstractNum>
  <w:abstractNum w:abstractNumId="29">
    <w:nsid w:val="579478FE"/>
    <w:multiLevelType w:val="hybridMultilevel"/>
    <w:lvl w:ilvl="0">
      <w:lvlJc w:val="left"/>
      <w:lvlText w:val="(%1)"/>
      <w:numFmt w:val="lowerLetter"/>
      <w:start w:val="2"/>
    </w:lvl>
  </w:abstractNum>
  <w:abstractNum w:abstractNumId="30">
    <w:nsid w:val="749ABB43"/>
    <w:multiLevelType w:val="hybridMultilevel"/>
    <w:lvl w:ilvl="0">
      <w:lvlJc w:val="left"/>
      <w:lvlText w:val="%1"/>
      <w:numFmt w:val="decimal"/>
      <w:start w:val="1"/>
    </w:lvl>
    <w:lvl w:ilvl="1">
      <w:lvlJc w:val="left"/>
      <w:lvlText w:val="(%2)"/>
      <w:numFmt w:val="lowerLetter"/>
      <w:start w:val="4"/>
    </w:lvl>
  </w:abstractNum>
  <w:abstractNum w:abstractNumId="31">
    <w:nsid w:val="3DC240FB"/>
    <w:multiLevelType w:val="hybridMultilevel"/>
    <w:lvl w:ilvl="0">
      <w:lvlJc w:val="left"/>
      <w:lvlText w:val="%1."/>
      <w:numFmt w:val="decimal"/>
      <w:start w:val="6"/>
    </w:lvl>
    <w:lvl w:ilvl="1">
      <w:lvlJc w:val="left"/>
      <w:lvlText w:val="%2"/>
      <w:numFmt w:val="lowerLetter"/>
      <w:start w:val="1"/>
    </w:lvl>
  </w:abstractNum>
  <w:abstractNum w:abstractNumId="32">
    <w:nsid w:val="1BA026F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3">
    <w:nsid w:val="79A1DEAA"/>
    <w:multiLevelType w:val="hybridMultilevel"/>
    <w:lvl w:ilvl="0">
      <w:lvlJc w:val="left"/>
      <w:lvlText w:val="(%1)"/>
      <w:numFmt w:val="lowerRoman"/>
      <w:start w:val="4"/>
    </w:lvl>
  </w:abstractNum>
  <w:abstractNum w:abstractNumId="34">
    <w:nsid w:val="75C6C33A"/>
    <w:multiLevelType w:val="hybridMultilevel"/>
    <w:lvl w:ilvl="0">
      <w:lvlJc w:val="left"/>
      <w:lvlText w:val="(%1)"/>
      <w:numFmt w:val="lowerRoman"/>
      <w:start w:val="10"/>
    </w:lvl>
  </w:abstractNum>
  <w:abstractNum w:abstractNumId="35">
    <w:nsid w:val="12E685FB"/>
    <w:multiLevelType w:val="hybridMultilevel"/>
    <w:lvl w:ilvl="0">
      <w:lvlJc w:val="left"/>
      <w:lvlText w:val="(%1)"/>
      <w:numFmt w:val="lowerLetter"/>
      <w:start w:val="4"/>
    </w:lvl>
    <w:lvl w:ilvl="1">
      <w:lvlJc w:val="left"/>
      <w:lvlText w:val="(%2)"/>
      <w:numFmt w:val="lowerRoman"/>
      <w:start w:val="1"/>
    </w:lvl>
  </w:abstractNum>
  <w:abstractNum w:abstractNumId="36">
    <w:nsid w:val="70C6A529"/>
    <w:multiLevelType w:val="hybridMultilevel"/>
    <w:lvl w:ilvl="0">
      <w:lvlJc w:val="left"/>
      <w:lvlText w:val="(%1)"/>
      <w:numFmt w:val="lowerRoman"/>
      <w:start w:val="3"/>
    </w:lvl>
  </w:abstractNum>
  <w:abstractNum w:abstractNumId="37">
    <w:nsid w:val="520EEDD1"/>
    <w:multiLevelType w:val="hybridMultilevel"/>
    <w:lvl w:ilvl="0">
      <w:lvlJc w:val="left"/>
      <w:lvlText w:val="(%1)"/>
      <w:numFmt w:val="lowerLetter"/>
      <w:start w:val="5"/>
    </w:lvl>
  </w:abstractNum>
  <w:abstractNum w:abstractNumId="38">
    <w:nsid w:val="374A3FE6"/>
    <w:multiLevelType w:val="hybridMultilevel"/>
    <w:lvl w:ilvl="0">
      <w:lvlJc w:val="left"/>
      <w:lvlText w:val="(%1)"/>
      <w:numFmt w:val="lowerLetter"/>
      <w:start w:val="6"/>
    </w:lvl>
  </w:abstractNum>
  <w:abstractNum w:abstractNumId="39">
    <w:nsid w:val="4F4EF005"/>
    <w:multiLevelType w:val="hybridMultilevel"/>
    <w:lvl w:ilvl="0">
      <w:lvlJc w:val="left"/>
      <w:lvlText w:val="%1"/>
      <w:numFmt w:val="decimal"/>
      <w:start w:val="1"/>
    </w:lvl>
    <w:lvl w:ilvl="1">
      <w:lvlJc w:val="left"/>
      <w:lvlText w:val="(%2)"/>
      <w:numFmt w:val="lowerLetter"/>
      <w:start w:val="10"/>
    </w:lvl>
  </w:abstractNum>
  <w:abstractNum w:abstractNumId="40">
    <w:nsid w:val="23F9C13C"/>
    <w:multiLevelType w:val="hybridMultilevel"/>
    <w:lvl w:ilvl="0">
      <w:lvlJc w:val="left"/>
      <w:lvlText w:val="%1."/>
      <w:numFmt w:val="decimal"/>
      <w:start w:val="8"/>
    </w:lvl>
    <w:lvl w:ilvl="1">
      <w:lvlJc w:val="left"/>
      <w:lvlText w:val="%2"/>
      <w:numFmt w:val="lowerLetter"/>
      <w:start w:val="1"/>
    </w:lvl>
  </w:abstractNum>
  <w:abstractNum w:abstractNumId="41">
    <w:nsid w:val="649BB77C"/>
    <w:multiLevelType w:val="hybridMultilevel"/>
    <w:lvl w:ilvl="0">
      <w:lvlJc w:val="left"/>
      <w:lvlText w:val="(%1)"/>
      <w:numFmt w:val="lowerLetter"/>
      <w:start w:val="2"/>
    </w:lvl>
  </w:abstractNum>
  <w:abstractNum w:abstractNumId="42">
    <w:nsid w:val="275AC794"/>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43">
    <w:nsid w:val="39386575"/>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4"/>
    </w:lvl>
  </w:abstractNum>
  <w:abstractNum w:abstractNumId="44">
    <w:nsid w:val="1CF10FD8"/>
    <w:multiLevelType w:val="hybridMultilevel"/>
    <w:lvl w:ilvl="0">
      <w:lvlJc w:val="left"/>
      <w:lvlText w:val="(%1)"/>
      <w:numFmt w:val="lowerLetter"/>
      <w:start w:val="5"/>
    </w:lvl>
  </w:abstractNum>
  <w:abstractNum w:abstractNumId="45">
    <w:nsid w:val="180115BE"/>
    <w:multiLevelType w:val="hybridMultilevel"/>
    <w:lvl w:ilvl="0">
      <w:lvlJc w:val="left"/>
      <w:lvlText w:val="%1."/>
      <w:numFmt w:val="decimal"/>
      <w:start w:val="9"/>
    </w:lvl>
  </w:abstractNum>
  <w:abstractNum w:abstractNumId="46">
    <w:nsid w:val="235BA861"/>
    <w:multiLevelType w:val="hybridMultilevel"/>
    <w:lvl w:ilvl="0">
      <w:lvlJc w:val="left"/>
      <w:lvlText w:val="(%1)"/>
      <w:numFmt w:val="lowerLetter"/>
      <w:start w:val="2"/>
    </w:lvl>
  </w:abstractNum>
  <w:abstractNum w:abstractNumId="47">
    <w:nsid w:val="47398C89"/>
    <w:multiLevelType w:val="hybridMultilevel"/>
    <w:lvl w:ilvl="0">
      <w:lvlJc w:val="left"/>
      <w:lvlText w:val="(%1)"/>
      <w:numFmt w:val="lowerLetter"/>
      <w:start w:val="3"/>
    </w:lvl>
  </w:abstractNum>
  <w:abstractNum w:abstractNumId="48">
    <w:nsid w:val="354FE9F9"/>
    <w:multiLevelType w:val="hybridMultilevel"/>
    <w:lvl w:ilvl="0">
      <w:lvlJc w:val="left"/>
      <w:lvlText w:val="%1."/>
      <w:numFmt w:val="decimal"/>
      <w:start w:val="10"/>
    </w:lvl>
  </w:abstractNum>
  <w:abstractNum w:abstractNumId="49">
    <w:nsid w:val="15B5AF5C"/>
    <w:multiLevelType w:val="hybridMultilevel"/>
    <w:lvl w:ilvl="0">
      <w:lvlJc w:val="left"/>
      <w:lvlText w:val="%1."/>
      <w:numFmt w:val="decimal"/>
      <w:start w:val="13"/>
    </w:lvl>
  </w:abstractNum>
  <w:abstractNum w:abstractNumId="50">
    <w:nsid w:val="741226BB"/>
    <w:multiLevelType w:val="hybridMultilevel"/>
    <w:lvl w:ilvl="0">
      <w:lvlJc w:val="left"/>
      <w:lvlText w:val="%1"/>
      <w:numFmt w:val="upperLetter"/>
      <w:start w:val="35"/>
    </w:lvl>
  </w:abstractNum>
  <w:abstractNum w:abstractNumId="51">
    <w:nsid w:val="D34B6A8"/>
    <w:multiLevelType w:val="hybridMultilevel"/>
    <w:lvl w:ilvl="0">
      <w:lvlJc w:val="left"/>
      <w:lvlText w:val="(%1)"/>
      <w:numFmt w:val="lowerRoman"/>
      <w:start w:val="1"/>
    </w:lvl>
  </w:abstractNum>
  <w:abstractNum w:abstractNumId="52">
    <w:nsid w:val="10233C99"/>
    <w:multiLevelType w:val="hybridMultilevel"/>
    <w:lvl w:ilvl="0">
      <w:lvlJc w:val="left"/>
      <w:lvlText w:val="(%1)"/>
      <w:numFmt w:val="lowerRoman"/>
      <w:start w:val="5"/>
    </w:lvl>
    <w:lvl w:ilvl="1">
      <w:lvlJc w:val="left"/>
      <w:lvlText w:val="(%2)"/>
      <w:numFmt w:val="upperLetter"/>
      <w:start w:val="1"/>
    </w:lvl>
  </w:abstractNum>
  <w:abstractNum w:abstractNumId="53">
    <w:nsid w:val="3F6AB60F"/>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5"/>
    </w:lvl>
  </w:abstractNum>
  <w:abstractNum w:abstractNumId="54">
    <w:nsid w:val="61574095"/>
    <w:multiLevelType w:val="hybridMultilevel"/>
    <w:lvl w:ilvl="0">
      <w:lvlJc w:val="left"/>
      <w:lvlText w:val="%1"/>
      <w:numFmt w:val="upperLetter"/>
      <w:start w:val="1"/>
    </w:lvl>
    <w:lvl w:ilvl="1">
      <w:lvlJc w:val="left"/>
      <w:lvlText w:val="(%2)"/>
      <w:numFmt w:val="lowerRoman"/>
      <w:start w:val="7"/>
    </w:lvl>
    <w:lvl w:ilvl="2">
      <w:lvlJc w:val="left"/>
      <w:lvlText w:val="%3"/>
      <w:numFmt w:val="upperLetter"/>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decimal"/>
      <w:start w:val="2"/>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1)"/>
      <w:numFmt w:val="decimal"/>
      <w:start w:val="3"/>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2"/>
    </w:lvl>
  </w:abstractNum>
  <w:abstractNum w:abstractNumId="67">
    <w:nsid w:val="100F8FCA"/>
    <w:multiLevelType w:val="hybridMultilevel"/>
    <w:lvl w:ilvl="0">
      <w:lvlJc w:val="left"/>
      <w:lvlText w:val="%1."/>
      <w:numFmt w:val="decimal"/>
      <w:start w:val="16"/>
    </w:lvl>
    <w:lvl w:ilvl="1">
      <w:lvlJc w:val="left"/>
      <w:lvlText w:val="%2."/>
      <w:numFmt w:val="decimal"/>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2019-12-13T13:43:38Z</dcterms:created>
  <dcterms:modified xsi:type="dcterms:W3CDTF">2019-12-13T13:43:38Z</dcterms:modified>
</cp:coreProperties>
</file>