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12/06/2011</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1,350</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42,985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12/06/2011</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442</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56.88</w:t>
            </w: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42,543</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7,027.341</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5,900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12/07/2021</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jc w:val="right"/>
              <w:ind w:right="49"/>
              <w:spacing w:after="0" w:line="200" w:lineRule="exact"/>
              <w:rPr>
                <w:sz w:val="20"/>
                <w:szCs w:val="20"/>
                <w:color w:val="auto"/>
              </w:rPr>
            </w:pPr>
            <w:r>
              <w:rPr>
                <w:rFonts w:ascii="Arial" w:cs="Arial" w:eastAsia="Arial" w:hAnsi="Arial"/>
                <w:sz w:val="18"/>
                <w:szCs w:val="18"/>
                <w:color w:val="0000FF"/>
                <w:w w:val="93"/>
              </w:rPr>
              <w:t>5,900</w:t>
            </w:r>
          </w:p>
        </w:tc>
        <w:tc>
          <w:tcPr>
            <w:tcW w:w="20" w:type="dxa"/>
            <w:vAlign w:val="bottom"/>
          </w:tcPr>
          <w:p>
            <w:pPr>
              <w:spacing w:after="0"/>
              <w:rPr>
                <w:sz w:val="17"/>
                <w:szCs w:val="17"/>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5,900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2009 to Fiscal 2011 Performance Period under The Toro Company Performance Share Plan (the "PSP"), as approved by the registrant's Compensation &amp; Human Resources Committee of its Board of Directors and conditioned upon and subject to confirmation by the registrant's Fiscal 2011 financial results released on December 6, 2011.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151.047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E. Brown,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E. Brown, Jr.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04/08/2011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2019-12-17T01:22:17Z</dcterms:created>
  <dcterms:modified xsi:type="dcterms:W3CDTF">2019-12-17T01:22:17Z</dcterms:modified>
</cp:coreProperties>
</file>