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174625</wp:posOffset>
            </wp:positionH>
            <wp:positionV relativeFrom="page">
              <wp:posOffset>629285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646430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SD</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SPECIALIZED DISCLOSURE REPORT</w:t>
      </w:r>
    </w:p>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auto"/>
        </w:rPr>
        <w:t>THE TORO COMPANY</w:t>
      </w:r>
    </w:p>
    <w:p>
      <w:pPr>
        <w:spacing w:after="0" w:line="45"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520" w:type="dxa"/>
            <w:vAlign w:val="bottom"/>
            <w:gridSpan w:val="3"/>
          </w:tcPr>
          <w:p>
            <w:pPr>
              <w:jc w:val="center"/>
              <w:ind w:right="1860"/>
              <w:spacing w:after="0"/>
              <w:rPr>
                <w:sz w:val="20"/>
                <w:szCs w:val="20"/>
                <w:color w:val="auto"/>
              </w:rPr>
            </w:pPr>
            <w:r>
              <w:rPr>
                <w:rFonts w:ascii="Arial" w:cs="Arial" w:eastAsia="Arial" w:hAnsi="Arial"/>
                <w:sz w:val="20"/>
                <w:szCs w:val="20"/>
                <w:b w:val="1"/>
                <w:bCs w:val="1"/>
                <w:color w:val="auto"/>
                <w:w w:val="97"/>
              </w:rPr>
              <w:t>Delaware</w:t>
            </w:r>
          </w:p>
        </w:tc>
        <w:tc>
          <w:tcPr>
            <w:tcW w:w="2800" w:type="dxa"/>
            <w:vAlign w:val="bottom"/>
          </w:tcPr>
          <w:p>
            <w:pPr>
              <w:jc w:val="right"/>
              <w:ind w:right="1270"/>
              <w:spacing w:after="0"/>
              <w:rPr>
                <w:sz w:val="20"/>
                <w:szCs w:val="20"/>
                <w:color w:val="auto"/>
              </w:rPr>
            </w:pPr>
            <w:r>
              <w:rPr>
                <w:rFonts w:ascii="Arial" w:cs="Arial" w:eastAsia="Arial" w:hAnsi="Arial"/>
                <w:sz w:val="20"/>
                <w:szCs w:val="20"/>
                <w:b w:val="1"/>
                <w:bCs w:val="1"/>
                <w:color w:val="auto"/>
              </w:rPr>
              <w:t>1-8649</w:t>
            </w:r>
          </w:p>
        </w:tc>
        <w:tc>
          <w:tcPr>
            <w:tcW w:w="3520" w:type="dxa"/>
            <w:vAlign w:val="bottom"/>
            <w:gridSpan w:val="3"/>
          </w:tcPr>
          <w:p>
            <w:pPr>
              <w:jc w:val="right"/>
              <w:ind w:right="880"/>
              <w:spacing w:after="0"/>
              <w:rPr>
                <w:sz w:val="20"/>
                <w:szCs w:val="20"/>
                <w:color w:val="auto"/>
              </w:rPr>
            </w:pPr>
            <w:r>
              <w:rPr>
                <w:rFonts w:ascii="Arial" w:cs="Arial" w:eastAsia="Arial" w:hAnsi="Arial"/>
                <w:sz w:val="20"/>
                <w:szCs w:val="20"/>
                <w:b w:val="1"/>
                <w:bCs w:val="1"/>
                <w:color w:val="auto"/>
              </w:rPr>
              <w:t>41-0580470</w:t>
            </w:r>
          </w:p>
        </w:tc>
      </w:tr>
      <w:tr>
        <w:trPr>
          <w:trHeight w:val="233"/>
        </w:trPr>
        <w:tc>
          <w:tcPr>
            <w:tcW w:w="3520" w:type="dxa"/>
            <w:vAlign w:val="bottom"/>
            <w:gridSpan w:val="3"/>
          </w:tcPr>
          <w:p>
            <w:pPr>
              <w:jc w:val="center"/>
              <w:ind w:right="1860"/>
              <w:spacing w:after="0"/>
              <w:rPr>
                <w:sz w:val="20"/>
                <w:szCs w:val="20"/>
                <w:color w:val="auto"/>
              </w:rPr>
            </w:pPr>
            <w:r>
              <w:rPr>
                <w:rFonts w:ascii="Arial" w:cs="Arial" w:eastAsia="Arial" w:hAnsi="Arial"/>
                <w:sz w:val="16"/>
                <w:szCs w:val="16"/>
                <w:color w:val="auto"/>
              </w:rPr>
              <w:t>(State of Incorporation)</w:t>
            </w:r>
          </w:p>
        </w:tc>
        <w:tc>
          <w:tcPr>
            <w:tcW w:w="2800" w:type="dxa"/>
            <w:vAlign w:val="bottom"/>
          </w:tcPr>
          <w:p>
            <w:pPr>
              <w:jc w:val="center"/>
              <w:ind w:right="430"/>
              <w:spacing w:after="0"/>
              <w:rPr>
                <w:sz w:val="20"/>
                <w:szCs w:val="20"/>
                <w:color w:val="auto"/>
              </w:rPr>
            </w:pPr>
            <w:r>
              <w:rPr>
                <w:rFonts w:ascii="Arial" w:cs="Arial" w:eastAsia="Arial" w:hAnsi="Arial"/>
                <w:sz w:val="16"/>
                <w:szCs w:val="16"/>
                <w:color w:val="auto"/>
              </w:rPr>
              <w:t>(Commission File Number)</w:t>
            </w:r>
          </w:p>
        </w:tc>
        <w:tc>
          <w:tcPr>
            <w:tcW w:w="3520" w:type="dxa"/>
            <w:vAlign w:val="bottom"/>
            <w:gridSpan w:val="3"/>
          </w:tcPr>
          <w:p>
            <w:pPr>
              <w:jc w:val="center"/>
              <w:ind w:left="610"/>
              <w:spacing w:after="0"/>
              <w:rPr>
                <w:sz w:val="20"/>
                <w:szCs w:val="20"/>
                <w:color w:val="auto"/>
              </w:rPr>
            </w:pPr>
            <w:r>
              <w:rPr>
                <w:rFonts w:ascii="Arial" w:cs="Arial" w:eastAsia="Arial" w:hAnsi="Arial"/>
                <w:sz w:val="16"/>
                <w:szCs w:val="16"/>
                <w:color w:val="auto"/>
              </w:rPr>
              <w:t>(I.R.S. Employer Identification Number)</w:t>
            </w:r>
          </w:p>
        </w:tc>
      </w:tr>
      <w:tr>
        <w:trPr>
          <w:trHeight w:val="829"/>
        </w:trPr>
        <w:tc>
          <w:tcPr>
            <w:tcW w:w="440" w:type="dxa"/>
            <w:vAlign w:val="bottom"/>
          </w:tcPr>
          <w:p>
            <w:pPr>
              <w:spacing w:after="0"/>
              <w:rPr>
                <w:sz w:val="24"/>
                <w:szCs w:val="24"/>
                <w:color w:val="auto"/>
              </w:rPr>
            </w:pPr>
          </w:p>
        </w:tc>
        <w:tc>
          <w:tcPr>
            <w:tcW w:w="30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8"/>
              </w:rPr>
              <w:t>8111 Lyndale Avenue South</w:t>
            </w:r>
          </w:p>
        </w:tc>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7"/>
        </w:trPr>
        <w:tc>
          <w:tcPr>
            <w:tcW w:w="440" w:type="dxa"/>
            <w:vAlign w:val="bottom"/>
          </w:tcPr>
          <w:p>
            <w:pPr>
              <w:spacing w:after="0"/>
              <w:rPr>
                <w:sz w:val="18"/>
                <w:szCs w:val="18"/>
                <w:color w:val="auto"/>
              </w:rPr>
            </w:pPr>
          </w:p>
        </w:tc>
        <w:tc>
          <w:tcPr>
            <w:tcW w:w="274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0"/>
                <w:szCs w:val="20"/>
                <w:b w:val="1"/>
                <w:bCs w:val="1"/>
                <w:color w:val="auto"/>
                <w:w w:val="98"/>
              </w:rPr>
              <w:t>Bloomington, Minnesota</w:t>
            </w: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b w:val="1"/>
                <w:bCs w:val="1"/>
                <w:color w:val="auto"/>
              </w:rPr>
              <w:t>55420</w:t>
            </w:r>
          </w:p>
        </w:tc>
        <w:tc>
          <w:tcPr>
            <w:tcW w:w="1940" w:type="dxa"/>
            <w:vAlign w:val="bottom"/>
          </w:tcPr>
          <w:p>
            <w:pPr>
              <w:spacing w:after="0"/>
              <w:rPr>
                <w:sz w:val="18"/>
                <w:szCs w:val="18"/>
                <w:color w:val="auto"/>
              </w:rPr>
            </w:pPr>
          </w:p>
        </w:tc>
      </w:tr>
      <w:tr>
        <w:trPr>
          <w:trHeight w:val="223"/>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800" w:type="dxa"/>
            <w:vAlign w:val="bottom"/>
          </w:tcPr>
          <w:p>
            <w:pPr>
              <w:spacing w:after="0"/>
              <w:rPr>
                <w:sz w:val="19"/>
                <w:szCs w:val="19"/>
                <w:color w:val="auto"/>
              </w:rPr>
            </w:pPr>
          </w:p>
        </w:tc>
        <w:tc>
          <w:tcPr>
            <w:tcW w:w="3520" w:type="dxa"/>
            <w:vAlign w:val="bottom"/>
            <w:gridSpan w:val="3"/>
          </w:tcPr>
          <w:p>
            <w:pPr>
              <w:jc w:val="center"/>
              <w:ind w:right="1140"/>
              <w:spacing w:after="0"/>
              <w:rPr>
                <w:sz w:val="20"/>
                <w:szCs w:val="20"/>
                <w:color w:val="auto"/>
              </w:rPr>
            </w:pPr>
            <w:r>
              <w:rPr>
                <w:rFonts w:ascii="Arial" w:cs="Arial" w:eastAsia="Arial" w:hAnsi="Arial"/>
                <w:sz w:val="18"/>
                <w:szCs w:val="18"/>
                <w:color w:val="auto"/>
              </w:rPr>
              <w:t>(Zip Code)</w:t>
            </w:r>
          </w:p>
        </w:tc>
      </w:tr>
    </w:tbl>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Colleen Hart (952) 888-8801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1524000</wp:posOffset>
            </wp:positionH>
            <wp:positionV relativeFrom="paragraph">
              <wp:posOffset>14605</wp:posOffset>
            </wp:positionV>
            <wp:extent cx="4133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(Name and telephone number, including area code,</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6" w:lineRule="exact"/>
        <w:rPr>
          <w:sz w:val="24"/>
          <w:szCs w:val="24"/>
          <w:color w:val="auto"/>
        </w:rPr>
      </w:pPr>
    </w:p>
    <w:p>
      <w:pPr>
        <w:ind w:left="540" w:hanging="49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wp:posOffset>
            </wp:positionH>
            <wp:positionV relativeFrom="paragraph">
              <wp:posOffset>1970405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1987550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1875790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360" w:top="1440"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Conflict Minerals Disclosure and Report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provided for in Rule 13p-1 under the Securities Exchange Act of 1934, as amended, and Form SD, a Conflict Minerals Report is provided as an Exhibit to this Form SD and is available at https://www.toro.com/en/about/corporate-responsibility/product-safety-sustainability/conflict-minerals. The information contained on our websites or connected to our websites is not incorporated by reference into this Form SD or our Conflict Minerals Report and should not be considered part of this Form SD or the Conflict Minerals Report.</w:t>
      </w:r>
    </w:p>
    <w:p>
      <w:pPr>
        <w:spacing w:after="0" w:line="1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described in Item 1.01 is filed as Exhibit 1.01 to this Form SD.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described in Items 1.01 and 1.02 of this Form</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84" w:right="259" w:bottom="1440" w:gutter="0" w:footer="0" w:header="0"/>
        </w:sectPr>
      </w:pPr>
    </w:p>
    <w:bookmarkStart w:id="2" w:name="page3"/>
    <w:bookmarkEnd w:id="2"/>
    <w:p>
      <w:pPr>
        <w:ind w:left="6760"/>
        <w:spacing w:after="0"/>
        <w:rPr>
          <w:sz w:val="20"/>
          <w:szCs w:val="20"/>
          <w:color w:val="auto"/>
        </w:rPr>
      </w:pPr>
      <w:r>
        <w:rPr>
          <w:rFonts w:ascii="Arial" w:cs="Arial" w:eastAsia="Arial" w:hAnsi="Arial"/>
          <w:sz w:val="18"/>
          <w:szCs w:val="18"/>
          <w:b w:val="1"/>
          <w:bCs w:val="1"/>
          <w:color w:val="auto"/>
        </w:rPr>
        <w:t>SIGNATURES</w:t>
      </w:r>
    </w:p>
    <w:p>
      <w:pPr>
        <w:spacing w:after="0" w:line="3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TORO COMPANY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40"/>
        <w:spacing w:after="0"/>
        <w:tabs>
          <w:tab w:leader="none" w:pos="5620" w:val="left"/>
          <w:tab w:leader="none" w:pos="6020" w:val="left"/>
        </w:tabs>
        <w:rPr>
          <w:sz w:val="20"/>
          <w:szCs w:val="20"/>
          <w:color w:val="auto"/>
        </w:rPr>
      </w:pPr>
      <w:r>
        <w:rPr>
          <w:rFonts w:ascii="Arial" w:cs="Arial" w:eastAsia="Arial" w:hAnsi="Arial"/>
          <w:sz w:val="18"/>
          <w:szCs w:val="18"/>
          <w:color w:val="auto"/>
        </w:rPr>
        <w:t>Date: May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Timothy P. Dordell</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Timothy P. Dordell</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927"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p>
      <w:pPr>
        <w:ind w:left="580"/>
        <w:spacing w:after="0"/>
        <w:tabs>
          <w:tab w:leader="none" w:pos="18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50" w:lineRule="exact"/>
        <w:rPr>
          <w:sz w:val="20"/>
          <w:szCs w:val="20"/>
          <w:color w:val="auto"/>
        </w:rPr>
      </w:pPr>
    </w:p>
    <w:p>
      <w:pPr>
        <w:ind w:left="580"/>
        <w:spacing w:after="0"/>
        <w:tabs>
          <w:tab w:leader="none" w:pos="1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Conflict Minerals Report for the calendar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Toro Company (“Toro”) has included this Conflict Minerals Report as an exhibit to its Form SD as provided for in Rule 13p-1 under the Securities Exchange Act of 1934, as amended, and Form SD (collectively, the "Conflict Minerals Rule").</w:t>
      </w:r>
    </w:p>
    <w:p>
      <w:pPr>
        <w:spacing w:after="0" w:line="1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used herein, Conflict Minerals, or 3TG, are columbite-tantalite (coltan), cassiterite, gold, wolframite and the derivatives tantalum, tin, and tungsten, without regard to their location of origin, as provided for in the Conflict Minerals Rule.</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Toro followed the criteria set forth in the Organisation for Economic Co-operation and Development's (the "OECD") Due Diligence Guidance for Responsible Supply Chains of Minerals from Conflict-Affected and High-Risk Areas, as supplemented by the Supplement on Tin, Tantalum and Tungsten and the Supplement on Gold (Third Edition) (collectively, the “OECD Guidance"), to establish its company management systems, to conduct its reasonable country of origin inquiry (“RCOI”) and for its due diligence measures relating to 3TG, as discussed below.</w:t>
      </w:r>
    </w:p>
    <w:p>
      <w:pPr>
        <w:spacing w:after="0" w:line="182" w:lineRule="exact"/>
        <w:rPr>
          <w:sz w:val="20"/>
          <w:szCs w:val="20"/>
          <w:color w:val="auto"/>
        </w:rPr>
      </w:pPr>
    </w:p>
    <w:p>
      <w:pPr>
        <w:ind w:left="980" w:right="8000" w:hanging="972"/>
        <w:spacing w:after="0" w:line="513" w:lineRule="auto"/>
        <w:tabs>
          <w:tab w:leader="none" w:pos="65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Management Systems A. Conflict Minerals Policy</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Toro has a Conflict Minerals Policy that is communicated to our direct suppliers and available under the Product Safety and Sustainability page of our website at https://www.toro.com/~/media/Files/Toro/Pages/about/conflict-materials-policy.ashx?la=en.</w:t>
      </w:r>
    </w:p>
    <w:p>
      <w:pPr>
        <w:spacing w:after="0" w:line="1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policy confirms that Toro is committed to complying with the Conflict Minerals Rule and we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Toro does not seek to embargo the sourcing of 3TG from the Democratic Republic of the Congo (“DRC”) region, and it expects its suppliers not to do so.</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Internal Management Team</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Toro created a team of senior staff under the Vice President, Treasurer and Chief Financial Officer, Vice President, Global Operations, and Vice President, Secretary and General Counsel responsible for oversight of Toro’s 3TG compliance strategy. The following functional areas were represented on the working group: Finance, Legal, Information Services and Sourcing. Relevant internal personnel was educated on the Conflict Minerals Rule, the OECD Guidance, Toro's compliance plan and reviewing and validating supplier responses to Toro inquiries.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report the findings of our supply chain risk assessment to our internal management team.</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Control Systems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Toro is a member of the Conflict-Free Sourcing Initiative (“CFSI”) and participates in the Twin Cities Conflict Minerals Task Force.</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Supplier Engagement</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Toro’s Supplier Terms of Commerce reflects our expectations regarding our suppliers’ efforts to support us in meeting our 3TG reporting obligations and address risks associated with 3TG sourcing. We furnished to our suppliers the Conflict Minerals Reporting Template (“CMRT”) developed by the CFSI and a link to the related training materials. Toro utilized the CMRTs returned to us by our suppliers to identify smelters and refiners in our supply chain.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left="980"/>
        <w:spacing w:after="0"/>
        <w:tabs>
          <w:tab w:leader="none" w:pos="1280" w:val="left"/>
        </w:tabs>
        <w:rPr>
          <w:sz w:val="20"/>
          <w:szCs w:val="20"/>
          <w:color w:val="auto"/>
        </w:rPr>
      </w:pPr>
      <w:r>
        <w:rPr>
          <w:rFonts w:ascii="Arial" w:cs="Arial" w:eastAsia="Arial" w:hAnsi="Arial"/>
          <w:sz w:val="18"/>
          <w:szCs w:val="18"/>
          <w:b w:val="1"/>
          <w:bCs w:val="1"/>
          <w:color w:val="auto"/>
        </w:rPr>
        <w:t>E.</w:t>
        <w:tab/>
        <w:t>Records Management</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Toro maintains records relating to 3TG due diligence, including records of due diligence processes, findings and resulting decisions, per Toro’s applicable record retention policies, which provides for retention of at least five years.</w:t>
      </w:r>
    </w:p>
    <w:p>
      <w:pPr>
        <w:spacing w:after="0" w:line="174"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Grievance Mechanism</w:t>
      </w:r>
    </w:p>
    <w:p>
      <w:pPr>
        <w:spacing w:after="0" w:line="2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Toro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https://www.toro.com/~/media/Files/Toro/Pages/about/conflict-materials-policy.ashx?la=en</w:t>
      </w:r>
      <w:r>
        <w:rPr>
          <w:rFonts w:ascii="Arial" w:cs="Arial" w:eastAsia="Arial" w:hAnsi="Arial"/>
          <w:sz w:val="18"/>
          <w:szCs w:val="18"/>
          <w:color w:val="0000FF"/>
        </w:rPr>
        <w: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  Carry Out Independent Third-Party Audit of Supply Chain Due Diligence at Identified Points in the Supply Chain</w:t>
      </w:r>
    </w:p>
    <w:p>
      <w:pPr>
        <w:spacing w:after="0" w:line="261"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In connection with its due diligence, Toro utilized and relied on information made available to CFSI members concerning independent third-party audits of smelters and refiners to assess smelter and refiner due diligence and to determine whether the smelter or refiner is Compliant (as later defined). Toro supports the development and implementation of independent third-party audits of smelters and refiners through its membership in the CFSI.</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H.  Report on Supply Chain Due Diligence</w:t>
      </w:r>
    </w:p>
    <w:p>
      <w:pPr>
        <w:spacing w:after="0" w:line="24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Toro filed a Form SD and this Conflict Minerals Report with the Securities and Exchange Commission and the filing is available under the Product Safety and Sustainability page of our website https://www.toro.com/en/about/corporate-responsibility/product-safety-sustainability/conflict-minerals.</w:t>
      </w:r>
    </w:p>
    <w:p>
      <w:pPr>
        <w:spacing w:after="0" w:line="180" w:lineRule="exact"/>
        <w:rPr>
          <w:sz w:val="20"/>
          <w:szCs w:val="20"/>
          <w:color w:val="auto"/>
        </w:rPr>
      </w:pPr>
    </w:p>
    <w:p>
      <w:pPr>
        <w:ind w:left="980" w:right="7540" w:hanging="972"/>
        <w:spacing w:after="0" w:line="513" w:lineRule="auto"/>
        <w:tabs>
          <w:tab w:leader="none" w:pos="65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 A. In-Scope Suppliers</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Toro personnel determined which of its products were in -scope for purposes of the Conflict Minerals Rule through product specifications, bills of material, supplier inquiries and other information known to Toro. We determined which suppliers were “high-risk” based on the likelihood of suppliers’ components containing 3TG and based on the suppliers’ relationship status with Toro.</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Request for Information</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Toro utilized the CMRT developed by the CFSI to identify smelters and refiners in its supply chain. We distributed the CMRT to our in-scope suppliers by email. In the communication accompanying the CMRT, Toro communicated its expectations that the CMRT be completed and returned to Toro for review. We followed up by email or phone with suppliers that Toro deemed “high-risk” who did not submit a CMRT within the specified timeframe.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Survey Responses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Toro personnel reviewed the completed CMRTs and other responses received from suppliers. We followed up by email or phone with Toro’s “high risk” suppliers that did not fully complete the CMRT or provided a non-conforming written response, requesting them to submit a revised CMRT.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Risk Assessment</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Based on the information furnished by our suppliers and other information known to Toro, we assessed the risks of adverse impacts. To the extent that a completed CMRT contained smelter or refiner information, Toro reviewed this information against an internally developed "red flags" list and the list of eligible smelters and refiners contained in the CFSI member smelter database. To the extent that an eligible smelter or refiner identified by a supplier was not listed as Compliant or Active (as later defined) by the CFSI, Toro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6" w:right="259" w:bottom="1440" w:gutter="0" w:footer="0" w:header="0"/>
        </w:sectPr>
      </w:pPr>
    </w:p>
    <w:bookmarkStart w:id="6" w:name="page7"/>
    <w:bookmarkEnd w:id="6"/>
    <w:p>
      <w:pPr>
        <w:ind w:right="320"/>
        <w:spacing w:after="0" w:line="253" w:lineRule="auto"/>
        <w:rPr>
          <w:sz w:val="20"/>
          <w:szCs w:val="20"/>
          <w:color w:val="auto"/>
        </w:rPr>
      </w:pPr>
      <w:r>
        <w:rPr>
          <w:rFonts w:ascii="Arial" w:cs="Arial" w:eastAsia="Arial" w:hAnsi="Arial"/>
          <w:sz w:val="18"/>
          <w:szCs w:val="18"/>
          <w:color w:val="auto"/>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Toro's products, did not identify a smelter or refiner or an eligible smelter or refiner was not listed as Compliant or Active by the CFSI, the origin of the applicable 3TG contained in the products covered by the response was treated as "unknown origin."</w:t>
      </w:r>
    </w:p>
    <w:p>
      <w:pPr>
        <w:spacing w:after="0" w:line="20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Toro’s Conflict Minerals Compliance Team reported the findings of its supply chain risk assessment to Toro’s Vice President, Treasurer and Chief Financial Officer, Vice President, Global Operations, and Vice President, Secretary and General Counsel.</w:t>
      </w:r>
    </w:p>
    <w:p>
      <w:pPr>
        <w:spacing w:after="0" w:line="19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Toro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Design of Due Diligence Framework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Toro followed the criteria set forth in the OECD Guidance to conduct its due diligence measures relating to 3TG.</w:t>
      </w:r>
    </w:p>
    <w:p>
      <w:pPr>
        <w:spacing w:after="0" w:line="20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2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due diligence measures performed by Toro include comparing the smelter and refiner information received from our suppliers against the smelter database information available to CFSI members to identify the audit status of smelters and refiners and the countries of origin of the 3TG sourced by Compliant smelters and refiners.</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Product Status and Information</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its 2017 filing, Toro has concluded that all of the Toro in-scope products in the categories indicated below contained at least some 3TG of unknown origin:</w:t>
      </w:r>
    </w:p>
    <w:p>
      <w:pPr>
        <w:spacing w:after="0" w:line="19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Identified Smelters and Refiners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were unable to determine the origin of at least a portion of the necessary 3TG contained in each of the in-scope products that we manufactured in 2016. However, as part of our RCOI, some of our suppliers identified to us smelters and refiners that may have processed the necessary 3TG contained in the in-scope products that we manufactured in 2016,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14" w:right="2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Smelter and Refiner and Country of Origin Information</w:t>
      </w:r>
      <w:r>
        <w:rPr>
          <w:rFonts w:ascii="Arial" w:cs="Arial" w:eastAsia="Arial" w:hAnsi="Arial"/>
          <w:sz w:val="21"/>
          <w:szCs w:val="21"/>
          <w:b w:val="1"/>
          <w:bCs w:val="1"/>
          <w:color w:val="auto"/>
          <w:vertAlign w:val="superscript"/>
        </w:rPr>
        <w:t>1</w:t>
      </w:r>
    </w:p>
    <w:p>
      <w:pPr>
        <w:spacing w:after="0" w:line="113" w:lineRule="exact"/>
        <w:rPr>
          <w:sz w:val="20"/>
          <w:szCs w:val="20"/>
          <w:color w:val="auto"/>
        </w:rPr>
      </w:pPr>
    </w:p>
    <w:tbl>
      <w:tblPr>
        <w:tblLayout w:type="fixed"/>
        <w:tblInd w:w="42" w:type="dxa"/>
        <w:tblCellMar>
          <w:top w:w="0" w:type="dxa"/>
          <w:left w:w="0" w:type="dxa"/>
          <w:bottom w:w="0" w:type="dxa"/>
          <w:right w:w="0" w:type="dxa"/>
        </w:tblCellMar>
      </w:tblPr>
      <w:tr>
        <w:trPr>
          <w:trHeight w:val="277"/>
        </w:trPr>
        <w:tc>
          <w:tcPr>
            <w:tcW w:w="20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2"/>
          </w:tcPr>
          <w:p>
            <w:pPr>
              <w:ind w:left="1000"/>
              <w:spacing w:after="0"/>
              <w:rPr>
                <w:sz w:val="20"/>
                <w:szCs w:val="20"/>
                <w:color w:val="auto"/>
              </w:rPr>
            </w:pPr>
            <w:r>
              <w:rPr>
                <w:rFonts w:ascii="Arial" w:cs="Arial" w:eastAsia="Arial" w:hAnsi="Arial"/>
                <w:sz w:val="18"/>
                <w:szCs w:val="18"/>
                <w:color w:val="auto"/>
              </w:rPr>
              <w:t>Compliant</w:t>
            </w:r>
          </w:p>
        </w:tc>
        <w:tc>
          <w:tcPr>
            <w:tcW w:w="10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right w:val="single" w:sz="8" w:color="auto"/>
            </w:tcBorders>
          </w:tcPr>
          <w:p>
            <w:pPr>
              <w:spacing w:after="0"/>
              <w:rPr>
                <w:sz w:val="24"/>
                <w:szCs w:val="24"/>
                <w:color w:val="auto"/>
              </w:rPr>
            </w:pPr>
          </w:p>
        </w:tc>
        <w:tc>
          <w:tcPr>
            <w:tcW w:w="14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Active</w:t>
            </w:r>
          </w:p>
        </w:tc>
        <w:tc>
          <w:tcPr>
            <w:tcW w:w="158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Other</w:t>
            </w:r>
          </w:p>
        </w:tc>
      </w:tr>
      <w:tr>
        <w:trPr>
          <w:trHeight w:val="229"/>
        </w:trPr>
        <w:tc>
          <w:tcPr>
            <w:tcW w:w="206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Non-DRC Region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DRC Region</w:t>
            </w:r>
          </w:p>
        </w:tc>
        <w:tc>
          <w:tcPr>
            <w:tcW w:w="4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24"/>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Sourced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Sourced</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R/S</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Not Disclosed</w:t>
            </w:r>
          </w:p>
        </w:tc>
        <w:tc>
          <w:tcPr>
            <w:tcW w:w="14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50"/>
        </w:trPr>
        <w:tc>
          <w:tcPr>
            <w:tcW w:w="20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Gold</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jc w:val="center"/>
              <w:ind w:right="370"/>
              <w:spacing w:after="0"/>
              <w:rPr>
                <w:sz w:val="20"/>
                <w:szCs w:val="20"/>
                <w:color w:val="auto"/>
              </w:rPr>
            </w:pPr>
            <w:r>
              <w:rPr>
                <w:rFonts w:ascii="Arial" w:cs="Arial" w:eastAsia="Arial" w:hAnsi="Arial"/>
                <w:sz w:val="18"/>
                <w:szCs w:val="18"/>
                <w:color w:val="auto"/>
                <w:w w:val="99"/>
              </w:rPr>
              <w:t>25</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63</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Tantalum</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99"/>
              </w:rPr>
              <w:t>28</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r>
      <w:tr>
        <w:trPr>
          <w:trHeight w:val="250"/>
        </w:trPr>
        <w:tc>
          <w:tcPr>
            <w:tcW w:w="20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62</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jc w:val="center"/>
              <w:ind w:right="370"/>
              <w:spacing w:after="0"/>
              <w:rPr>
                <w:sz w:val="20"/>
                <w:szCs w:val="20"/>
                <w:color w:val="auto"/>
              </w:rPr>
            </w:pPr>
            <w:r>
              <w:rPr>
                <w:rFonts w:ascii="Arial" w:cs="Arial" w:eastAsia="Arial" w:hAnsi="Arial"/>
                <w:sz w:val="18"/>
                <w:szCs w:val="18"/>
                <w:color w:val="auto"/>
                <w:w w:val="99"/>
              </w:rPr>
              <w:t>16</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42</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Tungsten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99"/>
              </w:rPr>
              <w:t>15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702945</wp:posOffset>
            </wp:positionV>
            <wp:extent cx="2546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2" w:hanging="112"/>
        <w:spacing w:after="0"/>
        <w:tabs>
          <w:tab w:leader="none" w:pos="112"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We note the following in connection with the information contained in the foregoing table:</w:t>
      </w:r>
    </w:p>
    <w:p>
      <w:pPr>
        <w:ind w:left="652" w:hanging="328"/>
        <w:spacing w:after="0" w:line="250"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3" w:lineRule="exact"/>
        <w:rPr>
          <w:rFonts w:ascii="Arial" w:cs="Arial" w:eastAsia="Arial" w:hAnsi="Arial"/>
          <w:sz w:val="18"/>
          <w:szCs w:val="18"/>
          <w:color w:val="auto"/>
        </w:rPr>
      </w:pPr>
    </w:p>
    <w:p>
      <w:pPr>
        <w:ind w:left="652" w:hanging="328"/>
        <w:spacing w:after="0"/>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May 11, 2017.</w:t>
      </w:r>
    </w:p>
    <w:p>
      <w:pPr>
        <w:spacing w:after="0" w:line="9" w:lineRule="exact"/>
        <w:rPr>
          <w:rFonts w:ascii="Arial" w:cs="Arial" w:eastAsia="Arial" w:hAnsi="Arial"/>
          <w:sz w:val="18"/>
          <w:szCs w:val="18"/>
          <w:color w:val="auto"/>
        </w:rPr>
      </w:pPr>
    </w:p>
    <w:p>
      <w:pPr>
        <w:ind w:left="652" w:right="600" w:hanging="328"/>
        <w:spacing w:after="0" w:line="250"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“Compliant” means that a smelter or refiner was audited and found compliant with the Conflict-Free Smelter Program’s (“CFSP”) assessment protocols.</w:t>
      </w:r>
    </w:p>
    <w:p>
      <w:pPr>
        <w:ind w:left="652" w:hanging="328"/>
        <w:spacing w:after="0"/>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“Active” means that a smelter or refiner is engaged in the CFSP but has not yet been found to be Compliant.</w:t>
      </w:r>
    </w:p>
    <w:p>
      <w:pPr>
        <w:spacing w:after="0" w:line="9" w:lineRule="exact"/>
        <w:rPr>
          <w:rFonts w:ascii="Arial" w:cs="Arial" w:eastAsia="Arial" w:hAnsi="Arial"/>
          <w:sz w:val="18"/>
          <w:szCs w:val="18"/>
          <w:color w:val="auto"/>
        </w:rPr>
      </w:pPr>
    </w:p>
    <w:p>
      <w:pPr>
        <w:ind w:left="652" w:right="20" w:hanging="328"/>
        <w:spacing w:after="0" w:line="250"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includes those “Eligible,” “Alleged,” and “Group Company” smelters or refiners with an audit status other than Compliant or Active, including “Communication Suspended - Not Interested”, “Due Diligence Vetting Process”, “In Communication”, “Non Compliant”, “Outreach Required” and “Not Applicable.” Toro, through its membership in the CFSI, supports efforts to bring these smelters and refiners into the CFSP audit program.</w:t>
      </w:r>
    </w:p>
    <w:p>
      <w:pPr>
        <w:spacing w:after="0" w:line="1" w:lineRule="exact"/>
        <w:rPr>
          <w:rFonts w:ascii="Arial" w:cs="Arial" w:eastAsia="Arial" w:hAnsi="Arial"/>
          <w:sz w:val="18"/>
          <w:szCs w:val="18"/>
          <w:color w:val="auto"/>
        </w:rPr>
      </w:pPr>
    </w:p>
    <w:p>
      <w:pPr>
        <w:ind w:left="652" w:right="40" w:hanging="328"/>
        <w:spacing w:after="0" w:line="250"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“DRC Region” means the DRC and its nine adjoining countries. Origin information was derived from information made available by the CFSI to its members. According to this information, some of the Compliant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2" w:lineRule="exact"/>
        <w:rPr>
          <w:rFonts w:ascii="Arial" w:cs="Arial" w:eastAsia="Arial" w:hAnsi="Arial"/>
          <w:sz w:val="18"/>
          <w:szCs w:val="18"/>
          <w:color w:val="auto"/>
        </w:rPr>
      </w:pPr>
    </w:p>
    <w:p>
      <w:pPr>
        <w:ind w:left="652" w:hanging="328"/>
        <w:spacing w:after="0"/>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9" w:lineRule="exact"/>
        <w:rPr>
          <w:rFonts w:ascii="Arial" w:cs="Arial" w:eastAsia="Arial" w:hAnsi="Arial"/>
          <w:sz w:val="18"/>
          <w:szCs w:val="18"/>
          <w:color w:val="auto"/>
        </w:rPr>
      </w:pPr>
    </w:p>
    <w:p>
      <w:pPr>
        <w:ind w:left="652" w:right="20" w:hanging="328"/>
        <w:spacing w:after="0" w:line="250"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 smelter or refiner is indicated as “Compliant/Not Disclosed” if the country of origin of the 3TG processed by the smelter or refiner was not disclosed by the certifying party.</w:t>
      </w:r>
    </w:p>
    <w:p>
      <w:pPr>
        <w:ind w:left="652" w:right="480" w:hanging="328"/>
        <w:spacing w:after="0" w:line="250"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CFSI to its members, without independent verification by us.</w:t>
      </w:r>
    </w:p>
    <w:p>
      <w:pPr>
        <w:ind w:left="652" w:right="660" w:hanging="328"/>
        <w:spacing w:after="0" w:line="262"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were not able to determine the country of origin of the 3TG processed by any of the smelters or refiners listed as “Active”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sectPr>
      <w:pgSz w:w="11900" w:h="16838" w:orient="portrait"/>
      <w:cols w:equalWidth="0" w:num="1">
        <w:col w:w="11412"/>
      </w:cols>
      <w:pgMar w:left="248"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lvl w:ilvl="1">
      <w:lvlJc w:val="left"/>
      <w:lvlText w:val="%2"/>
      <w:numFmt w:val="upperLetter"/>
      <w:start w:val="1"/>
    </w:lvl>
  </w:abstractNum>
  <w:abstractNum w:abstractNumId="3">
    <w:nsid w:val="507ED7AB"/>
    <w:multiLevelType w:val="hybridMultilevel"/>
    <w:lvl w:ilvl="0">
      <w:lvlJc w:val="left"/>
      <w:lvlText w:val="%1."/>
      <w:numFmt w:val="upperLetter"/>
      <w:start w:val="6"/>
    </w:lvl>
  </w:abstractNum>
  <w:abstractNum w:abstractNumId="4">
    <w:nsid w:val="2EB141F2"/>
    <w:multiLevelType w:val="hybridMultilevel"/>
    <w:lvl w:ilvl="0">
      <w:lvlJc w:val="left"/>
      <w:lvlText w:val="%1."/>
      <w:numFmt w:val="upperLetter"/>
      <w:start w:val="61"/>
    </w:lvl>
    <w:lvl w:ilvl="1">
      <w:lvlJc w:val="left"/>
      <w:lvlText w:val="%2"/>
      <w:numFmt w:val="upperLetter"/>
      <w:start w:val="1"/>
    </w:lvl>
  </w:abstractNum>
  <w:abstractNum w:abstractNumId="5">
    <w:nsid w:val="41B71EFB"/>
    <w:multiLevelType w:val="hybridMultilevel"/>
    <w:lvl w:ilvl="0">
      <w:lvlJc w:val="left"/>
      <w:lvlText w:val="%1."/>
      <w:numFmt w:val="upperLetter"/>
      <w:start w:val="2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2019-12-05T11:24:17Z</dcterms:created>
  <dcterms:modified xsi:type="dcterms:W3CDTF">2019-12-05T11:24:17Z</dcterms:modified>
</cp:coreProperties>
</file>