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6"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00"/>
        <w:spacing w:after="0"/>
        <w:rPr>
          <w:sz w:val="20"/>
          <w:szCs w:val="20"/>
          <w:color w:val="auto"/>
        </w:rPr>
      </w:pPr>
      <w:r>
        <w:rPr>
          <w:rFonts w:ascii="Arial" w:cs="Arial" w:eastAsia="Arial" w:hAnsi="Arial"/>
          <w:sz w:val="21"/>
          <w:szCs w:val="21"/>
          <w:b w:val="1"/>
          <w:bCs w:val="1"/>
          <w:color w:val="auto"/>
        </w:rPr>
        <w:t>Washington, D.C. 20549</w:t>
      </w:r>
    </w:p>
    <w:p>
      <w:pPr>
        <w:spacing w:after="0" w:line="150" w:lineRule="exact"/>
        <w:rPr>
          <w:sz w:val="24"/>
          <w:szCs w:val="24"/>
          <w:color w:val="auto"/>
        </w:rPr>
      </w:pPr>
    </w:p>
    <w:p>
      <w:pPr>
        <w:ind w:left="3240"/>
        <w:spacing w:after="0"/>
        <w:rPr>
          <w:sz w:val="20"/>
          <w:szCs w:val="20"/>
          <w:color w:val="auto"/>
        </w:rPr>
      </w:pPr>
      <w:r>
        <w:rPr>
          <w:rFonts w:ascii="Arial" w:cs="Arial" w:eastAsia="Arial" w:hAnsi="Arial"/>
          <w:sz w:val="32"/>
          <w:szCs w:val="32"/>
          <w:b w:val="1"/>
          <w:bCs w:val="1"/>
          <w:color w:val="auto"/>
        </w:rPr>
        <w:t>SCHEDULE 14A INFORMATION</w:t>
      </w:r>
    </w:p>
    <w:p>
      <w:pPr>
        <w:spacing w:after="0" w:line="152" w:lineRule="exact"/>
        <w:rPr>
          <w:sz w:val="24"/>
          <w:szCs w:val="24"/>
          <w:color w:val="auto"/>
        </w:rPr>
      </w:pPr>
    </w:p>
    <w:p>
      <w:pPr>
        <w:ind w:left="3140"/>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33" w:lineRule="exact"/>
        <w:rPr>
          <w:sz w:val="24"/>
          <w:szCs w:val="24"/>
          <w:color w:val="auto"/>
        </w:rPr>
      </w:pPr>
    </w:p>
    <w:p>
      <w:pPr>
        <w:ind w:left="3980"/>
        <w:spacing w:after="0"/>
        <w:rPr>
          <w:sz w:val="20"/>
          <w:szCs w:val="20"/>
          <w:color w:val="auto"/>
        </w:rPr>
      </w:pPr>
      <w:r>
        <w:rPr>
          <w:rFonts w:ascii="Arial" w:cs="Arial" w:eastAsia="Arial" w:hAnsi="Arial"/>
          <w:sz w:val="21"/>
          <w:szCs w:val="21"/>
          <w:b w:val="1"/>
          <w:bCs w:val="1"/>
          <w:color w:val="auto"/>
        </w:rPr>
        <w:t>Securities Exchange Act of 1934</w:t>
      </w:r>
    </w:p>
    <w:p>
      <w:pPr>
        <w:ind w:left="4700"/>
        <w:spacing w:after="0"/>
        <w:rPr>
          <w:sz w:val="20"/>
          <w:szCs w:val="20"/>
          <w:color w:val="auto"/>
        </w:rPr>
      </w:pPr>
      <w:r>
        <w:rPr>
          <w:rFonts w:ascii="Arial" w:cs="Arial" w:eastAsia="Arial" w:hAnsi="Arial"/>
          <w:sz w:val="21"/>
          <w:szCs w:val="21"/>
          <w:b w:val="1"/>
          <w:bCs w:val="1"/>
          <w:color w:val="auto"/>
        </w:rPr>
        <w:t>(Amendment No. )</w:t>
      </w:r>
    </w:p>
    <w:p>
      <w:pPr>
        <w:spacing w:after="0" w:line="10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6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47" w:lineRule="exact"/>
        <w:rPr>
          <w:sz w:val="24"/>
          <w:szCs w:val="24"/>
          <w:color w:val="auto"/>
        </w:rPr>
      </w:pPr>
    </w:p>
    <w:p>
      <w:pPr>
        <w:ind w:left="460" w:hanging="436"/>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66" w:lineRule="exact"/>
        <w:rPr>
          <w:rFonts w:ascii="MS PGothic" w:cs="MS PGothic" w:eastAsia="MS PGothic" w:hAnsi="MS PGothic"/>
          <w:sz w:val="18"/>
          <w:szCs w:val="18"/>
          <w:color w:val="auto"/>
        </w:rPr>
      </w:pPr>
    </w:p>
    <w:p>
      <w:pPr>
        <w:ind w:left="460" w:hanging="436"/>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67" w:lineRule="exact"/>
        <w:rPr>
          <w:sz w:val="24"/>
          <w:szCs w:val="24"/>
          <w:color w:val="auto"/>
        </w:rPr>
      </w:pPr>
    </w:p>
    <w:p>
      <w:pPr>
        <w:ind w:left="460" w:hanging="436"/>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53" w:lineRule="exact"/>
        <w:rPr>
          <w:sz w:val="24"/>
          <w:szCs w:val="24"/>
          <w:color w:val="auto"/>
        </w:rPr>
      </w:pPr>
    </w:p>
    <w:p>
      <w:pPr>
        <w:ind w:left="460" w:hanging="436"/>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66" w:lineRule="exact"/>
        <w:rPr>
          <w:rFonts w:ascii="MS PGothic" w:cs="MS PGothic" w:eastAsia="MS PGothic" w:hAnsi="MS PGothic"/>
          <w:sz w:val="18"/>
          <w:szCs w:val="18"/>
          <w:color w:val="auto"/>
        </w:rPr>
      </w:pPr>
    </w:p>
    <w:p>
      <w:pPr>
        <w:ind w:left="460" w:hanging="436"/>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47" w:lineRule="exact"/>
        <w:rPr>
          <w:sz w:val="24"/>
          <w:szCs w:val="24"/>
          <w:color w:val="auto"/>
        </w:rPr>
      </w:pPr>
    </w:p>
    <w:p>
      <w:pPr>
        <w:ind w:left="3700"/>
        <w:spacing w:after="0"/>
        <w:rPr>
          <w:sz w:val="20"/>
          <w:szCs w:val="20"/>
          <w:color w:val="auto"/>
        </w:rPr>
      </w:pPr>
      <w:r>
        <w:rPr>
          <w:rFonts w:ascii="Arial" w:cs="Arial" w:eastAsia="Arial" w:hAnsi="Arial"/>
          <w:sz w:val="43"/>
          <w:szCs w:val="43"/>
          <w:b w:val="1"/>
          <w:bCs w:val="1"/>
          <w:color w:val="auto"/>
        </w:rPr>
        <w:t>The Toro Company</w:t>
      </w:r>
    </w:p>
    <w:p>
      <w:pPr>
        <w:spacing w:after="0" w:line="28"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ind w:left="260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31" w:lineRule="exact"/>
        <w:rPr>
          <w:sz w:val="24"/>
          <w:szCs w:val="24"/>
          <w:color w:val="auto"/>
        </w:rPr>
      </w:pPr>
    </w:p>
    <w:p>
      <w:pPr>
        <w:ind w:left="580" w:hanging="556"/>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52" w:lineRule="exact"/>
        <w:rPr>
          <w:sz w:val="24"/>
          <w:szCs w:val="24"/>
          <w:color w:val="auto"/>
        </w:rPr>
      </w:pPr>
    </w:p>
    <w:p>
      <w:pPr>
        <w:ind w:left="580" w:hanging="556"/>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46" w:lineRule="exact"/>
        <w:rPr>
          <w:rFonts w:ascii="MS PGothic" w:cs="MS PGothic" w:eastAsia="MS PGothic" w:hAnsi="MS PGothic"/>
          <w:sz w:val="18"/>
          <w:szCs w:val="18"/>
          <w:color w:val="auto"/>
        </w:rPr>
      </w:pPr>
    </w:p>
    <w:p>
      <w:pPr>
        <w:ind w:left="580" w:hanging="556"/>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1032510</wp:posOffset>
            </wp:positionV>
            <wp:extent cx="71596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715645</wp:posOffset>
            </wp:positionV>
            <wp:extent cx="4066540" cy="1024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4066540" cy="1024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4919"/>
        <w:spacing w:after="0" w:line="262" w:lineRule="auto"/>
        <w:rPr>
          <w:sz w:val="20"/>
          <w:szCs w:val="20"/>
          <w:color w:val="auto"/>
        </w:rPr>
      </w:pPr>
      <w:r>
        <w:rPr>
          <w:rFonts w:ascii="Arial" w:cs="Arial" w:eastAsia="Arial" w:hAnsi="Arial"/>
          <w:sz w:val="46"/>
          <w:szCs w:val="46"/>
          <w:color w:val="auto"/>
        </w:rPr>
        <w:t>NOTICE OF 2026 ANNUAL MEETING AND</w:t>
      </w:r>
    </w:p>
    <w:p>
      <w:pPr>
        <w:spacing w:after="0"/>
        <w:rPr>
          <w:sz w:val="20"/>
          <w:szCs w:val="20"/>
          <w:color w:val="auto"/>
        </w:rPr>
      </w:pPr>
      <w:r>
        <w:rPr>
          <w:rFonts w:ascii="Arial" w:cs="Arial" w:eastAsia="Arial" w:hAnsi="Arial"/>
          <w:sz w:val="63"/>
          <w:szCs w:val="63"/>
          <w:color w:val="auto"/>
        </w:rPr>
        <w:t>PROXY STATEMENT</w:t>
      </w:r>
    </w:p>
    <w:p>
      <w:pPr>
        <w:spacing w:after="0" w:line="358" w:lineRule="exact"/>
        <w:rPr>
          <w:sz w:val="20"/>
          <w:szCs w:val="20"/>
          <w:color w:val="auto"/>
        </w:rPr>
      </w:pPr>
    </w:p>
    <w:p>
      <w:pPr>
        <w:spacing w:after="0"/>
        <w:rPr>
          <w:sz w:val="20"/>
          <w:szCs w:val="20"/>
          <w:color w:val="auto"/>
        </w:rPr>
      </w:pPr>
      <w:r>
        <w:rPr>
          <w:rFonts w:ascii="Arial" w:cs="Arial" w:eastAsia="Arial" w:hAnsi="Arial"/>
          <w:sz w:val="43"/>
          <w:szCs w:val="43"/>
          <w:color w:val="auto"/>
        </w:rPr>
        <w:t>MARCH 17, 2026</w:t>
      </w:r>
    </w:p>
    <w:p>
      <w:pPr>
        <w:spacing w:after="0" w:line="352" w:lineRule="exact"/>
        <w:rPr>
          <w:sz w:val="20"/>
          <w:szCs w:val="20"/>
          <w:color w:val="auto"/>
        </w:rPr>
      </w:pPr>
    </w:p>
    <w:p>
      <w:pPr>
        <w:spacing w:after="0"/>
        <w:rPr>
          <w:sz w:val="20"/>
          <w:szCs w:val="20"/>
          <w:color w:val="auto"/>
        </w:rPr>
      </w:pPr>
      <w:r>
        <w:rPr>
          <w:rFonts w:ascii="Arial" w:cs="Arial" w:eastAsia="Arial" w:hAnsi="Arial"/>
          <w:sz w:val="25"/>
          <w:szCs w:val="25"/>
          <w:color w:val="auto"/>
        </w:rPr>
        <w:t>www.virtualshareholdermeeting.com/TTC2026</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C00000"/>
        </w:rPr>
        <w:t>Worldwide Headquarters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8111 Lyndale Avenue South</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Bloomington, MN 55420-1196</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952-888-8801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2475865</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836930</wp:posOffset>
            </wp:positionV>
            <wp:extent cx="5693410" cy="770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93410" cy="770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715645</wp:posOffset>
            </wp:positionV>
            <wp:extent cx="1626870" cy="423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26870" cy="4235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Stockholders:</w:t>
      </w:r>
    </w:p>
    <w:p>
      <w:pPr>
        <w:spacing w:after="0" w:line="233" w:lineRule="exact"/>
        <w:rPr>
          <w:sz w:val="20"/>
          <w:szCs w:val="20"/>
          <w:color w:val="auto"/>
        </w:rPr>
      </w:pPr>
    </w:p>
    <w:p>
      <w:pPr>
        <w:jc w:val="both"/>
        <w:ind w:firstLine="640"/>
        <w:spacing w:after="0" w:line="262" w:lineRule="auto"/>
        <w:rPr>
          <w:sz w:val="20"/>
          <w:szCs w:val="20"/>
          <w:color w:val="auto"/>
        </w:rPr>
      </w:pPr>
      <w:r>
        <w:rPr>
          <w:rFonts w:ascii="Arial" w:cs="Arial" w:eastAsia="Arial" w:hAnsi="Arial"/>
          <w:sz w:val="18"/>
          <w:szCs w:val="18"/>
          <w:color w:val="auto"/>
        </w:rPr>
        <w:t>On behalf of The Toro Company Board of Directors and management team, we are pleased to invite you to join us for The Toro Company 2026 Annual Meeting of Stockholders to be held virtually on Tuesday, March 17, 2026 at 2:00 p.m., Central Daylight Time.</w:t>
      </w:r>
    </w:p>
    <w:p>
      <w:pPr>
        <w:spacing w:after="0" w:line="202" w:lineRule="exact"/>
        <w:rPr>
          <w:sz w:val="20"/>
          <w:szCs w:val="20"/>
          <w:color w:val="auto"/>
        </w:rPr>
      </w:pPr>
    </w:p>
    <w:p>
      <w:pPr>
        <w:jc w:val="both"/>
        <w:ind w:firstLine="640"/>
        <w:spacing w:after="0" w:line="243" w:lineRule="auto"/>
        <w:rPr>
          <w:sz w:val="20"/>
          <w:szCs w:val="20"/>
          <w:color w:val="auto"/>
        </w:rPr>
      </w:pPr>
      <w:r>
        <w:rPr>
          <w:rFonts w:ascii="Arial" w:cs="Arial" w:eastAsia="Arial" w:hAnsi="Arial"/>
          <w:sz w:val="18"/>
          <w:szCs w:val="18"/>
          <w:color w:val="auto"/>
        </w:rPr>
        <w:t>We have designed the virtual annual meeting to ensure that stockholders are afforded the same opportunity to participate as they would have at an in-person meeting, including the right to vote and ask questions through the virtual meeting platform. Details about the annual meeting, nominees for election to the Board of Directors and other matters to be acted on at the annual meeting are presented in the notice and proxy statement that follow. Information regarding attending the virtual annual meeting can be found on page 90 of the proxy statement.</w:t>
      </w:r>
    </w:p>
    <w:p>
      <w:pPr>
        <w:spacing w:after="0" w:line="206" w:lineRule="exact"/>
        <w:rPr>
          <w:sz w:val="20"/>
          <w:szCs w:val="20"/>
          <w:color w:val="auto"/>
        </w:rPr>
      </w:pPr>
    </w:p>
    <w:p>
      <w:pPr>
        <w:jc w:val="both"/>
        <w:ind w:firstLine="640"/>
        <w:spacing w:after="0" w:line="254" w:lineRule="auto"/>
        <w:rPr>
          <w:sz w:val="20"/>
          <w:szCs w:val="20"/>
          <w:color w:val="auto"/>
        </w:rPr>
      </w:pPr>
      <w:r>
        <w:rPr>
          <w:rFonts w:ascii="Arial" w:cs="Arial" w:eastAsia="Arial" w:hAnsi="Arial"/>
          <w:sz w:val="18"/>
          <w:szCs w:val="18"/>
          <w:color w:val="auto"/>
        </w:rPr>
        <w:t>It is important that your shares are represented at the annual meeting, regardless of the number of shares you hold. Accordingly, please exercise your right to vote by following the instructions for voting contained in the Notice Regarding the Availability of Proxy Materials or the paper or electronic copy of our proxy materials you received for the meeting.</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Thank you for your continued support of our Company.</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141605</wp:posOffset>
            </wp:positionV>
            <wp:extent cx="1219835" cy="415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19835" cy="415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BF2115"/>
        </w:rPr>
        <w:t>Richard M. Olson</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Chairman of the Board and CEO</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February 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715645</wp:posOffset>
            </wp:positionV>
            <wp:extent cx="4066540" cy="1059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4066540" cy="1059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NOTICE OF 2026 ANNUAL MEETING OF STOCKHOLDERS</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120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680" w:type="dxa"/>
            <w:vAlign w:val="bottom"/>
            <w:gridSpan w:val="2"/>
          </w:tcPr>
          <w:p>
            <w:pPr>
              <w:ind w:left="400"/>
              <w:spacing w:after="0"/>
              <w:rPr>
                <w:sz w:val="20"/>
                <w:szCs w:val="20"/>
                <w:color w:val="auto"/>
              </w:rPr>
            </w:pPr>
            <w:r>
              <w:rPr>
                <w:rFonts w:ascii="Arial" w:cs="Arial" w:eastAsia="Arial" w:hAnsi="Arial"/>
                <w:sz w:val="18"/>
                <w:szCs w:val="18"/>
                <w:b w:val="1"/>
                <w:bCs w:val="1"/>
                <w:color w:val="C00000"/>
              </w:rPr>
              <w:t>Tuesday, March 17, 2026</w:t>
            </w:r>
          </w:p>
        </w:tc>
      </w:tr>
      <w:tr>
        <w:trPr>
          <w:trHeight w:val="254"/>
        </w:trPr>
        <w:tc>
          <w:tcPr>
            <w:tcW w:w="120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9680" w:type="dxa"/>
            <w:vAlign w:val="bottom"/>
            <w:gridSpan w:val="2"/>
          </w:tcPr>
          <w:p>
            <w:pPr>
              <w:ind w:left="400"/>
              <w:spacing w:after="0"/>
              <w:rPr>
                <w:sz w:val="20"/>
                <w:szCs w:val="20"/>
                <w:color w:val="auto"/>
              </w:rPr>
            </w:pPr>
            <w:r>
              <w:rPr>
                <w:rFonts w:ascii="Arial" w:cs="Arial" w:eastAsia="Arial" w:hAnsi="Arial"/>
                <w:sz w:val="18"/>
                <w:szCs w:val="18"/>
                <w:b w:val="1"/>
                <w:bCs w:val="1"/>
                <w:color w:val="C00000"/>
              </w:rPr>
              <w:t>2:00 p.m., Central Daylight Time</w:t>
            </w:r>
          </w:p>
        </w:tc>
      </w:tr>
      <w:tr>
        <w:trPr>
          <w:trHeight w:val="307"/>
        </w:trPr>
        <w:tc>
          <w:tcPr>
            <w:tcW w:w="1200" w:type="dxa"/>
            <w:vAlign w:val="bottom"/>
          </w:tcPr>
          <w:p>
            <w:pPr>
              <w:spacing w:after="0"/>
              <w:rPr>
                <w:sz w:val="20"/>
                <w:szCs w:val="20"/>
                <w:color w:val="auto"/>
              </w:rPr>
            </w:pPr>
            <w:r>
              <w:rPr>
                <w:rFonts w:ascii="Arial" w:cs="Arial" w:eastAsia="Arial" w:hAnsi="Arial"/>
                <w:sz w:val="18"/>
                <w:szCs w:val="18"/>
                <w:b w:val="1"/>
                <w:bCs w:val="1"/>
                <w:color w:val="auto"/>
              </w:rPr>
              <w:t>Location:</w:t>
            </w:r>
          </w:p>
        </w:tc>
        <w:tc>
          <w:tcPr>
            <w:tcW w:w="9680" w:type="dxa"/>
            <w:vAlign w:val="bottom"/>
            <w:gridSpan w:val="2"/>
          </w:tcPr>
          <w:p>
            <w:pPr>
              <w:ind w:left="400"/>
              <w:spacing w:after="0"/>
              <w:rPr>
                <w:sz w:val="20"/>
                <w:szCs w:val="20"/>
                <w:color w:val="auto"/>
              </w:rPr>
            </w:pPr>
            <w:r>
              <w:rPr>
                <w:rFonts w:ascii="Arial" w:cs="Arial" w:eastAsia="Arial" w:hAnsi="Arial"/>
                <w:sz w:val="18"/>
                <w:szCs w:val="18"/>
                <w:b w:val="1"/>
                <w:bCs w:val="1"/>
                <w:color w:val="C00000"/>
              </w:rPr>
              <w:t>Virtual</w:t>
            </w:r>
          </w:p>
        </w:tc>
      </w:tr>
      <w:tr>
        <w:trPr>
          <w:trHeight w:val="244"/>
        </w:trPr>
        <w:tc>
          <w:tcPr>
            <w:tcW w:w="1200" w:type="dxa"/>
            <w:vAlign w:val="bottom"/>
          </w:tcPr>
          <w:p>
            <w:pPr>
              <w:spacing w:after="0"/>
              <w:rPr>
                <w:sz w:val="21"/>
                <w:szCs w:val="21"/>
                <w:color w:val="auto"/>
              </w:rPr>
            </w:pPr>
          </w:p>
        </w:tc>
        <w:tc>
          <w:tcPr>
            <w:tcW w:w="9680" w:type="dxa"/>
            <w:vAlign w:val="bottom"/>
            <w:gridSpan w:val="2"/>
          </w:tcPr>
          <w:p>
            <w:pPr>
              <w:ind w:left="400"/>
              <w:spacing w:after="0"/>
              <w:rPr>
                <w:sz w:val="20"/>
                <w:szCs w:val="20"/>
                <w:color w:val="auto"/>
              </w:rPr>
            </w:pPr>
            <w:r>
              <w:rPr>
                <w:rFonts w:ascii="Arial" w:cs="Arial" w:eastAsia="Arial" w:hAnsi="Arial"/>
                <w:sz w:val="18"/>
                <w:szCs w:val="18"/>
                <w:color w:val="C00000"/>
              </w:rPr>
              <w:t>www.virtualshareholdermeeting.com/TTC2026</w:t>
            </w:r>
          </w:p>
        </w:tc>
      </w:tr>
      <w:tr>
        <w:trPr>
          <w:trHeight w:val="474"/>
        </w:trPr>
        <w:tc>
          <w:tcPr>
            <w:tcW w:w="1200" w:type="dxa"/>
            <w:vAlign w:val="bottom"/>
          </w:tcPr>
          <w:p>
            <w:pPr>
              <w:spacing w:after="0"/>
              <w:rPr>
                <w:sz w:val="20"/>
                <w:szCs w:val="20"/>
                <w:color w:val="auto"/>
              </w:rPr>
            </w:pPr>
            <w:r>
              <w:rPr>
                <w:rFonts w:ascii="Arial" w:cs="Arial" w:eastAsia="Arial" w:hAnsi="Arial"/>
                <w:sz w:val="18"/>
                <w:szCs w:val="18"/>
                <w:b w:val="1"/>
                <w:bCs w:val="1"/>
                <w:color w:val="auto"/>
              </w:rPr>
              <w:t>Agenda:</w:t>
            </w:r>
          </w:p>
        </w:tc>
        <w:tc>
          <w:tcPr>
            <w:tcW w:w="9680" w:type="dxa"/>
            <w:vAlign w:val="bottom"/>
            <w:gridSpan w:val="2"/>
          </w:tcPr>
          <w:p>
            <w:pPr>
              <w:ind w:left="400"/>
              <w:spacing w:after="0"/>
              <w:rPr>
                <w:sz w:val="20"/>
                <w:szCs w:val="20"/>
                <w:color w:val="auto"/>
              </w:rPr>
            </w:pPr>
            <w:r>
              <w:rPr>
                <w:rFonts w:ascii="Arial" w:cs="Arial" w:eastAsia="Arial" w:hAnsi="Arial"/>
                <w:sz w:val="18"/>
                <w:szCs w:val="18"/>
                <w:color w:val="C00000"/>
                <w:w w:val="98"/>
              </w:rPr>
              <w:t xml:space="preserve">1. </w:t>
            </w:r>
            <w:r>
              <w:rPr>
                <w:rFonts w:ascii="Arial" w:cs="Arial" w:eastAsia="Arial" w:hAnsi="Arial"/>
                <w:sz w:val="18"/>
                <w:szCs w:val="18"/>
                <w:color w:val="000000"/>
                <w:w w:val="98"/>
              </w:rPr>
              <w:t>Election of directors: Dianne C. Craig, Eric P. Hansotia and D. Christian Koch for a term of three years ending at the</w:t>
            </w:r>
          </w:p>
        </w:tc>
      </w:tr>
      <w:tr>
        <w:trPr>
          <w:trHeight w:val="233"/>
        </w:trPr>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2029 Annual Meeting of Stockholders;</w:t>
            </w:r>
          </w:p>
        </w:tc>
      </w:tr>
      <w:tr>
        <w:trPr>
          <w:trHeight w:val="301"/>
        </w:trPr>
        <w:tc>
          <w:tcPr>
            <w:tcW w:w="1200" w:type="dxa"/>
            <w:vAlign w:val="bottom"/>
          </w:tcPr>
          <w:p>
            <w:pPr>
              <w:spacing w:after="0"/>
              <w:rPr>
                <w:sz w:val="24"/>
                <w:szCs w:val="24"/>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C00000"/>
              </w:rPr>
              <w:t>2.</w:t>
            </w:r>
          </w:p>
        </w:tc>
        <w:tc>
          <w:tcPr>
            <w:tcW w:w="9100" w:type="dxa"/>
            <w:vAlign w:val="bottom"/>
          </w:tcPr>
          <w:p>
            <w:pPr>
              <w:ind w:left="20"/>
              <w:spacing w:after="0"/>
              <w:rPr>
                <w:sz w:val="20"/>
                <w:szCs w:val="20"/>
                <w:color w:val="auto"/>
              </w:rPr>
            </w:pPr>
            <w:r>
              <w:rPr>
                <w:rFonts w:ascii="Arial" w:cs="Arial" w:eastAsia="Arial" w:hAnsi="Arial"/>
                <w:sz w:val="18"/>
                <w:szCs w:val="18"/>
                <w:color w:val="auto"/>
              </w:rPr>
              <w:t>Ratification of the selection of KPMG LLP as our independent registered public accounting firm for our fiscal year</w:t>
            </w:r>
          </w:p>
        </w:tc>
      </w:tr>
      <w:tr>
        <w:trPr>
          <w:trHeight w:val="233"/>
        </w:trPr>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ending October 31, 2026;</w:t>
            </w:r>
          </w:p>
        </w:tc>
      </w:tr>
      <w:tr>
        <w:trPr>
          <w:trHeight w:val="334"/>
        </w:trPr>
        <w:tc>
          <w:tcPr>
            <w:tcW w:w="1200" w:type="dxa"/>
            <w:vAlign w:val="bottom"/>
          </w:tcPr>
          <w:p>
            <w:pPr>
              <w:spacing w:after="0"/>
              <w:rPr>
                <w:sz w:val="24"/>
                <w:szCs w:val="24"/>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C00000"/>
              </w:rPr>
              <w:t>3.</w:t>
            </w:r>
          </w:p>
        </w:tc>
        <w:tc>
          <w:tcPr>
            <w:tcW w:w="9100" w:type="dxa"/>
            <w:vAlign w:val="bottom"/>
          </w:tcPr>
          <w:p>
            <w:pPr>
              <w:ind w:left="20"/>
              <w:spacing w:after="0"/>
              <w:rPr>
                <w:sz w:val="20"/>
                <w:szCs w:val="20"/>
                <w:color w:val="auto"/>
              </w:rPr>
            </w:pPr>
            <w:r>
              <w:rPr>
                <w:rFonts w:ascii="Arial" w:cs="Arial" w:eastAsia="Arial" w:hAnsi="Arial"/>
                <w:sz w:val="18"/>
                <w:szCs w:val="18"/>
                <w:color w:val="auto"/>
              </w:rPr>
              <w:t>Approval of, on an advisory basis, our executive compensation;</w:t>
            </w:r>
          </w:p>
        </w:tc>
      </w:tr>
      <w:tr>
        <w:trPr>
          <w:trHeight w:val="334"/>
        </w:trPr>
        <w:tc>
          <w:tcPr>
            <w:tcW w:w="1200" w:type="dxa"/>
            <w:vAlign w:val="bottom"/>
          </w:tcPr>
          <w:p>
            <w:pPr>
              <w:spacing w:after="0"/>
              <w:rPr>
                <w:sz w:val="24"/>
                <w:szCs w:val="24"/>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C00000"/>
              </w:rPr>
              <w:t>4.</w:t>
            </w:r>
          </w:p>
        </w:tc>
        <w:tc>
          <w:tcPr>
            <w:tcW w:w="9100" w:type="dxa"/>
            <w:vAlign w:val="bottom"/>
          </w:tcPr>
          <w:p>
            <w:pPr>
              <w:ind w:left="20"/>
              <w:spacing w:after="0"/>
              <w:rPr>
                <w:sz w:val="20"/>
                <w:szCs w:val="20"/>
                <w:color w:val="auto"/>
              </w:rPr>
            </w:pPr>
            <w:r>
              <w:rPr>
                <w:rFonts w:ascii="Arial" w:cs="Arial" w:eastAsia="Arial" w:hAnsi="Arial"/>
                <w:sz w:val="18"/>
                <w:szCs w:val="18"/>
                <w:color w:val="auto"/>
              </w:rPr>
              <w:t>Approval of The Toro Company 2026 Equity Plan;</w:t>
            </w:r>
          </w:p>
        </w:tc>
      </w:tr>
      <w:tr>
        <w:trPr>
          <w:trHeight w:val="301"/>
        </w:trPr>
        <w:tc>
          <w:tcPr>
            <w:tcW w:w="1200" w:type="dxa"/>
            <w:vAlign w:val="bottom"/>
          </w:tcPr>
          <w:p>
            <w:pPr>
              <w:spacing w:after="0"/>
              <w:rPr>
                <w:sz w:val="24"/>
                <w:szCs w:val="24"/>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C00000"/>
              </w:rPr>
              <w:t>5.</w:t>
            </w:r>
          </w:p>
        </w:tc>
        <w:tc>
          <w:tcPr>
            <w:tcW w:w="9100" w:type="dxa"/>
            <w:vAlign w:val="bottom"/>
          </w:tcPr>
          <w:p>
            <w:pPr>
              <w:ind w:left="20"/>
              <w:spacing w:after="0"/>
              <w:rPr>
                <w:sz w:val="20"/>
                <w:szCs w:val="20"/>
                <w:color w:val="auto"/>
              </w:rPr>
            </w:pPr>
            <w:r>
              <w:rPr>
                <w:rFonts w:ascii="Arial" w:cs="Arial" w:eastAsia="Arial" w:hAnsi="Arial"/>
                <w:sz w:val="18"/>
                <w:szCs w:val="18"/>
                <w:color w:val="auto"/>
                <w:w w:val="98"/>
              </w:rPr>
              <w:t>Approval of an amendment to the Company's Restated Certificate of Incorporation to eliminate or limit the liability of</w:t>
            </w:r>
          </w:p>
        </w:tc>
      </w:tr>
      <w:tr>
        <w:trPr>
          <w:trHeight w:val="233"/>
        </w:trPr>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officers as provided under Delaware law;</w:t>
            </w:r>
          </w:p>
        </w:tc>
      </w:tr>
      <w:tr>
        <w:trPr>
          <w:trHeight w:val="247"/>
        </w:trPr>
        <w:tc>
          <w:tcPr>
            <w:tcW w:w="1200" w:type="dxa"/>
            <w:vAlign w:val="bottom"/>
          </w:tcPr>
          <w:p>
            <w:pPr>
              <w:spacing w:after="0"/>
              <w:rPr>
                <w:sz w:val="21"/>
                <w:szCs w:val="21"/>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BF2115"/>
              </w:rPr>
              <w:t>6.</w:t>
            </w:r>
          </w:p>
        </w:tc>
        <w:tc>
          <w:tcPr>
            <w:tcW w:w="9100" w:type="dxa"/>
            <w:vAlign w:val="bottom"/>
          </w:tcPr>
          <w:p>
            <w:pPr>
              <w:ind w:left="20"/>
              <w:spacing w:after="0"/>
              <w:rPr>
                <w:sz w:val="20"/>
                <w:szCs w:val="20"/>
                <w:color w:val="auto"/>
              </w:rPr>
            </w:pPr>
            <w:r>
              <w:rPr>
                <w:rFonts w:ascii="Arial" w:cs="Arial" w:eastAsia="Arial" w:hAnsi="Arial"/>
                <w:sz w:val="18"/>
                <w:szCs w:val="18"/>
                <w:color w:val="auto"/>
              </w:rPr>
              <w:t>Approval of an amendment to the Company's Restated Certificate of Incorporation to change the par value of all</w:t>
            </w:r>
          </w:p>
        </w:tc>
      </w:tr>
      <w:tr>
        <w:trPr>
          <w:trHeight w:val="233"/>
        </w:trPr>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capital stock from $1.00 to $0.01 per share; and</w:t>
            </w:r>
          </w:p>
        </w:tc>
      </w:tr>
      <w:tr>
        <w:trPr>
          <w:trHeight w:val="234"/>
        </w:trPr>
        <w:tc>
          <w:tcPr>
            <w:tcW w:w="1200" w:type="dxa"/>
            <w:vAlign w:val="bottom"/>
          </w:tcPr>
          <w:p>
            <w:pPr>
              <w:spacing w:after="0"/>
              <w:rPr>
                <w:sz w:val="20"/>
                <w:szCs w:val="20"/>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BF2115"/>
              </w:rPr>
              <w:t>7.</w:t>
            </w:r>
          </w:p>
        </w:tc>
        <w:tc>
          <w:tcPr>
            <w:tcW w:w="9100" w:type="dxa"/>
            <w:vAlign w:val="bottom"/>
          </w:tcPr>
          <w:p>
            <w:pPr>
              <w:ind w:left="20"/>
              <w:spacing w:after="0"/>
              <w:rPr>
                <w:sz w:val="20"/>
                <w:szCs w:val="20"/>
                <w:color w:val="auto"/>
              </w:rPr>
            </w:pPr>
            <w:r>
              <w:rPr>
                <w:rFonts w:ascii="Arial" w:cs="Arial" w:eastAsia="Arial" w:hAnsi="Arial"/>
                <w:sz w:val="18"/>
                <w:szCs w:val="18"/>
                <w:color w:val="auto"/>
                <w:w w:val="98"/>
              </w:rPr>
              <w:t>To transact any other business properly brought before the annual meeting or any adjournment or postponement of</w:t>
            </w:r>
          </w:p>
        </w:tc>
      </w:tr>
      <w:tr>
        <w:trPr>
          <w:trHeight w:val="233"/>
        </w:trPr>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the annual meeting.</w:t>
            </w:r>
          </w:p>
        </w:tc>
      </w:tr>
    </w:tbl>
    <w:p>
      <w:pPr>
        <w:spacing w:after="0" w:line="194"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We currently are not aware of any other business to be brought before the annual meeting. Stockholders of record at the close of business on January 20, 2026, the record date, will be entitled to vote at the annual meeting or at any adjournment or postponement of the annual meeting. A stockholder list will be made available at our principal executive offices during ordinary business hours beginning March 6, 2026, for examination by any stockholder registered on our stock ledger as of the record date for any purpose germane to the annual meeting.</w:t>
      </w:r>
    </w:p>
    <w:p>
      <w:pPr>
        <w:spacing w:after="0" w:line="54"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Your vote is important. A majority of the outstanding shares of our common stock must be present either by attending the virtual meeting or by proxy to constitute a quorum for the conduct of business. Please promptly vote your shares by following the instructions for voting contained in the Notice Regarding the Availability of Proxy Materials or, if you received a paper or electronic version of our proxy materials, by completing, signing, dating and returning your proxy card or by Internet, telephone or mobile device voting as described on your proxy card.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February 3, 2026</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40005</wp:posOffset>
            </wp:positionV>
            <wp:extent cx="1457325" cy="466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7325" cy="466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Joanna M. Totsky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General Counsel</w:t>
      </w:r>
    </w:p>
    <w:p>
      <w:pPr>
        <w:spacing w:after="0"/>
        <w:rPr>
          <w:sz w:val="20"/>
          <w:szCs w:val="20"/>
          <w:color w:val="auto"/>
        </w:rPr>
      </w:pPr>
      <w:r>
        <w:rPr>
          <w:rFonts w:ascii="Arial" w:cs="Arial" w:eastAsia="Arial" w:hAnsi="Arial"/>
          <w:sz w:val="18"/>
          <w:szCs w:val="18"/>
          <w:color w:val="auto"/>
        </w:rPr>
        <w:t>and Corporate Secretary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jc w:val="center"/>
        <w:ind w:right="-219"/>
        <w:spacing w:after="0"/>
        <w:rPr>
          <w:sz w:val="20"/>
          <w:szCs w:val="20"/>
          <w:color w:val="auto"/>
        </w:rPr>
      </w:pPr>
      <w:r>
        <w:rPr>
          <w:rFonts w:ascii="Arial" w:cs="Arial" w:eastAsia="Arial" w:hAnsi="Arial"/>
          <w:sz w:val="21"/>
          <w:szCs w:val="21"/>
          <w:color w:val="auto"/>
        </w:rPr>
        <w:t>TABLE OF CONTENTS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440" w:type="dxa"/>
            <w:vAlign w:val="bottom"/>
          </w:tcPr>
          <w:p>
            <w:pPr>
              <w:spacing w:after="0"/>
              <w:rPr>
                <w:sz w:val="20"/>
                <w:szCs w:val="20"/>
                <w:color w:val="auto"/>
              </w:rPr>
            </w:pPr>
            <w:r>
              <w:rPr>
                <w:rFonts w:ascii="Arial" w:cs="Arial" w:eastAsia="Arial" w:hAnsi="Arial"/>
                <w:sz w:val="18"/>
                <w:szCs w:val="18"/>
                <w:color w:val="BF2115"/>
              </w:rPr>
              <w:t>LETTER TO STOCKHOLDERS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54"/>
        </w:trPr>
        <w:tc>
          <w:tcPr>
            <w:tcW w:w="9440" w:type="dxa"/>
            <w:vAlign w:val="bottom"/>
          </w:tcPr>
          <w:p>
            <w:pPr>
              <w:spacing w:after="0"/>
              <w:rPr>
                <w:sz w:val="20"/>
                <w:szCs w:val="20"/>
                <w:color w:val="auto"/>
              </w:rPr>
            </w:pPr>
            <w:r>
              <w:rPr>
                <w:rFonts w:ascii="Arial" w:cs="Arial" w:eastAsia="Arial" w:hAnsi="Arial"/>
                <w:sz w:val="18"/>
                <w:szCs w:val="18"/>
                <w:color w:val="BF2115"/>
              </w:rPr>
              <w:t>NOTICE OF 2026 ANNUAL MEETING OF STOCKHOLDERS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54"/>
        </w:trPr>
        <w:tc>
          <w:tcPr>
            <w:tcW w:w="9440" w:type="dxa"/>
            <w:vAlign w:val="bottom"/>
          </w:tcPr>
          <w:p>
            <w:pPr>
              <w:spacing w:after="0"/>
              <w:rPr>
                <w:sz w:val="20"/>
                <w:szCs w:val="20"/>
                <w:color w:val="auto"/>
              </w:rPr>
            </w:pPr>
            <w:r>
              <w:rPr>
                <w:rFonts w:ascii="Arial" w:cs="Arial" w:eastAsia="Arial" w:hAnsi="Arial"/>
                <w:sz w:val="18"/>
                <w:szCs w:val="18"/>
                <w:color w:val="BF2115"/>
              </w:rPr>
              <w:t>EXECUTIVE SUMMARY</w:t>
            </w:r>
          </w:p>
        </w:tc>
        <w:tc>
          <w:tcPr>
            <w:tcW w:w="1540" w:type="dxa"/>
            <w:vAlign w:val="bottom"/>
          </w:tcPr>
          <w:p>
            <w:pPr>
              <w:jc w:val="right"/>
              <w:spacing w:after="0"/>
              <w:rPr>
                <w:sz w:val="20"/>
                <w:szCs w:val="20"/>
                <w:color w:val="auto"/>
              </w:rPr>
            </w:pPr>
            <w:r>
              <w:rPr>
                <w:rFonts w:ascii="Arial" w:cs="Arial" w:eastAsia="Arial" w:hAnsi="Arial"/>
                <w:sz w:val="18"/>
                <w:szCs w:val="18"/>
                <w:color w:val="auto"/>
              </w:rPr>
              <w:t>vii</w:t>
            </w:r>
          </w:p>
        </w:tc>
        <w:tc>
          <w:tcPr>
            <w:tcW w:w="0" w:type="dxa"/>
            <w:vAlign w:val="bottom"/>
          </w:tcPr>
          <w:p>
            <w:pPr>
              <w:spacing w:after="0"/>
              <w:rPr>
                <w:sz w:val="1"/>
                <w:szCs w:val="1"/>
                <w:color w:val="auto"/>
              </w:rPr>
            </w:pPr>
          </w:p>
        </w:tc>
      </w:tr>
      <w:tr>
        <w:trPr>
          <w:trHeight w:val="254"/>
        </w:trPr>
        <w:tc>
          <w:tcPr>
            <w:tcW w:w="9440" w:type="dxa"/>
            <w:vAlign w:val="bottom"/>
          </w:tcPr>
          <w:p>
            <w:pPr>
              <w:ind w:left="320"/>
              <w:spacing w:after="0"/>
              <w:rPr>
                <w:sz w:val="20"/>
                <w:szCs w:val="20"/>
                <w:color w:val="auto"/>
              </w:rPr>
            </w:pPr>
            <w:r>
              <w:rPr>
                <w:rFonts w:ascii="Arial" w:cs="Arial" w:eastAsia="Arial" w:hAnsi="Arial"/>
                <w:sz w:val="18"/>
                <w:szCs w:val="18"/>
                <w:color w:val="auto"/>
              </w:rPr>
              <w:t>Business Overview</w:t>
            </w:r>
          </w:p>
        </w:tc>
        <w:tc>
          <w:tcPr>
            <w:tcW w:w="1540" w:type="dxa"/>
            <w:vAlign w:val="bottom"/>
          </w:tcPr>
          <w:p>
            <w:pPr>
              <w:jc w:val="right"/>
              <w:spacing w:after="0"/>
              <w:rPr>
                <w:sz w:val="20"/>
                <w:szCs w:val="20"/>
                <w:color w:val="auto"/>
              </w:rPr>
            </w:pPr>
            <w:r>
              <w:rPr>
                <w:rFonts w:ascii="Arial" w:cs="Arial" w:eastAsia="Arial" w:hAnsi="Arial"/>
                <w:sz w:val="18"/>
                <w:szCs w:val="18"/>
                <w:color w:val="auto"/>
              </w:rPr>
              <w:t>vii</w:t>
            </w:r>
          </w:p>
        </w:tc>
        <w:tc>
          <w:tcPr>
            <w:tcW w:w="0" w:type="dxa"/>
            <w:vAlign w:val="bottom"/>
          </w:tcPr>
          <w:p>
            <w:pPr>
              <w:spacing w:after="0"/>
              <w:rPr>
                <w:sz w:val="1"/>
                <w:szCs w:val="1"/>
                <w:color w:val="auto"/>
              </w:rPr>
            </w:pPr>
          </w:p>
        </w:tc>
      </w:tr>
      <w:tr>
        <w:trPr>
          <w:trHeight w:val="254"/>
        </w:trPr>
        <w:tc>
          <w:tcPr>
            <w:tcW w:w="9440" w:type="dxa"/>
            <w:vAlign w:val="bottom"/>
          </w:tcPr>
          <w:p>
            <w:pPr>
              <w:ind w:left="320"/>
              <w:spacing w:after="0"/>
              <w:rPr>
                <w:sz w:val="20"/>
                <w:szCs w:val="20"/>
                <w:color w:val="auto"/>
              </w:rPr>
            </w:pPr>
            <w:r>
              <w:rPr>
                <w:rFonts w:ascii="Arial" w:cs="Arial" w:eastAsia="Arial" w:hAnsi="Arial"/>
                <w:sz w:val="18"/>
                <w:szCs w:val="18"/>
                <w:color w:val="auto"/>
              </w:rPr>
              <w:t>Highlights of Our Financial, Operational and Strategic Achievements for Fiscal 2025</w:t>
            </w:r>
          </w:p>
        </w:tc>
        <w:tc>
          <w:tcPr>
            <w:tcW w:w="1540" w:type="dxa"/>
            <w:vAlign w:val="bottom"/>
          </w:tcPr>
          <w:p>
            <w:pPr>
              <w:jc w:val="right"/>
              <w:spacing w:after="0"/>
              <w:rPr>
                <w:sz w:val="20"/>
                <w:szCs w:val="20"/>
                <w:color w:val="auto"/>
              </w:rPr>
            </w:pPr>
            <w:r>
              <w:rPr>
                <w:rFonts w:ascii="Arial" w:cs="Arial" w:eastAsia="Arial" w:hAnsi="Arial"/>
                <w:sz w:val="18"/>
                <w:szCs w:val="18"/>
                <w:color w:val="auto"/>
              </w:rPr>
              <w:t>vii</w:t>
            </w:r>
          </w:p>
        </w:tc>
        <w:tc>
          <w:tcPr>
            <w:tcW w:w="0" w:type="dxa"/>
            <w:vAlign w:val="bottom"/>
          </w:tcPr>
          <w:p>
            <w:pPr>
              <w:spacing w:after="0"/>
              <w:rPr>
                <w:sz w:val="1"/>
                <w:szCs w:val="1"/>
                <w:color w:val="auto"/>
              </w:rPr>
            </w:pPr>
          </w:p>
        </w:tc>
      </w:tr>
      <w:tr>
        <w:trPr>
          <w:trHeight w:val="254"/>
        </w:trPr>
        <w:tc>
          <w:tcPr>
            <w:tcW w:w="9440" w:type="dxa"/>
            <w:vAlign w:val="bottom"/>
          </w:tcPr>
          <w:p>
            <w:pPr>
              <w:ind w:left="320"/>
              <w:spacing w:after="0"/>
              <w:rPr>
                <w:sz w:val="20"/>
                <w:szCs w:val="20"/>
                <w:color w:val="auto"/>
              </w:rPr>
            </w:pPr>
            <w:r>
              <w:rPr>
                <w:rFonts w:ascii="Arial" w:cs="Arial" w:eastAsia="Arial" w:hAnsi="Arial"/>
                <w:sz w:val="18"/>
                <w:szCs w:val="18"/>
                <w:color w:val="auto"/>
              </w:rPr>
              <w:t>The Toro Company's Commitment to Sustainability</w:t>
            </w:r>
          </w:p>
        </w:tc>
        <w:tc>
          <w:tcPr>
            <w:tcW w:w="1540" w:type="dxa"/>
            <w:vAlign w:val="bottom"/>
          </w:tcPr>
          <w:p>
            <w:pPr>
              <w:jc w:val="right"/>
              <w:spacing w:after="0"/>
              <w:rPr>
                <w:sz w:val="20"/>
                <w:szCs w:val="20"/>
                <w:color w:val="auto"/>
              </w:rPr>
            </w:pPr>
            <w:r>
              <w:rPr>
                <w:rFonts w:ascii="Arial" w:cs="Arial" w:eastAsia="Arial" w:hAnsi="Arial"/>
                <w:sz w:val="18"/>
                <w:szCs w:val="18"/>
                <w:color w:val="auto"/>
              </w:rPr>
              <w:t>viii</w:t>
            </w:r>
          </w:p>
        </w:tc>
        <w:tc>
          <w:tcPr>
            <w:tcW w:w="0" w:type="dxa"/>
            <w:vAlign w:val="bottom"/>
          </w:tcPr>
          <w:p>
            <w:pPr>
              <w:spacing w:after="0"/>
              <w:rPr>
                <w:sz w:val="1"/>
                <w:szCs w:val="1"/>
                <w:color w:val="auto"/>
              </w:rPr>
            </w:pPr>
          </w:p>
        </w:tc>
      </w:tr>
      <w:tr>
        <w:trPr>
          <w:trHeight w:val="254"/>
        </w:trPr>
        <w:tc>
          <w:tcPr>
            <w:tcW w:w="9440" w:type="dxa"/>
            <w:vAlign w:val="bottom"/>
          </w:tcPr>
          <w:p>
            <w:pPr>
              <w:ind w:left="320"/>
              <w:spacing w:after="0"/>
              <w:rPr>
                <w:sz w:val="20"/>
                <w:szCs w:val="20"/>
                <w:color w:val="auto"/>
              </w:rPr>
            </w:pPr>
            <w:r>
              <w:rPr>
                <w:rFonts w:ascii="Arial" w:cs="Arial" w:eastAsia="Arial" w:hAnsi="Arial"/>
                <w:sz w:val="18"/>
                <w:szCs w:val="18"/>
                <w:color w:val="auto"/>
              </w:rPr>
              <w:t>2026 Annual Meeting of Stockholders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viii</w:t>
            </w:r>
          </w:p>
        </w:tc>
        <w:tc>
          <w:tcPr>
            <w:tcW w:w="0" w:type="dxa"/>
            <w:vAlign w:val="bottom"/>
          </w:tcPr>
          <w:p>
            <w:pPr>
              <w:spacing w:after="0"/>
              <w:rPr>
                <w:sz w:val="1"/>
                <w:szCs w:val="1"/>
                <w:color w:val="auto"/>
              </w:rPr>
            </w:pPr>
          </w:p>
        </w:tc>
      </w:tr>
      <w:tr>
        <w:trPr>
          <w:trHeight w:val="254"/>
        </w:trPr>
        <w:tc>
          <w:tcPr>
            <w:tcW w:w="9440" w:type="dxa"/>
            <w:vAlign w:val="bottom"/>
          </w:tcPr>
          <w:p>
            <w:pPr>
              <w:ind w:left="320"/>
              <w:spacing w:after="0"/>
              <w:rPr>
                <w:sz w:val="20"/>
                <w:szCs w:val="20"/>
                <w:color w:val="auto"/>
              </w:rPr>
            </w:pPr>
            <w:r>
              <w:rPr>
                <w:rFonts w:ascii="Arial" w:cs="Arial" w:eastAsia="Arial" w:hAnsi="Arial"/>
                <w:sz w:val="18"/>
                <w:szCs w:val="18"/>
                <w:color w:val="auto"/>
              </w:rPr>
              <w:t>Meeting Agenda, Voting Matters and Recommendations</w:t>
            </w:r>
          </w:p>
        </w:tc>
        <w:tc>
          <w:tcPr>
            <w:tcW w:w="1540" w:type="dxa"/>
            <w:vAlign w:val="bottom"/>
          </w:tcPr>
          <w:p>
            <w:pPr>
              <w:jc w:val="right"/>
              <w:spacing w:after="0"/>
              <w:rPr>
                <w:sz w:val="20"/>
                <w:szCs w:val="20"/>
                <w:color w:val="auto"/>
              </w:rPr>
            </w:pPr>
            <w:r>
              <w:rPr>
                <w:rFonts w:ascii="Arial" w:cs="Arial" w:eastAsia="Arial" w:hAnsi="Arial"/>
                <w:sz w:val="18"/>
                <w:szCs w:val="18"/>
                <w:color w:val="auto"/>
              </w:rPr>
              <w:t>viii</w:t>
            </w:r>
          </w:p>
        </w:tc>
        <w:tc>
          <w:tcPr>
            <w:tcW w:w="0" w:type="dxa"/>
            <w:vAlign w:val="bottom"/>
          </w:tcPr>
          <w:p>
            <w:pPr>
              <w:spacing w:after="0"/>
              <w:rPr>
                <w:sz w:val="1"/>
                <w:szCs w:val="1"/>
                <w:color w:val="auto"/>
              </w:rPr>
            </w:pPr>
          </w:p>
        </w:tc>
      </w:tr>
      <w:tr>
        <w:trPr>
          <w:trHeight w:val="254"/>
        </w:trPr>
        <w:tc>
          <w:tcPr>
            <w:tcW w:w="9440" w:type="dxa"/>
            <w:vAlign w:val="bottom"/>
          </w:tcPr>
          <w:p>
            <w:pPr>
              <w:ind w:left="320"/>
              <w:spacing w:after="0"/>
              <w:rPr>
                <w:sz w:val="20"/>
                <w:szCs w:val="20"/>
                <w:color w:val="auto"/>
              </w:rPr>
            </w:pPr>
            <w:r>
              <w:rPr>
                <w:rFonts w:ascii="Arial" w:cs="Arial" w:eastAsia="Arial" w:hAnsi="Arial"/>
                <w:sz w:val="18"/>
                <w:szCs w:val="18"/>
                <w:color w:val="auto"/>
              </w:rPr>
              <w:t>How to Cast Your Vote</w:t>
            </w:r>
          </w:p>
        </w:tc>
        <w:tc>
          <w:tcPr>
            <w:tcW w:w="1540" w:type="dxa"/>
            <w:vAlign w:val="bottom"/>
          </w:tcPr>
          <w:p>
            <w:pPr>
              <w:jc w:val="right"/>
              <w:spacing w:after="0"/>
              <w:rPr>
                <w:sz w:val="20"/>
                <w:szCs w:val="20"/>
                <w:color w:val="auto"/>
              </w:rPr>
            </w:pPr>
            <w:r>
              <w:rPr>
                <w:rFonts w:ascii="Arial" w:cs="Arial" w:eastAsia="Arial" w:hAnsi="Arial"/>
                <w:sz w:val="18"/>
                <w:szCs w:val="18"/>
                <w:color w:val="auto"/>
              </w:rPr>
              <w:t>viii</w:t>
            </w:r>
          </w:p>
        </w:tc>
        <w:tc>
          <w:tcPr>
            <w:tcW w:w="0" w:type="dxa"/>
            <w:vAlign w:val="bottom"/>
          </w:tcPr>
          <w:p>
            <w:pPr>
              <w:spacing w:after="0"/>
              <w:rPr>
                <w:sz w:val="1"/>
                <w:szCs w:val="1"/>
                <w:color w:val="auto"/>
              </w:rPr>
            </w:pPr>
          </w:p>
        </w:tc>
      </w:tr>
      <w:tr>
        <w:trPr>
          <w:trHeight w:val="240"/>
        </w:trPr>
        <w:tc>
          <w:tcPr>
            <w:tcW w:w="9440" w:type="dxa"/>
            <w:vAlign w:val="bottom"/>
          </w:tcPr>
          <w:p>
            <w:pPr>
              <w:spacing w:after="0"/>
              <w:rPr>
                <w:sz w:val="20"/>
                <w:szCs w:val="20"/>
                <w:color w:val="auto"/>
              </w:rPr>
            </w:pPr>
            <w:r>
              <w:rPr>
                <w:rFonts w:ascii="Arial" w:cs="Arial" w:eastAsia="Arial" w:hAnsi="Arial"/>
                <w:sz w:val="18"/>
                <w:szCs w:val="18"/>
                <w:color w:val="auto"/>
              </w:rPr>
              <w:t>Corporate Governance Highlights</w:t>
            </w:r>
          </w:p>
        </w:tc>
        <w:tc>
          <w:tcPr>
            <w:tcW w:w="1540" w:type="dxa"/>
            <w:vAlign w:val="bottom"/>
          </w:tcPr>
          <w:p>
            <w:pPr>
              <w:jc w:val="right"/>
              <w:spacing w:after="0"/>
              <w:rPr>
                <w:sz w:val="20"/>
                <w:szCs w:val="20"/>
                <w:color w:val="auto"/>
              </w:rPr>
            </w:pPr>
            <w:r>
              <w:rPr>
                <w:rFonts w:ascii="Arial" w:cs="Arial" w:eastAsia="Arial" w:hAnsi="Arial"/>
                <w:sz w:val="18"/>
                <w:szCs w:val="18"/>
                <w:color w:val="auto"/>
              </w:rPr>
              <w:t>ix</w:t>
            </w:r>
          </w:p>
        </w:tc>
        <w:tc>
          <w:tcPr>
            <w:tcW w:w="0" w:type="dxa"/>
            <w:vAlign w:val="bottom"/>
          </w:tcPr>
          <w:p>
            <w:pPr>
              <w:spacing w:after="0"/>
              <w:rPr>
                <w:sz w:val="1"/>
                <w:szCs w:val="1"/>
                <w:color w:val="auto"/>
              </w:rPr>
            </w:pPr>
          </w:p>
        </w:tc>
      </w:tr>
      <w:tr>
        <w:trPr>
          <w:trHeight w:val="267"/>
        </w:trPr>
        <w:tc>
          <w:tcPr>
            <w:tcW w:w="9440" w:type="dxa"/>
            <w:vAlign w:val="bottom"/>
          </w:tcPr>
          <w:p>
            <w:pPr>
              <w:ind w:left="320"/>
              <w:spacing w:after="0"/>
              <w:rPr>
                <w:sz w:val="20"/>
                <w:szCs w:val="20"/>
                <w:color w:val="auto"/>
              </w:rPr>
            </w:pPr>
            <w:r>
              <w:rPr>
                <w:rFonts w:ascii="Arial" w:cs="Arial" w:eastAsia="Arial" w:hAnsi="Arial"/>
                <w:sz w:val="18"/>
                <w:szCs w:val="18"/>
                <w:color w:val="auto"/>
              </w:rPr>
              <w:t>Executive Compensation</w:t>
            </w:r>
          </w:p>
        </w:tc>
        <w:tc>
          <w:tcPr>
            <w:tcW w:w="154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4"/>
        </w:trPr>
        <w:tc>
          <w:tcPr>
            <w:tcW w:w="9440" w:type="dxa"/>
            <w:vAlign w:val="bottom"/>
          </w:tcPr>
          <w:p>
            <w:pPr>
              <w:ind w:left="320"/>
              <w:spacing w:after="0"/>
              <w:rPr>
                <w:sz w:val="20"/>
                <w:szCs w:val="20"/>
                <w:color w:val="auto"/>
              </w:rPr>
            </w:pPr>
            <w:r>
              <w:rPr>
                <w:rFonts w:ascii="Arial" w:cs="Arial" w:eastAsia="Arial" w:hAnsi="Arial"/>
                <w:sz w:val="18"/>
                <w:szCs w:val="18"/>
                <w:color w:val="auto"/>
              </w:rPr>
              <w:t>Fiscal 2025 Executive Compensation Summary</w:t>
            </w:r>
          </w:p>
        </w:tc>
        <w:tc>
          <w:tcPr>
            <w:tcW w:w="154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4"/>
        </w:trPr>
        <w:tc>
          <w:tcPr>
            <w:tcW w:w="9440" w:type="dxa"/>
            <w:vAlign w:val="bottom"/>
          </w:tcPr>
          <w:p>
            <w:pPr>
              <w:spacing w:after="0"/>
              <w:rPr>
                <w:sz w:val="20"/>
                <w:szCs w:val="20"/>
                <w:color w:val="auto"/>
              </w:rPr>
            </w:pPr>
            <w:r>
              <w:rPr>
                <w:rFonts w:ascii="Arial" w:cs="Arial" w:eastAsia="Arial" w:hAnsi="Arial"/>
                <w:sz w:val="18"/>
                <w:szCs w:val="18"/>
                <w:color w:val="BF2115"/>
              </w:rPr>
              <w:t>PROXY STATEMENT</w:t>
            </w: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0"/>
        </w:trPr>
        <w:tc>
          <w:tcPr>
            <w:tcW w:w="9440" w:type="dxa"/>
            <w:vAlign w:val="bottom"/>
          </w:tcPr>
          <w:p>
            <w:pPr>
              <w:spacing w:after="0"/>
              <w:rPr>
                <w:sz w:val="20"/>
                <w:szCs w:val="20"/>
                <w:color w:val="auto"/>
              </w:rPr>
            </w:pPr>
            <w:r>
              <w:rPr>
                <w:rFonts w:ascii="Arial" w:cs="Arial" w:eastAsia="Arial" w:hAnsi="Arial"/>
                <w:sz w:val="18"/>
                <w:szCs w:val="18"/>
                <w:color w:val="BF2115"/>
              </w:rPr>
              <w:t>PROPOSAL ONE—ELECTION OF DIRECTORS</w:t>
            </w: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7"/>
        </w:trPr>
        <w:tc>
          <w:tcPr>
            <w:tcW w:w="9440" w:type="dxa"/>
            <w:vAlign w:val="bottom"/>
          </w:tcPr>
          <w:p>
            <w:pPr>
              <w:ind w:left="360"/>
              <w:spacing w:after="0"/>
              <w:rPr>
                <w:sz w:val="20"/>
                <w:szCs w:val="20"/>
                <w:color w:val="auto"/>
              </w:rPr>
            </w:pPr>
            <w:r>
              <w:rPr>
                <w:rFonts w:ascii="Arial" w:cs="Arial" w:eastAsia="Arial" w:hAnsi="Arial"/>
                <w:sz w:val="18"/>
                <w:szCs w:val="18"/>
                <w:color w:val="auto"/>
              </w:rPr>
              <w:t>Board Size and Structure</w:t>
            </w: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7"/>
        </w:trPr>
        <w:tc>
          <w:tcPr>
            <w:tcW w:w="9440" w:type="dxa"/>
            <w:vAlign w:val="bottom"/>
          </w:tcPr>
          <w:p>
            <w:pPr>
              <w:ind w:left="380"/>
              <w:spacing w:after="0"/>
              <w:rPr>
                <w:sz w:val="20"/>
                <w:szCs w:val="20"/>
                <w:color w:val="auto"/>
              </w:rPr>
            </w:pPr>
            <w:r>
              <w:rPr>
                <w:rFonts w:ascii="Arial" w:cs="Arial" w:eastAsia="Arial" w:hAnsi="Arial"/>
                <w:sz w:val="18"/>
                <w:szCs w:val="18"/>
                <w:color w:val="auto"/>
              </w:rPr>
              <w:t>Nominees for Director</w:t>
            </w: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4"/>
        </w:trPr>
        <w:tc>
          <w:tcPr>
            <w:tcW w:w="9440" w:type="dxa"/>
            <w:vAlign w:val="bottom"/>
          </w:tcPr>
          <w:p>
            <w:pPr>
              <w:ind w:left="380"/>
              <w:spacing w:after="0"/>
              <w:rPr>
                <w:sz w:val="20"/>
                <w:szCs w:val="20"/>
                <w:color w:val="auto"/>
              </w:rPr>
            </w:pPr>
            <w:r>
              <w:rPr>
                <w:rFonts w:ascii="Arial" w:cs="Arial" w:eastAsia="Arial" w:hAnsi="Arial"/>
                <w:sz w:val="18"/>
                <w:szCs w:val="18"/>
                <w:color w:val="auto"/>
              </w:rPr>
              <w:t>Board Recommendation</w:t>
            </w: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4"/>
        </w:trPr>
        <w:tc>
          <w:tcPr>
            <w:tcW w:w="9440" w:type="dxa"/>
            <w:vAlign w:val="bottom"/>
          </w:tcPr>
          <w:p>
            <w:pPr>
              <w:ind w:left="360"/>
              <w:spacing w:after="0"/>
              <w:rPr>
                <w:sz w:val="20"/>
                <w:szCs w:val="20"/>
                <w:color w:val="auto"/>
              </w:rPr>
            </w:pPr>
            <w:r>
              <w:rPr>
                <w:rFonts w:ascii="Arial" w:cs="Arial" w:eastAsia="Arial" w:hAnsi="Arial"/>
                <w:sz w:val="18"/>
                <w:szCs w:val="18"/>
                <w:color w:val="auto"/>
              </w:rPr>
              <w:t>Information About Director Nominees and Continuing Directors</w:t>
            </w: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7"/>
        </w:trPr>
        <w:tc>
          <w:tcPr>
            <w:tcW w:w="9440" w:type="dxa"/>
            <w:vAlign w:val="bottom"/>
          </w:tcPr>
          <w:p>
            <w:pPr>
              <w:spacing w:after="0"/>
              <w:rPr>
                <w:sz w:val="20"/>
                <w:szCs w:val="20"/>
                <w:color w:val="auto"/>
              </w:rPr>
            </w:pPr>
            <w:r>
              <w:rPr>
                <w:rFonts w:ascii="Arial" w:cs="Arial" w:eastAsia="Arial" w:hAnsi="Arial"/>
                <w:sz w:val="18"/>
                <w:szCs w:val="18"/>
                <w:color w:val="BF2115"/>
              </w:rPr>
              <w:t>DIRECTOR COMPENSATION</w:t>
            </w:r>
          </w:p>
        </w:tc>
        <w:tc>
          <w:tcPr>
            <w:tcW w:w="15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7"/>
        </w:trPr>
        <w:tc>
          <w:tcPr>
            <w:tcW w:w="9440" w:type="dxa"/>
            <w:vAlign w:val="bottom"/>
          </w:tcPr>
          <w:p>
            <w:pPr>
              <w:ind w:left="300"/>
              <w:spacing w:after="0"/>
              <w:rPr>
                <w:sz w:val="20"/>
                <w:szCs w:val="20"/>
                <w:color w:val="auto"/>
              </w:rPr>
            </w:pPr>
            <w:r>
              <w:rPr>
                <w:rFonts w:ascii="Arial" w:cs="Arial" w:eastAsia="Arial" w:hAnsi="Arial"/>
                <w:sz w:val="18"/>
                <w:szCs w:val="18"/>
                <w:color w:val="auto"/>
              </w:rPr>
              <w:t>Director Compensation Program for Fiscal 2025</w:t>
            </w:r>
          </w:p>
        </w:tc>
        <w:tc>
          <w:tcPr>
            <w:tcW w:w="15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4"/>
        </w:trPr>
        <w:tc>
          <w:tcPr>
            <w:tcW w:w="9440" w:type="dxa"/>
            <w:vAlign w:val="bottom"/>
          </w:tcPr>
          <w:p>
            <w:pPr>
              <w:ind w:left="300"/>
              <w:spacing w:after="0"/>
              <w:rPr>
                <w:sz w:val="20"/>
                <w:szCs w:val="20"/>
                <w:color w:val="auto"/>
              </w:rPr>
            </w:pPr>
            <w:r>
              <w:rPr>
                <w:rFonts w:ascii="Arial" w:cs="Arial" w:eastAsia="Arial" w:hAnsi="Arial"/>
                <w:sz w:val="18"/>
                <w:szCs w:val="18"/>
                <w:color w:val="auto"/>
              </w:rPr>
              <w:t>Director Compensation Highlights</w:t>
            </w:r>
          </w:p>
        </w:tc>
        <w:tc>
          <w:tcPr>
            <w:tcW w:w="15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7"/>
        </w:trPr>
        <w:tc>
          <w:tcPr>
            <w:tcW w:w="9440" w:type="dxa"/>
            <w:vAlign w:val="bottom"/>
          </w:tcPr>
          <w:p>
            <w:pPr>
              <w:ind w:left="300"/>
              <w:spacing w:after="0"/>
              <w:rPr>
                <w:sz w:val="20"/>
                <w:szCs w:val="20"/>
                <w:color w:val="auto"/>
              </w:rPr>
            </w:pPr>
            <w:r>
              <w:rPr>
                <w:rFonts w:ascii="Arial" w:cs="Arial" w:eastAsia="Arial" w:hAnsi="Arial"/>
                <w:sz w:val="18"/>
                <w:szCs w:val="18"/>
                <w:color w:val="auto"/>
              </w:rPr>
              <w:t>Director Compensation for Fiscal 2025</w:t>
            </w:r>
          </w:p>
        </w:tc>
        <w:tc>
          <w:tcPr>
            <w:tcW w:w="15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34"/>
        </w:trPr>
        <w:tc>
          <w:tcPr>
            <w:tcW w:w="9440" w:type="dxa"/>
            <w:vAlign w:val="bottom"/>
          </w:tcPr>
          <w:p>
            <w:pPr>
              <w:spacing w:after="0"/>
              <w:rPr>
                <w:sz w:val="20"/>
                <w:szCs w:val="20"/>
                <w:color w:val="auto"/>
              </w:rPr>
            </w:pPr>
            <w:r>
              <w:rPr>
                <w:rFonts w:ascii="Arial" w:cs="Arial" w:eastAsia="Arial" w:hAnsi="Arial"/>
                <w:sz w:val="18"/>
                <w:szCs w:val="18"/>
                <w:color w:val="BF2115"/>
              </w:rPr>
              <w:t>CORPORATE GOVERNANCE</w:t>
            </w: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4"/>
        </w:trPr>
        <w:tc>
          <w:tcPr>
            <w:tcW w:w="9440" w:type="dxa"/>
            <w:vAlign w:val="bottom"/>
          </w:tcPr>
          <w:p>
            <w:pPr>
              <w:ind w:left="300"/>
              <w:spacing w:after="0"/>
              <w:rPr>
                <w:sz w:val="20"/>
                <w:szCs w:val="20"/>
                <w:color w:val="auto"/>
              </w:rPr>
            </w:pPr>
            <w:r>
              <w:rPr>
                <w:rFonts w:ascii="Arial" w:cs="Arial" w:eastAsia="Arial" w:hAnsi="Arial"/>
                <w:sz w:val="18"/>
                <w:szCs w:val="18"/>
                <w:color w:val="auto"/>
              </w:rPr>
              <w:t>Overview</w:t>
            </w: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7"/>
        </w:trPr>
        <w:tc>
          <w:tcPr>
            <w:tcW w:w="9440" w:type="dxa"/>
            <w:vAlign w:val="bottom"/>
          </w:tcPr>
          <w:p>
            <w:pPr>
              <w:ind w:left="300"/>
              <w:spacing w:after="0"/>
              <w:rPr>
                <w:sz w:val="20"/>
                <w:szCs w:val="20"/>
                <w:color w:val="auto"/>
              </w:rPr>
            </w:pPr>
            <w:r>
              <w:rPr>
                <w:rFonts w:ascii="Arial" w:cs="Arial" w:eastAsia="Arial" w:hAnsi="Arial"/>
                <w:sz w:val="18"/>
                <w:szCs w:val="18"/>
                <w:color w:val="auto"/>
              </w:rPr>
              <w:t>Corporate Governance Guidelines</w:t>
            </w: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4"/>
        </w:trPr>
        <w:tc>
          <w:tcPr>
            <w:tcW w:w="9440" w:type="dxa"/>
            <w:vAlign w:val="bottom"/>
          </w:tcPr>
          <w:p>
            <w:pPr>
              <w:ind w:left="300"/>
              <w:spacing w:after="0"/>
              <w:rPr>
                <w:sz w:val="20"/>
                <w:szCs w:val="20"/>
                <w:color w:val="auto"/>
              </w:rPr>
            </w:pPr>
            <w:r>
              <w:rPr>
                <w:rFonts w:ascii="Arial" w:cs="Arial" w:eastAsia="Arial" w:hAnsi="Arial"/>
                <w:sz w:val="18"/>
                <w:szCs w:val="18"/>
                <w:color w:val="auto"/>
              </w:rPr>
              <w:t>Staggered Board Structure</w:t>
            </w:r>
          </w:p>
        </w:tc>
        <w:tc>
          <w:tcPr>
            <w:tcW w:w="15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94"/>
        </w:trPr>
        <w:tc>
          <w:tcPr>
            <w:tcW w:w="9440" w:type="dxa"/>
            <w:vAlign w:val="bottom"/>
          </w:tcPr>
          <w:p>
            <w:pPr>
              <w:ind w:left="300"/>
              <w:spacing w:after="0"/>
              <w:rPr>
                <w:sz w:val="20"/>
                <w:szCs w:val="20"/>
                <w:color w:val="auto"/>
              </w:rPr>
            </w:pPr>
            <w:r>
              <w:rPr>
                <w:rFonts w:ascii="Arial" w:cs="Arial" w:eastAsia="Arial" w:hAnsi="Arial"/>
                <w:sz w:val="18"/>
                <w:szCs w:val="18"/>
                <w:color w:val="auto"/>
              </w:rPr>
              <w:t>Policy Regarding Separation of Chair and CEO</w:t>
            </w: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67"/>
        </w:trPr>
        <w:tc>
          <w:tcPr>
            <w:tcW w:w="94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9440" w:type="dxa"/>
            <w:vAlign w:val="bottom"/>
          </w:tcPr>
          <w:p>
            <w:pPr>
              <w:ind w:left="300"/>
              <w:spacing w:after="0"/>
              <w:rPr>
                <w:sz w:val="20"/>
                <w:szCs w:val="20"/>
                <w:color w:val="auto"/>
              </w:rPr>
            </w:pPr>
            <w:r>
              <w:rPr>
                <w:rFonts w:ascii="Arial" w:cs="Arial" w:eastAsia="Arial" w:hAnsi="Arial"/>
                <w:sz w:val="18"/>
                <w:szCs w:val="18"/>
                <w:color w:val="auto"/>
              </w:rPr>
              <w:t>Current Board Leadership Structure</w:t>
            </w:r>
          </w:p>
        </w:tc>
        <w:tc>
          <w:tcPr>
            <w:tcW w:w="15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7"/>
        </w:trPr>
        <w:tc>
          <w:tcPr>
            <w:tcW w:w="9440" w:type="dxa"/>
            <w:vAlign w:val="bottom"/>
          </w:tcPr>
          <w:p>
            <w:pPr>
              <w:ind w:left="300"/>
              <w:spacing w:after="0"/>
              <w:rPr>
                <w:sz w:val="20"/>
                <w:szCs w:val="20"/>
                <w:color w:val="auto"/>
              </w:rPr>
            </w:pPr>
            <w:r>
              <w:rPr>
                <w:rFonts w:ascii="Arial" w:cs="Arial" w:eastAsia="Arial" w:hAnsi="Arial"/>
                <w:sz w:val="18"/>
                <w:szCs w:val="18"/>
                <w:color w:val="auto"/>
              </w:rPr>
              <w:t>Director Attendance; Executive Sessions</w:t>
            </w:r>
          </w:p>
        </w:tc>
        <w:tc>
          <w:tcPr>
            <w:tcW w:w="15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7"/>
        </w:trPr>
        <w:tc>
          <w:tcPr>
            <w:tcW w:w="9440" w:type="dxa"/>
            <w:vAlign w:val="bottom"/>
          </w:tcPr>
          <w:p>
            <w:pPr>
              <w:ind w:left="300"/>
              <w:spacing w:after="0"/>
              <w:rPr>
                <w:sz w:val="20"/>
                <w:szCs w:val="20"/>
                <w:color w:val="auto"/>
              </w:rPr>
            </w:pPr>
            <w:r>
              <w:rPr>
                <w:rFonts w:ascii="Arial" w:cs="Arial" w:eastAsia="Arial" w:hAnsi="Arial"/>
                <w:sz w:val="18"/>
                <w:szCs w:val="18"/>
                <w:color w:val="auto"/>
              </w:rPr>
              <w:t>Board Committees</w:t>
            </w:r>
          </w:p>
        </w:tc>
        <w:tc>
          <w:tcPr>
            <w:tcW w:w="15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60"/>
        </w:trPr>
        <w:tc>
          <w:tcPr>
            <w:tcW w:w="9440" w:type="dxa"/>
            <w:vAlign w:val="bottom"/>
          </w:tcPr>
          <w:p>
            <w:pPr>
              <w:ind w:left="300"/>
              <w:spacing w:after="0"/>
              <w:rPr>
                <w:sz w:val="20"/>
                <w:szCs w:val="20"/>
                <w:color w:val="auto"/>
              </w:rPr>
            </w:pPr>
            <w:r>
              <w:rPr>
                <w:rFonts w:ascii="Arial" w:cs="Arial" w:eastAsia="Arial" w:hAnsi="Arial"/>
                <w:sz w:val="18"/>
                <w:szCs w:val="18"/>
                <w:color w:val="auto"/>
              </w:rPr>
              <w:t>Director Refreshment, Recruitment, Nomination and Qualifications</w:t>
            </w:r>
          </w:p>
        </w:tc>
        <w:tc>
          <w:tcPr>
            <w:tcW w:w="15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7"/>
        </w:trPr>
        <w:tc>
          <w:tcPr>
            <w:tcW w:w="9440" w:type="dxa"/>
            <w:vAlign w:val="bottom"/>
          </w:tcPr>
          <w:p>
            <w:pPr>
              <w:ind w:left="300"/>
              <w:spacing w:after="0"/>
              <w:rPr>
                <w:sz w:val="20"/>
                <w:szCs w:val="20"/>
                <w:color w:val="auto"/>
              </w:rPr>
            </w:pPr>
            <w:r>
              <w:rPr>
                <w:rFonts w:ascii="Arial" w:cs="Arial" w:eastAsia="Arial" w:hAnsi="Arial"/>
                <w:sz w:val="18"/>
                <w:szCs w:val="18"/>
                <w:color w:val="auto"/>
              </w:rPr>
              <w:t>Director Independence</w:t>
            </w: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4"/>
        </w:trPr>
        <w:tc>
          <w:tcPr>
            <w:tcW w:w="9440" w:type="dxa"/>
            <w:vAlign w:val="bottom"/>
          </w:tcPr>
          <w:p>
            <w:pPr>
              <w:ind w:left="300"/>
              <w:spacing w:after="0"/>
              <w:rPr>
                <w:sz w:val="20"/>
                <w:szCs w:val="20"/>
                <w:color w:val="auto"/>
              </w:rPr>
            </w:pPr>
            <w:r>
              <w:rPr>
                <w:rFonts w:ascii="Arial" w:cs="Arial" w:eastAsia="Arial" w:hAnsi="Arial"/>
                <w:sz w:val="18"/>
                <w:szCs w:val="18"/>
                <w:color w:val="auto"/>
              </w:rPr>
              <w:t>Board and Committee Evaluations</w:t>
            </w: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4"/>
        </w:trPr>
        <w:tc>
          <w:tcPr>
            <w:tcW w:w="9440" w:type="dxa"/>
            <w:vAlign w:val="bottom"/>
          </w:tcPr>
          <w:p>
            <w:pPr>
              <w:ind w:left="300"/>
              <w:spacing w:after="0"/>
              <w:rPr>
                <w:sz w:val="20"/>
                <w:szCs w:val="20"/>
                <w:color w:val="auto"/>
              </w:rPr>
            </w:pPr>
            <w:r>
              <w:rPr>
                <w:rFonts w:ascii="Arial" w:cs="Arial" w:eastAsia="Arial" w:hAnsi="Arial"/>
                <w:sz w:val="18"/>
                <w:szCs w:val="18"/>
                <w:color w:val="auto"/>
              </w:rPr>
              <w:t>Management Succession Planning</w:t>
            </w: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4"/>
        </w:trPr>
        <w:tc>
          <w:tcPr>
            <w:tcW w:w="9440" w:type="dxa"/>
            <w:vAlign w:val="bottom"/>
          </w:tcPr>
          <w:p>
            <w:pPr>
              <w:ind w:left="300"/>
              <w:spacing w:after="0"/>
              <w:rPr>
                <w:sz w:val="20"/>
                <w:szCs w:val="20"/>
                <w:color w:val="auto"/>
              </w:rPr>
            </w:pPr>
            <w:r>
              <w:rPr>
                <w:rFonts w:ascii="Arial" w:cs="Arial" w:eastAsia="Arial" w:hAnsi="Arial"/>
                <w:sz w:val="18"/>
                <w:szCs w:val="18"/>
                <w:color w:val="auto"/>
              </w:rPr>
              <w:t>Director Orientation and Continuing Education</w:t>
            </w: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7"/>
        </w:trPr>
        <w:tc>
          <w:tcPr>
            <w:tcW w:w="9440" w:type="dxa"/>
            <w:vAlign w:val="bottom"/>
          </w:tcPr>
          <w:p>
            <w:pPr>
              <w:ind w:left="300"/>
              <w:spacing w:after="0"/>
              <w:rPr>
                <w:sz w:val="20"/>
                <w:szCs w:val="20"/>
                <w:color w:val="auto"/>
              </w:rPr>
            </w:pPr>
            <w:r>
              <w:rPr>
                <w:rFonts w:ascii="Arial" w:cs="Arial" w:eastAsia="Arial" w:hAnsi="Arial"/>
                <w:sz w:val="18"/>
                <w:szCs w:val="18"/>
                <w:color w:val="auto"/>
              </w:rPr>
              <w:t>Board's Role in Risk Oversight</w:t>
            </w: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7"/>
        </w:trPr>
        <w:tc>
          <w:tcPr>
            <w:tcW w:w="9440" w:type="dxa"/>
            <w:vAlign w:val="bottom"/>
          </w:tcPr>
          <w:p>
            <w:pPr>
              <w:ind w:left="300"/>
              <w:spacing w:after="0"/>
              <w:rPr>
                <w:sz w:val="20"/>
                <w:szCs w:val="20"/>
                <w:color w:val="auto"/>
              </w:rPr>
            </w:pPr>
            <w:r>
              <w:rPr>
                <w:rFonts w:ascii="Arial" w:cs="Arial" w:eastAsia="Arial" w:hAnsi="Arial"/>
                <w:sz w:val="18"/>
                <w:szCs w:val="18"/>
                <w:color w:val="auto"/>
              </w:rPr>
              <w:t>Executive Compensation Process</w:t>
            </w: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7"/>
        </w:trPr>
        <w:tc>
          <w:tcPr>
            <w:tcW w:w="9440" w:type="dxa"/>
            <w:vAlign w:val="bottom"/>
          </w:tcPr>
          <w:p>
            <w:pPr>
              <w:ind w:left="300"/>
              <w:spacing w:after="0"/>
              <w:rPr>
                <w:sz w:val="20"/>
                <w:szCs w:val="20"/>
                <w:color w:val="auto"/>
              </w:rPr>
            </w:pPr>
            <w:r>
              <w:rPr>
                <w:rFonts w:ascii="Arial" w:cs="Arial" w:eastAsia="Arial" w:hAnsi="Arial"/>
                <w:sz w:val="18"/>
                <w:szCs w:val="18"/>
                <w:color w:val="auto"/>
              </w:rPr>
              <w:t>Related Person Transactions and Policies and Procedures Regarding Related Person Transactions</w:t>
            </w:r>
          </w:p>
        </w:tc>
        <w:tc>
          <w:tcPr>
            <w:tcW w:w="15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7"/>
        </w:trPr>
        <w:tc>
          <w:tcPr>
            <w:tcW w:w="9440" w:type="dxa"/>
            <w:vAlign w:val="bottom"/>
          </w:tcPr>
          <w:p>
            <w:pPr>
              <w:ind w:left="300"/>
              <w:spacing w:after="0"/>
              <w:rPr>
                <w:sz w:val="20"/>
                <w:szCs w:val="20"/>
                <w:color w:val="auto"/>
              </w:rPr>
            </w:pPr>
            <w:r>
              <w:rPr>
                <w:rFonts w:ascii="Arial" w:cs="Arial" w:eastAsia="Arial" w:hAnsi="Arial"/>
                <w:sz w:val="18"/>
                <w:szCs w:val="18"/>
                <w:color w:val="auto"/>
              </w:rPr>
              <w:t>Board of Directors Business Ethics Policy Statement</w:t>
            </w:r>
          </w:p>
        </w:tc>
        <w:tc>
          <w:tcPr>
            <w:tcW w:w="15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7"/>
        </w:trPr>
        <w:tc>
          <w:tcPr>
            <w:tcW w:w="9440" w:type="dxa"/>
            <w:vAlign w:val="bottom"/>
          </w:tcPr>
          <w:p>
            <w:pPr>
              <w:ind w:left="300"/>
              <w:spacing w:after="0"/>
              <w:rPr>
                <w:sz w:val="20"/>
                <w:szCs w:val="20"/>
                <w:color w:val="auto"/>
              </w:rPr>
            </w:pPr>
            <w:r>
              <w:rPr>
                <w:rFonts w:ascii="Arial" w:cs="Arial" w:eastAsia="Arial" w:hAnsi="Arial"/>
                <w:sz w:val="18"/>
                <w:szCs w:val="18"/>
                <w:color w:val="auto"/>
              </w:rPr>
              <w:t>Code of Conduct and Code of Ethics for our CEO and Senior Financial Personnel</w:t>
            </w:r>
          </w:p>
        </w:tc>
        <w:tc>
          <w:tcPr>
            <w:tcW w:w="15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7"/>
        </w:trPr>
        <w:tc>
          <w:tcPr>
            <w:tcW w:w="9440" w:type="dxa"/>
            <w:vAlign w:val="bottom"/>
          </w:tcPr>
          <w:p>
            <w:pPr>
              <w:ind w:left="300"/>
              <w:spacing w:after="0"/>
              <w:rPr>
                <w:sz w:val="20"/>
                <w:szCs w:val="20"/>
                <w:color w:val="auto"/>
              </w:rPr>
            </w:pPr>
            <w:r>
              <w:rPr>
                <w:rFonts w:ascii="Arial" w:cs="Arial" w:eastAsia="Arial" w:hAnsi="Arial"/>
                <w:sz w:val="18"/>
                <w:szCs w:val="18"/>
                <w:color w:val="auto"/>
              </w:rPr>
              <w:t>Communications with Directors</w:t>
            </w:r>
          </w:p>
        </w:tc>
        <w:tc>
          <w:tcPr>
            <w:tcW w:w="15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7"/>
        </w:trPr>
        <w:tc>
          <w:tcPr>
            <w:tcW w:w="9440" w:type="dxa"/>
            <w:vAlign w:val="bottom"/>
          </w:tcPr>
          <w:p>
            <w:pPr>
              <w:ind w:left="300"/>
              <w:spacing w:after="0"/>
              <w:rPr>
                <w:sz w:val="20"/>
                <w:szCs w:val="20"/>
                <w:color w:val="auto"/>
              </w:rPr>
            </w:pPr>
            <w:r>
              <w:rPr>
                <w:rFonts w:ascii="Arial" w:cs="Arial" w:eastAsia="Arial" w:hAnsi="Arial"/>
                <w:sz w:val="18"/>
                <w:szCs w:val="18"/>
                <w:color w:val="auto"/>
              </w:rPr>
              <w:t>Complaint Procedures</w:t>
            </w:r>
          </w:p>
        </w:tc>
        <w:tc>
          <w:tcPr>
            <w:tcW w:w="15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80"/>
          </w:cols>
          <w:pgMar w:left="340" w:top="1100"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80"/>
          </w:cols>
          <w:pgMar w:left="340" w:top="1100" w:right="57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3"/>
        </w:trPr>
        <w:tc>
          <w:tcPr>
            <w:tcW w:w="10280" w:type="dxa"/>
            <w:vAlign w:val="bottom"/>
          </w:tcPr>
          <w:p>
            <w:pPr>
              <w:ind w:left="300"/>
              <w:spacing w:after="0"/>
              <w:rPr>
                <w:sz w:val="20"/>
                <w:szCs w:val="20"/>
                <w:color w:val="auto"/>
              </w:rPr>
            </w:pPr>
            <w:r>
              <w:rPr>
                <w:rFonts w:ascii="Arial" w:cs="Arial" w:eastAsia="Arial" w:hAnsi="Arial"/>
                <w:sz w:val="18"/>
                <w:szCs w:val="18"/>
                <w:color w:val="auto"/>
              </w:rPr>
              <w:t>Insider Trading Policy</w:t>
            </w: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1"/>
        </w:trPr>
        <w:tc>
          <w:tcPr>
            <w:tcW w:w="10280" w:type="dxa"/>
            <w:vAlign w:val="bottom"/>
          </w:tcPr>
          <w:p>
            <w:pPr>
              <w:spacing w:after="0"/>
              <w:rPr>
                <w:sz w:val="20"/>
                <w:szCs w:val="20"/>
                <w:color w:val="auto"/>
              </w:rPr>
            </w:pPr>
            <w:r>
              <w:rPr>
                <w:rFonts w:ascii="Arial" w:cs="Arial" w:eastAsia="Arial" w:hAnsi="Arial"/>
                <w:sz w:val="18"/>
                <w:szCs w:val="18"/>
                <w:color w:val="BF2115"/>
              </w:rPr>
              <w:t>PROPOSAL TWO—RATIFICATION OF THE SELECTION OF KPMG LLP AS OUR INDEPENDENT REGISTERED PUBLIC</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0280" w:type="dxa"/>
            <w:vAlign w:val="bottom"/>
          </w:tcPr>
          <w:p>
            <w:pPr>
              <w:ind w:left="220"/>
              <w:spacing w:after="0"/>
              <w:rPr>
                <w:sz w:val="20"/>
                <w:szCs w:val="20"/>
                <w:color w:val="auto"/>
              </w:rPr>
            </w:pPr>
            <w:r>
              <w:rPr>
                <w:rFonts w:ascii="Arial" w:cs="Arial" w:eastAsia="Arial" w:hAnsi="Arial"/>
                <w:sz w:val="18"/>
                <w:szCs w:val="18"/>
                <w:color w:val="BF2115"/>
              </w:rPr>
              <w:t>ACCOUNTING FIRM FOR OUR FISCAL YEAR ENDING OCTOBER 31, 2026</w:t>
            </w: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Annual Evaluation and Selection of Independent Registered Public Accounting Firm</w:t>
            </w: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Audit, Audit-Related, Tax and Other Fees</w:t>
            </w: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Pre-Approval Policies and Procedures</w:t>
            </w: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Board Recommendation</w:t>
            </w: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Audit Committee Report</w:t>
            </w: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34"/>
        </w:trPr>
        <w:tc>
          <w:tcPr>
            <w:tcW w:w="10280" w:type="dxa"/>
            <w:vAlign w:val="bottom"/>
          </w:tcPr>
          <w:p>
            <w:pPr>
              <w:spacing w:after="0"/>
              <w:rPr>
                <w:sz w:val="20"/>
                <w:szCs w:val="20"/>
                <w:color w:val="auto"/>
              </w:rPr>
            </w:pPr>
            <w:r>
              <w:rPr>
                <w:rFonts w:ascii="Arial" w:cs="Arial" w:eastAsia="Arial" w:hAnsi="Arial"/>
                <w:sz w:val="18"/>
                <w:szCs w:val="18"/>
                <w:color w:val="BF2115"/>
              </w:rPr>
              <w:t>PROPOSAL THREE—APPROVAL OF, ON AN ADVISORY BASIS, OUR EXECUTIVE COMPENSATION</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Background</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Our Pay Philosophy</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Best Practices</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Proposed Resolution</w:t>
            </w: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Next Say-on-Pay Vote</w:t>
            </w: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Board Recommendation</w:t>
            </w: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34"/>
        </w:trPr>
        <w:tc>
          <w:tcPr>
            <w:tcW w:w="10280" w:type="dxa"/>
            <w:vAlign w:val="bottom"/>
          </w:tcPr>
          <w:p>
            <w:pPr>
              <w:spacing w:after="0"/>
              <w:rPr>
                <w:sz w:val="20"/>
                <w:szCs w:val="20"/>
                <w:color w:val="auto"/>
              </w:rPr>
            </w:pPr>
            <w:r>
              <w:rPr>
                <w:rFonts w:ascii="Arial" w:cs="Arial" w:eastAsia="Arial" w:hAnsi="Arial"/>
                <w:sz w:val="18"/>
                <w:szCs w:val="18"/>
                <w:color w:val="BF2115"/>
              </w:rPr>
              <w:t>COMPENSATION DISCUSSION AND ANALYSIS</w:t>
            </w: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60"/>
        </w:trPr>
        <w:tc>
          <w:tcPr>
            <w:tcW w:w="10280" w:type="dxa"/>
            <w:vAlign w:val="bottom"/>
          </w:tcPr>
          <w:p>
            <w:pPr>
              <w:ind w:left="300"/>
              <w:spacing w:after="0"/>
              <w:rPr>
                <w:sz w:val="20"/>
                <w:szCs w:val="20"/>
                <w:color w:val="auto"/>
              </w:rPr>
            </w:pPr>
            <w:r>
              <w:rPr>
                <w:rFonts w:ascii="Arial" w:cs="Arial" w:eastAsia="Arial" w:hAnsi="Arial"/>
                <w:sz w:val="18"/>
                <w:szCs w:val="18"/>
                <w:color w:val="auto"/>
              </w:rPr>
              <w:t>Executive Summary: Fiscal 2025 Incentive Compensation Changes</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20"/>
        </w:trPr>
        <w:tc>
          <w:tcPr>
            <w:tcW w:w="10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0"/>
        </w:trPr>
        <w:tc>
          <w:tcPr>
            <w:tcW w:w="10280" w:type="dxa"/>
            <w:vAlign w:val="bottom"/>
          </w:tcPr>
          <w:p>
            <w:pPr>
              <w:ind w:left="300"/>
              <w:spacing w:after="0"/>
              <w:rPr>
                <w:sz w:val="20"/>
                <w:szCs w:val="20"/>
                <w:color w:val="auto"/>
              </w:rPr>
            </w:pPr>
            <w:r>
              <w:rPr>
                <w:rFonts w:ascii="Arial" w:cs="Arial" w:eastAsia="Arial" w:hAnsi="Arial"/>
                <w:sz w:val="18"/>
                <w:szCs w:val="18"/>
                <w:color w:val="auto"/>
              </w:rPr>
              <w:t>Executive Summary: Fiscal 2025 Compensation Actions and Incentive Compensation Outcomes</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20"/>
        </w:trPr>
        <w:tc>
          <w:tcPr>
            <w:tcW w:w="10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Compensation Philosophy</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Compensation Highlights and Best Practices</w:t>
            </w: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Pay for Performance and Pay Mix</w:t>
            </w: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Elements of Our Executive Compensation Program</w:t>
            </w: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Employment, Severance and Change in Control Arrangements</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Stock Ownership Guidelines</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Anti-Hedging and Anti-Pledging</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Tax Considerations</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Risk Assessment</w:t>
            </w: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Clawback Policy and Provisions</w:t>
            </w: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Competitive Considerations and Use of Market Data</w:t>
            </w: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How We Make Compensation Decisions</w:t>
            </w: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Compensation &amp; Human Resources Committee Report</w:t>
            </w: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34"/>
        </w:trPr>
        <w:tc>
          <w:tcPr>
            <w:tcW w:w="10280" w:type="dxa"/>
            <w:vAlign w:val="bottom"/>
          </w:tcPr>
          <w:p>
            <w:pPr>
              <w:spacing w:after="0"/>
              <w:rPr>
                <w:sz w:val="20"/>
                <w:szCs w:val="20"/>
                <w:color w:val="auto"/>
              </w:rPr>
            </w:pPr>
            <w:r>
              <w:rPr>
                <w:rFonts w:ascii="Arial" w:cs="Arial" w:eastAsia="Arial" w:hAnsi="Arial"/>
                <w:sz w:val="18"/>
                <w:szCs w:val="18"/>
                <w:color w:val="C00000"/>
              </w:rPr>
              <w:t>EXECUTIVE COMPENSATION</w:t>
            </w: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34"/>
        </w:trPr>
        <w:tc>
          <w:tcPr>
            <w:tcW w:w="10280" w:type="dxa"/>
            <w:vAlign w:val="bottom"/>
          </w:tcPr>
          <w:p>
            <w:pPr>
              <w:ind w:left="280"/>
              <w:spacing w:after="0"/>
              <w:rPr>
                <w:sz w:val="20"/>
                <w:szCs w:val="20"/>
                <w:color w:val="auto"/>
              </w:rPr>
            </w:pPr>
            <w:r>
              <w:rPr>
                <w:rFonts w:ascii="Arial" w:cs="Arial" w:eastAsia="Arial" w:hAnsi="Arial"/>
                <w:sz w:val="18"/>
                <w:szCs w:val="18"/>
                <w:color w:val="auto"/>
              </w:rPr>
              <w:t>Summary Compensation Table</w:t>
            </w: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34"/>
        </w:trPr>
        <w:tc>
          <w:tcPr>
            <w:tcW w:w="10280" w:type="dxa"/>
            <w:vAlign w:val="bottom"/>
          </w:tcPr>
          <w:p>
            <w:pPr>
              <w:ind w:left="280"/>
              <w:spacing w:after="0"/>
              <w:rPr>
                <w:sz w:val="20"/>
                <w:szCs w:val="20"/>
                <w:color w:val="auto"/>
              </w:rPr>
            </w:pPr>
            <w:r>
              <w:rPr>
                <w:rFonts w:ascii="Arial" w:cs="Arial" w:eastAsia="Arial" w:hAnsi="Arial"/>
                <w:sz w:val="18"/>
                <w:szCs w:val="18"/>
                <w:color w:val="auto"/>
              </w:rPr>
              <w:t>All Other Compensation for Fiscal 2025</w:t>
            </w: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34"/>
        </w:trPr>
        <w:tc>
          <w:tcPr>
            <w:tcW w:w="10280" w:type="dxa"/>
            <w:vAlign w:val="bottom"/>
          </w:tcPr>
          <w:p>
            <w:pPr>
              <w:ind w:left="280"/>
              <w:spacing w:after="0"/>
              <w:rPr>
                <w:sz w:val="20"/>
                <w:szCs w:val="20"/>
                <w:color w:val="auto"/>
              </w:rPr>
            </w:pPr>
            <w:r>
              <w:rPr>
                <w:rFonts w:ascii="Arial" w:cs="Arial" w:eastAsia="Arial" w:hAnsi="Arial"/>
                <w:sz w:val="18"/>
                <w:szCs w:val="18"/>
                <w:color w:val="auto"/>
              </w:rPr>
              <w:t>Grants of Plan-Based Awards for Fiscal 2025</w:t>
            </w: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1"/>
        </w:trPr>
        <w:tc>
          <w:tcPr>
            <w:tcW w:w="10280" w:type="dxa"/>
            <w:vAlign w:val="bottom"/>
          </w:tcPr>
          <w:p>
            <w:pPr>
              <w:ind w:left="320"/>
              <w:spacing w:after="0"/>
              <w:rPr>
                <w:sz w:val="20"/>
                <w:szCs w:val="20"/>
                <w:color w:val="auto"/>
              </w:rPr>
            </w:pPr>
            <w:r>
              <w:rPr>
                <w:rFonts w:ascii="Arial" w:cs="Arial" w:eastAsia="Arial" w:hAnsi="Arial"/>
                <w:sz w:val="18"/>
                <w:szCs w:val="18"/>
                <w:color w:val="auto"/>
              </w:rPr>
              <w:t>Policies and Practices Related to the Grant of Certain Equity Awards Close in Time to the Release of Material Nonpublic</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0280" w:type="dxa"/>
            <w:vAlign w:val="bottom"/>
          </w:tcPr>
          <w:p>
            <w:pPr>
              <w:ind w:left="480"/>
              <w:spacing w:after="0"/>
              <w:rPr>
                <w:sz w:val="20"/>
                <w:szCs w:val="20"/>
                <w:color w:val="auto"/>
              </w:rPr>
            </w:pPr>
            <w:r>
              <w:rPr>
                <w:rFonts w:ascii="Arial" w:cs="Arial" w:eastAsia="Arial" w:hAnsi="Arial"/>
                <w:sz w:val="18"/>
                <w:szCs w:val="18"/>
                <w:color w:val="auto"/>
              </w:rPr>
              <w:t>Information</w:t>
            </w: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4"/>
        </w:trPr>
        <w:tc>
          <w:tcPr>
            <w:tcW w:w="10280" w:type="dxa"/>
            <w:vAlign w:val="bottom"/>
          </w:tcPr>
          <w:p>
            <w:pPr>
              <w:ind w:left="280"/>
              <w:spacing w:after="0"/>
              <w:rPr>
                <w:sz w:val="20"/>
                <w:szCs w:val="20"/>
                <w:color w:val="auto"/>
              </w:rPr>
            </w:pPr>
            <w:r>
              <w:rPr>
                <w:rFonts w:ascii="Arial" w:cs="Arial" w:eastAsia="Arial" w:hAnsi="Arial"/>
                <w:sz w:val="18"/>
                <w:szCs w:val="18"/>
                <w:color w:val="auto"/>
              </w:rPr>
              <w:t>Outstanding Equity Awards at Fiscal Year-End for 2025</w:t>
            </w: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34"/>
        </w:trPr>
        <w:tc>
          <w:tcPr>
            <w:tcW w:w="10280" w:type="dxa"/>
            <w:vAlign w:val="bottom"/>
          </w:tcPr>
          <w:p>
            <w:pPr>
              <w:ind w:left="280"/>
              <w:spacing w:after="0"/>
              <w:rPr>
                <w:sz w:val="20"/>
                <w:szCs w:val="20"/>
                <w:color w:val="auto"/>
              </w:rPr>
            </w:pPr>
            <w:r>
              <w:rPr>
                <w:rFonts w:ascii="Arial" w:cs="Arial" w:eastAsia="Arial" w:hAnsi="Arial"/>
                <w:sz w:val="18"/>
                <w:szCs w:val="18"/>
                <w:color w:val="auto"/>
              </w:rPr>
              <w:t>Option Exercises and Stock Vested for Fiscal 2025</w:t>
            </w: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34"/>
        </w:trPr>
        <w:tc>
          <w:tcPr>
            <w:tcW w:w="10280" w:type="dxa"/>
            <w:vAlign w:val="bottom"/>
          </w:tcPr>
          <w:p>
            <w:pPr>
              <w:ind w:left="280"/>
              <w:spacing w:after="0"/>
              <w:rPr>
                <w:sz w:val="20"/>
                <w:szCs w:val="20"/>
                <w:color w:val="auto"/>
              </w:rPr>
            </w:pPr>
            <w:r>
              <w:rPr>
                <w:rFonts w:ascii="Arial" w:cs="Arial" w:eastAsia="Arial" w:hAnsi="Arial"/>
                <w:sz w:val="18"/>
                <w:szCs w:val="18"/>
                <w:color w:val="auto"/>
              </w:rPr>
              <w:t>Nonqualified Deferred Compensation for Fiscal 2025</w:t>
            </w: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54"/>
        </w:trPr>
        <w:tc>
          <w:tcPr>
            <w:tcW w:w="10280" w:type="dxa"/>
            <w:vAlign w:val="bottom"/>
          </w:tcPr>
          <w:p>
            <w:pPr>
              <w:ind w:left="280"/>
              <w:spacing w:after="0"/>
              <w:rPr>
                <w:sz w:val="20"/>
                <w:szCs w:val="20"/>
                <w:color w:val="auto"/>
              </w:rPr>
            </w:pPr>
            <w:r>
              <w:rPr>
                <w:rFonts w:ascii="Arial" w:cs="Arial" w:eastAsia="Arial" w:hAnsi="Arial"/>
                <w:sz w:val="18"/>
                <w:szCs w:val="18"/>
                <w:color w:val="auto"/>
              </w:rPr>
              <w:t>Pay Versus Performance (PvP)</w:t>
            </w:r>
          </w:p>
        </w:tc>
        <w:tc>
          <w:tcPr>
            <w:tcW w:w="7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34"/>
        </w:trPr>
        <w:tc>
          <w:tcPr>
            <w:tcW w:w="10280" w:type="dxa"/>
            <w:vAlign w:val="bottom"/>
          </w:tcPr>
          <w:p>
            <w:pPr>
              <w:ind w:left="280"/>
              <w:spacing w:after="0"/>
              <w:rPr>
                <w:sz w:val="20"/>
                <w:szCs w:val="20"/>
                <w:color w:val="auto"/>
              </w:rPr>
            </w:pPr>
            <w:r>
              <w:rPr>
                <w:rFonts w:ascii="Arial" w:cs="Arial" w:eastAsia="Arial" w:hAnsi="Arial"/>
                <w:sz w:val="18"/>
                <w:szCs w:val="18"/>
                <w:color w:val="auto"/>
              </w:rPr>
              <w:t>Potential Payments Upon Termination or Change in Control</w:t>
            </w: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34"/>
        </w:trPr>
        <w:tc>
          <w:tcPr>
            <w:tcW w:w="10280" w:type="dxa"/>
            <w:vAlign w:val="bottom"/>
          </w:tcPr>
          <w:p>
            <w:pPr>
              <w:ind w:left="280"/>
              <w:spacing w:after="0"/>
              <w:rPr>
                <w:sz w:val="20"/>
                <w:szCs w:val="20"/>
                <w:color w:val="auto"/>
              </w:rPr>
            </w:pPr>
            <w:r>
              <w:rPr>
                <w:rFonts w:ascii="Arial" w:cs="Arial" w:eastAsia="Arial" w:hAnsi="Arial"/>
                <w:sz w:val="18"/>
                <w:szCs w:val="18"/>
                <w:color w:val="auto"/>
              </w:rPr>
              <w:t>Pay Ratio Disclosure</w:t>
            </w:r>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80"/>
          </w:cols>
          <w:pgMar w:left="340" w:top="1163" w:right="579" w:bottom="3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79375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80"/>
          </w:cols>
          <w:pgMar w:left="340" w:top="1163" w:right="579" w:bottom="335"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46"/>
        </w:trPr>
        <w:tc>
          <w:tcPr>
            <w:tcW w:w="10300" w:type="dxa"/>
            <w:vAlign w:val="bottom"/>
          </w:tcPr>
          <w:p>
            <w:pPr>
              <w:ind w:left="280"/>
              <w:spacing w:after="0"/>
              <w:rPr>
                <w:sz w:val="20"/>
                <w:szCs w:val="20"/>
                <w:color w:val="auto"/>
              </w:rPr>
            </w:pPr>
            <w:r>
              <w:rPr>
                <w:rFonts w:ascii="Arial" w:cs="Arial" w:eastAsia="Arial" w:hAnsi="Arial"/>
                <w:sz w:val="18"/>
                <w:szCs w:val="18"/>
                <w:color w:val="auto"/>
              </w:rPr>
              <w:t>Compensation &amp; Human Resources Committee Interlocks and Insider Participation</w:t>
            </w:r>
          </w:p>
        </w:tc>
        <w:tc>
          <w:tcPr>
            <w:tcW w:w="6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34"/>
        </w:trPr>
        <w:tc>
          <w:tcPr>
            <w:tcW w:w="10300" w:type="dxa"/>
            <w:vAlign w:val="bottom"/>
          </w:tcPr>
          <w:p>
            <w:pPr>
              <w:spacing w:after="0"/>
              <w:rPr>
                <w:sz w:val="20"/>
                <w:szCs w:val="20"/>
                <w:color w:val="auto"/>
              </w:rPr>
            </w:pPr>
            <w:r>
              <w:rPr>
                <w:rFonts w:ascii="Arial" w:cs="Arial" w:eastAsia="Arial" w:hAnsi="Arial"/>
                <w:sz w:val="18"/>
                <w:szCs w:val="18"/>
                <w:color w:val="BF2115"/>
              </w:rPr>
              <w:t>PROPOSAL FOUR—APPROVAL OF THE TORO COMPANY 2026 EQUITY PLAN</w:t>
            </w:r>
          </w:p>
        </w:tc>
        <w:tc>
          <w:tcPr>
            <w:tcW w:w="6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14"/>
        </w:trPr>
        <w:tc>
          <w:tcPr>
            <w:tcW w:w="10300" w:type="dxa"/>
            <w:vAlign w:val="bottom"/>
          </w:tcPr>
          <w:p>
            <w:pPr>
              <w:ind w:left="320"/>
              <w:spacing w:after="0"/>
              <w:rPr>
                <w:sz w:val="20"/>
                <w:szCs w:val="20"/>
                <w:color w:val="auto"/>
              </w:rPr>
            </w:pPr>
            <w:r>
              <w:rPr>
                <w:rFonts w:ascii="Arial" w:cs="Arial" w:eastAsia="Arial" w:hAnsi="Arial"/>
                <w:sz w:val="18"/>
                <w:szCs w:val="18"/>
                <w:color w:val="auto"/>
              </w:rPr>
              <w:t>Proposed 2026 Equity and Incentive Plan</w:t>
            </w:r>
          </w:p>
        </w:tc>
        <w:tc>
          <w:tcPr>
            <w:tcW w:w="6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54"/>
        </w:trPr>
        <w:tc>
          <w:tcPr>
            <w:tcW w:w="10300" w:type="dxa"/>
            <w:vAlign w:val="bottom"/>
          </w:tcPr>
          <w:p>
            <w:pPr>
              <w:ind w:left="260"/>
              <w:spacing w:after="0"/>
              <w:rPr>
                <w:sz w:val="20"/>
                <w:szCs w:val="20"/>
                <w:color w:val="auto"/>
              </w:rPr>
            </w:pPr>
            <w:r>
              <w:rPr>
                <w:rFonts w:ascii="Arial" w:cs="Arial" w:eastAsia="Arial" w:hAnsi="Arial"/>
                <w:sz w:val="18"/>
                <w:szCs w:val="18"/>
                <w:color w:val="auto"/>
              </w:rPr>
              <w:t>Reasons Why You Should Vote to Approve the 2026 Plan</w:t>
            </w:r>
          </w:p>
        </w:tc>
        <w:tc>
          <w:tcPr>
            <w:tcW w:w="6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54"/>
        </w:trPr>
        <w:tc>
          <w:tcPr>
            <w:tcW w:w="10300" w:type="dxa"/>
            <w:vAlign w:val="bottom"/>
          </w:tcPr>
          <w:p>
            <w:pPr>
              <w:ind w:left="260"/>
              <w:spacing w:after="0"/>
              <w:rPr>
                <w:sz w:val="20"/>
                <w:szCs w:val="20"/>
                <w:color w:val="auto"/>
              </w:rPr>
            </w:pPr>
            <w:r>
              <w:rPr>
                <w:rFonts w:ascii="Arial" w:cs="Arial" w:eastAsia="Arial" w:hAnsi="Arial"/>
                <w:sz w:val="18"/>
                <w:szCs w:val="18"/>
                <w:color w:val="auto"/>
              </w:rPr>
              <w:t>Summary of Sound Governance Features of the 2026 Plan</w:t>
            </w:r>
          </w:p>
        </w:tc>
        <w:tc>
          <w:tcPr>
            <w:tcW w:w="6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54"/>
        </w:trPr>
        <w:tc>
          <w:tcPr>
            <w:tcW w:w="10300" w:type="dxa"/>
            <w:vAlign w:val="bottom"/>
          </w:tcPr>
          <w:p>
            <w:pPr>
              <w:ind w:left="260"/>
              <w:spacing w:after="0"/>
              <w:rPr>
                <w:sz w:val="20"/>
                <w:szCs w:val="20"/>
                <w:color w:val="auto"/>
              </w:rPr>
            </w:pPr>
            <w:r>
              <w:rPr>
                <w:rFonts w:ascii="Arial" w:cs="Arial" w:eastAsia="Arial" w:hAnsi="Arial"/>
                <w:sz w:val="18"/>
                <w:szCs w:val="18"/>
                <w:color w:val="auto"/>
              </w:rPr>
              <w:t>Background for Shares Authorized for Issuance Under the 2026 Plan</w:t>
            </w:r>
          </w:p>
        </w:tc>
        <w:tc>
          <w:tcPr>
            <w:tcW w:w="6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54"/>
        </w:trPr>
        <w:tc>
          <w:tcPr>
            <w:tcW w:w="10300" w:type="dxa"/>
            <w:vAlign w:val="bottom"/>
          </w:tcPr>
          <w:p>
            <w:pPr>
              <w:ind w:left="260"/>
              <w:spacing w:after="0"/>
              <w:rPr>
                <w:sz w:val="20"/>
                <w:szCs w:val="20"/>
                <w:color w:val="auto"/>
              </w:rPr>
            </w:pPr>
            <w:r>
              <w:rPr>
                <w:rFonts w:ascii="Arial" w:cs="Arial" w:eastAsia="Arial" w:hAnsi="Arial"/>
                <w:sz w:val="18"/>
                <w:szCs w:val="18"/>
                <w:color w:val="auto"/>
              </w:rPr>
              <w:t>Summary of the 2026 Plan Features</w:t>
            </w: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54"/>
        </w:trPr>
        <w:tc>
          <w:tcPr>
            <w:tcW w:w="10300" w:type="dxa"/>
            <w:vAlign w:val="bottom"/>
          </w:tcPr>
          <w:p>
            <w:pPr>
              <w:ind w:left="260"/>
              <w:spacing w:after="0"/>
              <w:rPr>
                <w:sz w:val="20"/>
                <w:szCs w:val="20"/>
                <w:color w:val="auto"/>
              </w:rPr>
            </w:pPr>
            <w:r>
              <w:rPr>
                <w:rFonts w:ascii="Arial" w:cs="Arial" w:eastAsia="Arial" w:hAnsi="Arial"/>
                <w:sz w:val="18"/>
                <w:szCs w:val="18"/>
                <w:color w:val="auto"/>
              </w:rPr>
              <w:t>U.S. Federal Income Tax Information</w:t>
            </w:r>
          </w:p>
        </w:tc>
        <w:tc>
          <w:tcPr>
            <w:tcW w:w="6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54"/>
        </w:trPr>
        <w:tc>
          <w:tcPr>
            <w:tcW w:w="10300" w:type="dxa"/>
            <w:vAlign w:val="bottom"/>
          </w:tcPr>
          <w:p>
            <w:pPr>
              <w:ind w:left="260"/>
              <w:spacing w:after="0"/>
              <w:rPr>
                <w:sz w:val="20"/>
                <w:szCs w:val="20"/>
                <w:color w:val="auto"/>
              </w:rPr>
            </w:pPr>
            <w:r>
              <w:rPr>
                <w:rFonts w:ascii="Arial" w:cs="Arial" w:eastAsia="Arial" w:hAnsi="Arial"/>
                <w:sz w:val="18"/>
                <w:szCs w:val="18"/>
                <w:color w:val="auto"/>
              </w:rPr>
              <w:t>New Plan Benefits</w:t>
            </w:r>
          </w:p>
        </w:tc>
        <w:tc>
          <w:tcPr>
            <w:tcW w:w="6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54"/>
        </w:trPr>
        <w:tc>
          <w:tcPr>
            <w:tcW w:w="10300" w:type="dxa"/>
            <w:vAlign w:val="bottom"/>
          </w:tcPr>
          <w:p>
            <w:pPr>
              <w:ind w:left="260"/>
              <w:spacing w:after="0"/>
              <w:rPr>
                <w:sz w:val="20"/>
                <w:szCs w:val="20"/>
                <w:color w:val="auto"/>
              </w:rPr>
            </w:pPr>
            <w:r>
              <w:rPr>
                <w:rFonts w:ascii="Arial" w:cs="Arial" w:eastAsia="Arial" w:hAnsi="Arial"/>
                <w:sz w:val="18"/>
                <w:szCs w:val="18"/>
                <w:color w:val="auto"/>
              </w:rPr>
              <w:t>Board Recommendation</w:t>
            </w:r>
          </w:p>
        </w:tc>
        <w:tc>
          <w:tcPr>
            <w:tcW w:w="6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1"/>
        </w:trPr>
        <w:tc>
          <w:tcPr>
            <w:tcW w:w="10300" w:type="dxa"/>
            <w:vAlign w:val="bottom"/>
          </w:tcPr>
          <w:p>
            <w:pPr>
              <w:spacing w:after="0"/>
              <w:rPr>
                <w:sz w:val="20"/>
                <w:szCs w:val="20"/>
                <w:color w:val="auto"/>
              </w:rPr>
            </w:pPr>
            <w:r>
              <w:rPr>
                <w:rFonts w:ascii="Arial" w:cs="Arial" w:eastAsia="Arial" w:hAnsi="Arial"/>
                <w:sz w:val="18"/>
                <w:szCs w:val="18"/>
                <w:color w:val="BF2115"/>
              </w:rPr>
              <w:t>PROPOSAL FIVE—APPROVAL OF AMENDMENT TO COMPANY'S RESTATED CERTIFICATE OF INCORPORATION TO</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0300" w:type="dxa"/>
            <w:vAlign w:val="bottom"/>
          </w:tcPr>
          <w:p>
            <w:pPr>
              <w:ind w:left="220"/>
              <w:spacing w:after="0"/>
              <w:rPr>
                <w:sz w:val="20"/>
                <w:szCs w:val="20"/>
                <w:color w:val="auto"/>
              </w:rPr>
            </w:pPr>
            <w:r>
              <w:rPr>
                <w:rFonts w:ascii="Arial" w:cs="Arial" w:eastAsia="Arial" w:hAnsi="Arial"/>
                <w:sz w:val="18"/>
                <w:szCs w:val="18"/>
                <w:color w:val="BF2115"/>
              </w:rPr>
              <w:t>ELIMINATE OR LIMIT LIABILITY OF OFFICERS AS PROVIDED UNDER DELAWARE LAW</w:t>
            </w:r>
          </w:p>
        </w:tc>
        <w:tc>
          <w:tcPr>
            <w:tcW w:w="6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54"/>
        </w:trPr>
        <w:tc>
          <w:tcPr>
            <w:tcW w:w="10300" w:type="dxa"/>
            <w:vAlign w:val="bottom"/>
          </w:tcPr>
          <w:p>
            <w:pPr>
              <w:ind w:left="300"/>
              <w:spacing w:after="0"/>
              <w:rPr>
                <w:sz w:val="20"/>
                <w:szCs w:val="20"/>
                <w:color w:val="auto"/>
              </w:rPr>
            </w:pPr>
            <w:r>
              <w:rPr>
                <w:rFonts w:ascii="Arial" w:cs="Arial" w:eastAsia="Arial" w:hAnsi="Arial"/>
                <w:sz w:val="18"/>
                <w:szCs w:val="18"/>
                <w:color w:val="auto"/>
              </w:rPr>
              <w:t>Overview of Proposed Exculpation Charter Amendment</w:t>
            </w:r>
          </w:p>
        </w:tc>
        <w:tc>
          <w:tcPr>
            <w:tcW w:w="6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54"/>
        </w:trPr>
        <w:tc>
          <w:tcPr>
            <w:tcW w:w="10300" w:type="dxa"/>
            <w:vAlign w:val="bottom"/>
          </w:tcPr>
          <w:p>
            <w:pPr>
              <w:ind w:left="300"/>
              <w:spacing w:after="0"/>
              <w:rPr>
                <w:sz w:val="20"/>
                <w:szCs w:val="20"/>
                <w:color w:val="auto"/>
              </w:rPr>
            </w:pPr>
            <w:r>
              <w:rPr>
                <w:rFonts w:ascii="Arial" w:cs="Arial" w:eastAsia="Arial" w:hAnsi="Arial"/>
                <w:sz w:val="18"/>
                <w:szCs w:val="18"/>
                <w:color w:val="auto"/>
              </w:rPr>
              <w:t>Background of Proposed Exculpation Charter Amendment</w:t>
            </w:r>
          </w:p>
        </w:tc>
        <w:tc>
          <w:tcPr>
            <w:tcW w:w="6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54"/>
        </w:trPr>
        <w:tc>
          <w:tcPr>
            <w:tcW w:w="10300" w:type="dxa"/>
            <w:vAlign w:val="bottom"/>
          </w:tcPr>
          <w:p>
            <w:pPr>
              <w:ind w:left="300"/>
              <w:spacing w:after="0"/>
              <w:rPr>
                <w:sz w:val="20"/>
                <w:szCs w:val="20"/>
                <w:color w:val="auto"/>
              </w:rPr>
            </w:pPr>
            <w:r>
              <w:rPr>
                <w:rFonts w:ascii="Arial" w:cs="Arial" w:eastAsia="Arial" w:hAnsi="Arial"/>
                <w:sz w:val="18"/>
                <w:szCs w:val="18"/>
                <w:color w:val="auto"/>
              </w:rPr>
              <w:t>Reasons for Proposed Exculpation Charter Amendment</w:t>
            </w:r>
          </w:p>
        </w:tc>
        <w:tc>
          <w:tcPr>
            <w:tcW w:w="6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54"/>
        </w:trPr>
        <w:tc>
          <w:tcPr>
            <w:tcW w:w="10300" w:type="dxa"/>
            <w:vAlign w:val="bottom"/>
          </w:tcPr>
          <w:p>
            <w:pPr>
              <w:ind w:left="300"/>
              <w:spacing w:after="0"/>
              <w:rPr>
                <w:sz w:val="20"/>
                <w:szCs w:val="20"/>
                <w:color w:val="auto"/>
              </w:rPr>
            </w:pPr>
            <w:r>
              <w:rPr>
                <w:rFonts w:ascii="Arial" w:cs="Arial" w:eastAsia="Arial" w:hAnsi="Arial"/>
                <w:sz w:val="18"/>
                <w:szCs w:val="18"/>
                <w:color w:val="auto"/>
              </w:rPr>
              <w:t>Board Recommendation</w:t>
            </w: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1"/>
        </w:trPr>
        <w:tc>
          <w:tcPr>
            <w:tcW w:w="10300" w:type="dxa"/>
            <w:vAlign w:val="bottom"/>
          </w:tcPr>
          <w:p>
            <w:pPr>
              <w:spacing w:after="0"/>
              <w:rPr>
                <w:sz w:val="20"/>
                <w:szCs w:val="20"/>
                <w:color w:val="auto"/>
              </w:rPr>
            </w:pPr>
            <w:r>
              <w:rPr>
                <w:rFonts w:ascii="Arial" w:cs="Arial" w:eastAsia="Arial" w:hAnsi="Arial"/>
                <w:sz w:val="18"/>
                <w:szCs w:val="18"/>
                <w:color w:val="BF2115"/>
              </w:rPr>
              <w:t>PROPOSAL SIX—APPROVAL OF AMENDMENT TO COMPANY'S RESTATED CERTIFICATE OF INCORPORATION TO</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0300" w:type="dxa"/>
            <w:vAlign w:val="bottom"/>
          </w:tcPr>
          <w:p>
            <w:pPr>
              <w:ind w:left="220"/>
              <w:spacing w:after="0"/>
              <w:rPr>
                <w:sz w:val="20"/>
                <w:szCs w:val="20"/>
                <w:color w:val="auto"/>
              </w:rPr>
            </w:pPr>
            <w:r>
              <w:rPr>
                <w:rFonts w:ascii="Arial" w:cs="Arial" w:eastAsia="Arial" w:hAnsi="Arial"/>
                <w:sz w:val="18"/>
                <w:szCs w:val="18"/>
                <w:color w:val="BF2115"/>
              </w:rPr>
              <w:t>CHANGE PAR VALUE OF ALL CAPITAL STOCK FROM $1.00 to $0.01 PER SHARE</w:t>
            </w:r>
          </w:p>
        </w:tc>
        <w:tc>
          <w:tcPr>
            <w:tcW w:w="6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54"/>
        </w:trPr>
        <w:tc>
          <w:tcPr>
            <w:tcW w:w="10300" w:type="dxa"/>
            <w:vAlign w:val="bottom"/>
          </w:tcPr>
          <w:p>
            <w:pPr>
              <w:ind w:left="260"/>
              <w:spacing w:after="0"/>
              <w:rPr>
                <w:sz w:val="20"/>
                <w:szCs w:val="20"/>
                <w:color w:val="auto"/>
              </w:rPr>
            </w:pPr>
            <w:r>
              <w:rPr>
                <w:rFonts w:ascii="Arial" w:cs="Arial" w:eastAsia="Arial" w:hAnsi="Arial"/>
                <w:sz w:val="18"/>
                <w:szCs w:val="18"/>
                <w:color w:val="auto"/>
              </w:rPr>
              <w:t>Overview of Proposed Par Value Amendment</w:t>
            </w:r>
          </w:p>
        </w:tc>
        <w:tc>
          <w:tcPr>
            <w:tcW w:w="6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54"/>
        </w:trPr>
        <w:tc>
          <w:tcPr>
            <w:tcW w:w="10300" w:type="dxa"/>
            <w:vAlign w:val="bottom"/>
          </w:tcPr>
          <w:p>
            <w:pPr>
              <w:ind w:left="260"/>
              <w:spacing w:after="0"/>
              <w:rPr>
                <w:sz w:val="20"/>
                <w:szCs w:val="20"/>
                <w:color w:val="auto"/>
              </w:rPr>
            </w:pPr>
            <w:r>
              <w:rPr>
                <w:rFonts w:ascii="Arial" w:cs="Arial" w:eastAsia="Arial" w:hAnsi="Arial"/>
                <w:sz w:val="18"/>
                <w:szCs w:val="18"/>
                <w:color w:val="auto"/>
              </w:rPr>
              <w:t>Reasons for Proposed Par Value Amendment</w:t>
            </w:r>
          </w:p>
        </w:tc>
        <w:tc>
          <w:tcPr>
            <w:tcW w:w="6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54"/>
        </w:trPr>
        <w:tc>
          <w:tcPr>
            <w:tcW w:w="10300" w:type="dxa"/>
            <w:vAlign w:val="bottom"/>
          </w:tcPr>
          <w:p>
            <w:pPr>
              <w:ind w:left="260"/>
              <w:spacing w:after="0"/>
              <w:rPr>
                <w:sz w:val="20"/>
                <w:szCs w:val="20"/>
                <w:color w:val="auto"/>
              </w:rPr>
            </w:pPr>
            <w:r>
              <w:rPr>
                <w:rFonts w:ascii="Arial" w:cs="Arial" w:eastAsia="Arial" w:hAnsi="Arial"/>
                <w:sz w:val="18"/>
                <w:szCs w:val="18"/>
                <w:color w:val="auto"/>
              </w:rPr>
              <w:t>Effect of Proposed Par Value Amendment</w:t>
            </w:r>
          </w:p>
        </w:tc>
        <w:tc>
          <w:tcPr>
            <w:tcW w:w="6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54"/>
        </w:trPr>
        <w:tc>
          <w:tcPr>
            <w:tcW w:w="10300" w:type="dxa"/>
            <w:vAlign w:val="bottom"/>
          </w:tcPr>
          <w:p>
            <w:pPr>
              <w:ind w:left="240"/>
              <w:spacing w:after="0"/>
              <w:rPr>
                <w:sz w:val="20"/>
                <w:szCs w:val="20"/>
                <w:color w:val="auto"/>
              </w:rPr>
            </w:pPr>
            <w:r>
              <w:rPr>
                <w:rFonts w:ascii="Arial" w:cs="Arial" w:eastAsia="Arial" w:hAnsi="Arial"/>
                <w:sz w:val="18"/>
                <w:szCs w:val="18"/>
                <w:color w:val="auto"/>
              </w:rPr>
              <w:t>Timing and Effect of Proposed Par Value Amendment</w:t>
            </w:r>
          </w:p>
        </w:tc>
        <w:tc>
          <w:tcPr>
            <w:tcW w:w="6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54"/>
        </w:trPr>
        <w:tc>
          <w:tcPr>
            <w:tcW w:w="10300" w:type="dxa"/>
            <w:vAlign w:val="bottom"/>
          </w:tcPr>
          <w:p>
            <w:pPr>
              <w:ind w:left="260"/>
              <w:spacing w:after="0"/>
              <w:rPr>
                <w:sz w:val="20"/>
                <w:szCs w:val="20"/>
                <w:color w:val="auto"/>
              </w:rPr>
            </w:pPr>
            <w:r>
              <w:rPr>
                <w:rFonts w:ascii="Arial" w:cs="Arial" w:eastAsia="Arial" w:hAnsi="Arial"/>
                <w:sz w:val="18"/>
                <w:szCs w:val="18"/>
                <w:color w:val="auto"/>
              </w:rPr>
              <w:t>Board Recommendation</w:t>
            </w:r>
          </w:p>
        </w:tc>
        <w:tc>
          <w:tcPr>
            <w:tcW w:w="6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34"/>
        </w:trPr>
        <w:tc>
          <w:tcPr>
            <w:tcW w:w="10300" w:type="dxa"/>
            <w:vAlign w:val="bottom"/>
          </w:tcPr>
          <w:p>
            <w:pPr>
              <w:spacing w:after="0"/>
              <w:rPr>
                <w:sz w:val="20"/>
                <w:szCs w:val="20"/>
                <w:color w:val="auto"/>
              </w:rPr>
            </w:pPr>
            <w:r>
              <w:rPr>
                <w:rFonts w:ascii="Arial" w:cs="Arial" w:eastAsia="Arial" w:hAnsi="Arial"/>
                <w:sz w:val="18"/>
                <w:szCs w:val="18"/>
                <w:color w:val="C00000"/>
              </w:rPr>
              <w:t>STOCK OWNERSHIP</w:t>
            </w: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07"/>
        </w:trPr>
        <w:tc>
          <w:tcPr>
            <w:tcW w:w="10300" w:type="dxa"/>
            <w:vAlign w:val="bottom"/>
          </w:tcPr>
          <w:p>
            <w:pPr>
              <w:ind w:left="300"/>
              <w:spacing w:after="0"/>
              <w:rPr>
                <w:sz w:val="20"/>
                <w:szCs w:val="20"/>
                <w:color w:val="auto"/>
              </w:rPr>
            </w:pPr>
            <w:r>
              <w:rPr>
                <w:rFonts w:ascii="Arial" w:cs="Arial" w:eastAsia="Arial" w:hAnsi="Arial"/>
                <w:sz w:val="18"/>
                <w:szCs w:val="18"/>
                <w:color w:val="auto"/>
              </w:rPr>
              <w:t>Significant Beneficial Owners</w:t>
            </w: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07"/>
        </w:trPr>
        <w:tc>
          <w:tcPr>
            <w:tcW w:w="10300" w:type="dxa"/>
            <w:vAlign w:val="bottom"/>
          </w:tcPr>
          <w:p>
            <w:pPr>
              <w:ind w:left="300"/>
              <w:spacing w:after="0"/>
              <w:rPr>
                <w:sz w:val="20"/>
                <w:szCs w:val="20"/>
                <w:color w:val="auto"/>
              </w:rPr>
            </w:pPr>
            <w:r>
              <w:rPr>
                <w:rFonts w:ascii="Arial" w:cs="Arial" w:eastAsia="Arial" w:hAnsi="Arial"/>
                <w:sz w:val="18"/>
                <w:szCs w:val="18"/>
                <w:color w:val="auto"/>
              </w:rPr>
              <w:t>Directors and Executive Officers</w:t>
            </w:r>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307"/>
        </w:trPr>
        <w:tc>
          <w:tcPr>
            <w:tcW w:w="10300" w:type="dxa"/>
            <w:vAlign w:val="bottom"/>
          </w:tcPr>
          <w:p>
            <w:pPr>
              <w:ind w:left="300"/>
              <w:spacing w:after="0"/>
              <w:rPr>
                <w:sz w:val="20"/>
                <w:szCs w:val="20"/>
                <w:color w:val="auto"/>
              </w:rPr>
            </w:pPr>
            <w:r>
              <w:rPr>
                <w:rFonts w:ascii="Arial" w:cs="Arial" w:eastAsia="Arial" w:hAnsi="Arial"/>
                <w:sz w:val="18"/>
                <w:szCs w:val="18"/>
                <w:color w:val="auto"/>
              </w:rPr>
              <w:t>Stock Ownership Guidelines</w:t>
            </w:r>
          </w:p>
        </w:tc>
        <w:tc>
          <w:tcPr>
            <w:tcW w:w="6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307"/>
        </w:trPr>
        <w:tc>
          <w:tcPr>
            <w:tcW w:w="10300" w:type="dxa"/>
            <w:vAlign w:val="bottom"/>
          </w:tcPr>
          <w:p>
            <w:pPr>
              <w:ind w:left="300"/>
              <w:spacing w:after="0"/>
              <w:rPr>
                <w:sz w:val="20"/>
                <w:szCs w:val="20"/>
                <w:color w:val="auto"/>
              </w:rPr>
            </w:pPr>
            <w:r>
              <w:rPr>
                <w:rFonts w:ascii="Arial" w:cs="Arial" w:eastAsia="Arial" w:hAnsi="Arial"/>
                <w:sz w:val="18"/>
                <w:szCs w:val="18"/>
                <w:color w:val="auto"/>
              </w:rPr>
              <w:t>Anti-Hedging and Anti-Pledging Policies</w:t>
            </w:r>
          </w:p>
        </w:tc>
        <w:tc>
          <w:tcPr>
            <w:tcW w:w="6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307"/>
        </w:trPr>
        <w:tc>
          <w:tcPr>
            <w:tcW w:w="10300" w:type="dxa"/>
            <w:vAlign w:val="bottom"/>
          </w:tcPr>
          <w:p>
            <w:pPr>
              <w:ind w:left="300"/>
              <w:spacing w:after="0"/>
              <w:rPr>
                <w:sz w:val="20"/>
                <w:szCs w:val="20"/>
                <w:color w:val="auto"/>
              </w:rPr>
            </w:pPr>
            <w:r>
              <w:rPr>
                <w:rFonts w:ascii="Arial" w:cs="Arial" w:eastAsia="Arial" w:hAnsi="Arial"/>
                <w:sz w:val="18"/>
                <w:szCs w:val="18"/>
                <w:color w:val="auto"/>
              </w:rPr>
              <w:t>Delinquent Section 16(a) Reports</w:t>
            </w:r>
          </w:p>
        </w:tc>
        <w:tc>
          <w:tcPr>
            <w:tcW w:w="68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334"/>
        </w:trPr>
        <w:tc>
          <w:tcPr>
            <w:tcW w:w="10300" w:type="dxa"/>
            <w:vAlign w:val="bottom"/>
          </w:tcPr>
          <w:p>
            <w:pPr>
              <w:spacing w:after="0"/>
              <w:rPr>
                <w:sz w:val="20"/>
                <w:szCs w:val="20"/>
                <w:color w:val="auto"/>
              </w:rPr>
            </w:pPr>
            <w:r>
              <w:rPr>
                <w:rFonts w:ascii="Arial" w:cs="Arial" w:eastAsia="Arial" w:hAnsi="Arial"/>
                <w:sz w:val="18"/>
                <w:szCs w:val="18"/>
                <w:color w:val="C00000"/>
              </w:rPr>
              <w:t>EQUITY COMPENSATION PLAN INFORMATION</w:t>
            </w:r>
          </w:p>
        </w:tc>
        <w:tc>
          <w:tcPr>
            <w:tcW w:w="6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61"/>
        </w:trPr>
        <w:tc>
          <w:tcPr>
            <w:tcW w:w="10300" w:type="dxa"/>
            <w:vAlign w:val="bottom"/>
          </w:tcPr>
          <w:p>
            <w:pPr>
              <w:spacing w:after="0"/>
              <w:rPr>
                <w:sz w:val="20"/>
                <w:szCs w:val="20"/>
                <w:color w:val="auto"/>
              </w:rPr>
            </w:pPr>
            <w:r>
              <w:rPr>
                <w:rFonts w:ascii="Arial" w:cs="Arial" w:eastAsia="Arial" w:hAnsi="Arial"/>
                <w:sz w:val="18"/>
                <w:szCs w:val="18"/>
                <w:color w:val="BF2115"/>
              </w:rPr>
              <w:t>GENERAL INFORMATION ABOUT THE 2026 ANNUAL MEETING AND VOTING</w:t>
            </w:r>
          </w:p>
        </w:tc>
        <w:tc>
          <w:tcPr>
            <w:tcW w:w="6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77"/>
        </w:trPr>
        <w:tc>
          <w:tcPr>
            <w:tcW w:w="10300" w:type="dxa"/>
            <w:vAlign w:val="bottom"/>
          </w:tcPr>
          <w:p>
            <w:pPr>
              <w:ind w:left="320"/>
              <w:spacing w:after="0" w:line="177" w:lineRule="exact"/>
              <w:rPr>
                <w:sz w:val="20"/>
                <w:szCs w:val="20"/>
                <w:color w:val="auto"/>
              </w:rPr>
            </w:pPr>
            <w:r>
              <w:rPr>
                <w:rFonts w:ascii="Arial" w:cs="Arial" w:eastAsia="Arial" w:hAnsi="Arial"/>
                <w:sz w:val="18"/>
                <w:szCs w:val="18"/>
                <w:color w:val="auto"/>
              </w:rPr>
              <w:t>Important Notice Regarding the Availability of Proxy Materials for the Stockholder Meeting to Be Held on Tuesday, March</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3"/>
        </w:trPr>
        <w:tc>
          <w:tcPr>
            <w:tcW w:w="10300" w:type="dxa"/>
            <w:vAlign w:val="bottom"/>
          </w:tcPr>
          <w:p>
            <w:pPr>
              <w:ind w:left="480"/>
              <w:spacing w:after="0"/>
              <w:rPr>
                <w:sz w:val="20"/>
                <w:szCs w:val="20"/>
                <w:color w:val="auto"/>
              </w:rPr>
            </w:pPr>
            <w:r>
              <w:rPr>
                <w:rFonts w:ascii="Arial" w:cs="Arial" w:eastAsia="Arial" w:hAnsi="Arial"/>
                <w:sz w:val="18"/>
                <w:szCs w:val="18"/>
                <w:color w:val="auto"/>
              </w:rPr>
              <w:t>17, 2026</w:t>
            </w: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0300" w:type="dxa"/>
            <w:vAlign w:val="bottom"/>
          </w:tcPr>
          <w:p>
            <w:pPr>
              <w:ind w:left="320"/>
              <w:spacing w:after="0"/>
              <w:rPr>
                <w:sz w:val="20"/>
                <w:szCs w:val="20"/>
                <w:color w:val="auto"/>
              </w:rPr>
            </w:pPr>
            <w:r>
              <w:rPr>
                <w:rFonts w:ascii="Arial" w:cs="Arial" w:eastAsia="Arial" w:hAnsi="Arial"/>
                <w:sz w:val="18"/>
                <w:szCs w:val="18"/>
                <w:color w:val="auto"/>
              </w:rPr>
              <w:t>When and Where Will the Annual Meeting Be Held?</w:t>
            </w:r>
          </w:p>
        </w:tc>
        <w:tc>
          <w:tcPr>
            <w:tcW w:w="6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Why is the Annual Meeting Being Held Virtually?</w:t>
            </w:r>
          </w:p>
        </w:tc>
        <w:tc>
          <w:tcPr>
            <w:tcW w:w="6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How Can I Attend the Virtual Annual Meeting?</w:t>
            </w:r>
          </w:p>
        </w:tc>
        <w:tc>
          <w:tcPr>
            <w:tcW w:w="6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What Are the Purposes of the Annual Meeting?</w:t>
            </w:r>
          </w:p>
        </w:tc>
        <w:tc>
          <w:tcPr>
            <w:tcW w:w="6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Are There Any Matters To Be Voted On at the Annual Meeting that Are Not Included in this Proxy Statement?</w:t>
            </w:r>
          </w:p>
        </w:tc>
        <w:tc>
          <w:tcPr>
            <w:tcW w:w="6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Who Is Entitled to Vote and How Many Shares Must Be Present to Hold the Annual Meeting?</w:t>
            </w:r>
          </w:p>
        </w:tc>
        <w:tc>
          <w:tcPr>
            <w:tcW w:w="6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How Do I Vote My Shares?</w:t>
            </w:r>
          </w:p>
        </w:tc>
        <w:tc>
          <w:tcPr>
            <w:tcW w:w="6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How Does the Board Recommend that I Vote and What Vote is Required for Each Proposal?</w:t>
            </w: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How Will My Shares Be Voted?</w:t>
            </w:r>
          </w:p>
        </w:tc>
        <w:tc>
          <w:tcPr>
            <w:tcW w:w="6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What Does It Mean If I Receive More Than One Notice or Set of Proxy Materials?</w:t>
            </w:r>
          </w:p>
        </w:tc>
        <w:tc>
          <w:tcPr>
            <w:tcW w:w="6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80"/>
          </w:cols>
          <w:pgMar w:left="340" w:top="1230"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86995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80"/>
          </w:cols>
          <w:pgMar w:left="340" w:top="1230" w:right="579" w:bottom="1440" w:gutter="0" w:footer="0" w:header="0"/>
          <w:type w:val="continuous"/>
        </w:sectPr>
      </w:pPr>
    </w:p>
    <w:bookmarkStart w:id="7" w:name="page8"/>
    <w:bookmarkEnd w:id="7"/>
    <w:tbl>
      <w:tblPr>
        <w:tblLayout w:type="fixed"/>
        <w:tblInd w:w="20" w:type="dxa"/>
        <w:tblCellMar>
          <w:top w:w="0" w:type="dxa"/>
          <w:left w:w="0" w:type="dxa"/>
          <w:bottom w:w="0" w:type="dxa"/>
          <w:right w:w="0" w:type="dxa"/>
        </w:tblCellMar>
      </w:tblPr>
      <w:tr>
        <w:trPr>
          <w:trHeight w:val="246"/>
        </w:trPr>
        <w:tc>
          <w:tcPr>
            <w:tcW w:w="8560" w:type="dxa"/>
            <w:vAlign w:val="bottom"/>
          </w:tcPr>
          <w:p>
            <w:pPr>
              <w:ind w:left="320"/>
              <w:spacing w:after="0"/>
              <w:rPr>
                <w:sz w:val="20"/>
                <w:szCs w:val="20"/>
                <w:color w:val="auto"/>
              </w:rPr>
            </w:pPr>
            <w:r>
              <w:rPr>
                <w:rFonts w:ascii="Arial" w:cs="Arial" w:eastAsia="Arial" w:hAnsi="Arial"/>
                <w:sz w:val="18"/>
                <w:szCs w:val="18"/>
                <w:color w:val="auto"/>
              </w:rPr>
              <w:t>How Can I Revoke or Change My Vote?</w:t>
            </w:r>
          </w:p>
        </w:tc>
        <w:tc>
          <w:tcPr>
            <w:tcW w:w="24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54"/>
        </w:trPr>
        <w:tc>
          <w:tcPr>
            <w:tcW w:w="8560" w:type="dxa"/>
            <w:vAlign w:val="bottom"/>
          </w:tcPr>
          <w:p>
            <w:pPr>
              <w:ind w:left="320"/>
              <w:spacing w:after="0"/>
              <w:rPr>
                <w:sz w:val="20"/>
                <w:szCs w:val="20"/>
                <w:color w:val="auto"/>
              </w:rPr>
            </w:pPr>
            <w:r>
              <w:rPr>
                <w:rFonts w:ascii="Arial" w:cs="Arial" w:eastAsia="Arial" w:hAnsi="Arial"/>
                <w:sz w:val="18"/>
                <w:szCs w:val="18"/>
                <w:color w:val="auto"/>
              </w:rPr>
              <w:t>Who Will Count the Votes?</w:t>
            </w:r>
          </w:p>
        </w:tc>
        <w:tc>
          <w:tcPr>
            <w:tcW w:w="24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54"/>
        </w:trPr>
        <w:tc>
          <w:tcPr>
            <w:tcW w:w="8560" w:type="dxa"/>
            <w:vAlign w:val="bottom"/>
          </w:tcPr>
          <w:p>
            <w:pPr>
              <w:ind w:left="320"/>
              <w:spacing w:after="0"/>
              <w:rPr>
                <w:sz w:val="20"/>
                <w:szCs w:val="20"/>
                <w:color w:val="auto"/>
              </w:rPr>
            </w:pPr>
            <w:r>
              <w:rPr>
                <w:rFonts w:ascii="Arial" w:cs="Arial" w:eastAsia="Arial" w:hAnsi="Arial"/>
                <w:sz w:val="18"/>
                <w:szCs w:val="18"/>
                <w:color w:val="auto"/>
              </w:rPr>
              <w:t>How Will Business Be Conducted at the Annual Meeting?</w:t>
            </w:r>
          </w:p>
        </w:tc>
        <w:tc>
          <w:tcPr>
            <w:tcW w:w="24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54"/>
        </w:trPr>
        <w:tc>
          <w:tcPr>
            <w:tcW w:w="8560" w:type="dxa"/>
            <w:vAlign w:val="bottom"/>
          </w:tcPr>
          <w:p>
            <w:pPr>
              <w:ind w:left="320"/>
              <w:spacing w:after="0"/>
              <w:rPr>
                <w:sz w:val="20"/>
                <w:szCs w:val="20"/>
                <w:color w:val="auto"/>
              </w:rPr>
            </w:pPr>
            <w:r>
              <w:rPr>
                <w:rFonts w:ascii="Arial" w:cs="Arial" w:eastAsia="Arial" w:hAnsi="Arial"/>
                <w:sz w:val="18"/>
                <w:szCs w:val="18"/>
                <w:color w:val="auto"/>
              </w:rPr>
              <w:t>How Can I Ask Questions In Advance of and During the Annual Meeting?</w:t>
            </w:r>
          </w:p>
        </w:tc>
        <w:tc>
          <w:tcPr>
            <w:tcW w:w="24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20"/>
        </w:trPr>
        <w:tc>
          <w:tcPr>
            <w:tcW w:w="8560" w:type="dxa"/>
            <w:vAlign w:val="bottom"/>
          </w:tcPr>
          <w:p>
            <w:pPr>
              <w:spacing w:after="0"/>
              <w:rPr>
                <w:sz w:val="20"/>
                <w:szCs w:val="20"/>
                <w:color w:val="auto"/>
              </w:rPr>
            </w:pPr>
            <w:r>
              <w:rPr>
                <w:rFonts w:ascii="Arial" w:cs="Arial" w:eastAsia="Arial" w:hAnsi="Arial"/>
                <w:sz w:val="18"/>
                <w:szCs w:val="18"/>
                <w:color w:val="C00000"/>
              </w:rPr>
              <w:t>OTHER INFORMATION</w:t>
            </w:r>
          </w:p>
        </w:tc>
        <w:tc>
          <w:tcPr>
            <w:tcW w:w="24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07"/>
        </w:trPr>
        <w:tc>
          <w:tcPr>
            <w:tcW w:w="8560" w:type="dxa"/>
            <w:vAlign w:val="bottom"/>
          </w:tcPr>
          <w:p>
            <w:pPr>
              <w:ind w:left="300"/>
              <w:spacing w:after="0"/>
              <w:rPr>
                <w:sz w:val="20"/>
                <w:szCs w:val="20"/>
                <w:color w:val="auto"/>
              </w:rPr>
            </w:pPr>
            <w:r>
              <w:rPr>
                <w:rFonts w:ascii="Arial" w:cs="Arial" w:eastAsia="Arial" w:hAnsi="Arial"/>
                <w:sz w:val="18"/>
                <w:szCs w:val="18"/>
                <w:color w:val="auto"/>
              </w:rPr>
              <w:t>Stockholder Proposals and Director Nominations for the 2027 Annual Meeting</w:t>
            </w:r>
          </w:p>
        </w:tc>
        <w:tc>
          <w:tcPr>
            <w:tcW w:w="24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07"/>
        </w:trPr>
        <w:tc>
          <w:tcPr>
            <w:tcW w:w="8560" w:type="dxa"/>
            <w:vAlign w:val="bottom"/>
          </w:tcPr>
          <w:p>
            <w:pPr>
              <w:ind w:left="300"/>
              <w:spacing w:after="0"/>
              <w:rPr>
                <w:sz w:val="20"/>
                <w:szCs w:val="20"/>
                <w:color w:val="auto"/>
              </w:rPr>
            </w:pPr>
            <w:r>
              <w:rPr>
                <w:rFonts w:ascii="Arial" w:cs="Arial" w:eastAsia="Arial" w:hAnsi="Arial"/>
                <w:sz w:val="18"/>
                <w:szCs w:val="18"/>
                <w:color w:val="auto"/>
              </w:rPr>
              <w:t>Householding of Annual Meeting Materials</w:t>
            </w:r>
          </w:p>
        </w:tc>
        <w:tc>
          <w:tcPr>
            <w:tcW w:w="24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07"/>
        </w:trPr>
        <w:tc>
          <w:tcPr>
            <w:tcW w:w="8560" w:type="dxa"/>
            <w:vAlign w:val="bottom"/>
          </w:tcPr>
          <w:p>
            <w:pPr>
              <w:ind w:left="300"/>
              <w:spacing w:after="0"/>
              <w:rPr>
                <w:sz w:val="20"/>
                <w:szCs w:val="20"/>
                <w:color w:val="auto"/>
              </w:rPr>
            </w:pPr>
            <w:r>
              <w:rPr>
                <w:rFonts w:ascii="Arial" w:cs="Arial" w:eastAsia="Arial" w:hAnsi="Arial"/>
                <w:sz w:val="18"/>
                <w:szCs w:val="18"/>
                <w:color w:val="auto"/>
              </w:rPr>
              <w:t>Annual Report</w:t>
            </w:r>
          </w:p>
        </w:tc>
        <w:tc>
          <w:tcPr>
            <w:tcW w:w="24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07"/>
        </w:trPr>
        <w:tc>
          <w:tcPr>
            <w:tcW w:w="8560" w:type="dxa"/>
            <w:vAlign w:val="bottom"/>
          </w:tcPr>
          <w:p>
            <w:pPr>
              <w:ind w:left="300"/>
              <w:spacing w:after="0"/>
              <w:rPr>
                <w:sz w:val="20"/>
                <w:szCs w:val="20"/>
                <w:color w:val="auto"/>
              </w:rPr>
            </w:pPr>
            <w:r>
              <w:rPr>
                <w:rFonts w:ascii="Arial" w:cs="Arial" w:eastAsia="Arial" w:hAnsi="Arial"/>
                <w:sz w:val="18"/>
                <w:szCs w:val="18"/>
                <w:color w:val="auto"/>
              </w:rPr>
              <w:t>Cost and Method of Solicitation</w:t>
            </w:r>
          </w:p>
        </w:tc>
        <w:tc>
          <w:tcPr>
            <w:tcW w:w="24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54"/>
        </w:trPr>
        <w:tc>
          <w:tcPr>
            <w:tcW w:w="8560" w:type="dxa"/>
            <w:vAlign w:val="bottom"/>
          </w:tcPr>
          <w:p>
            <w:pPr>
              <w:spacing w:after="0"/>
              <w:rPr>
                <w:sz w:val="20"/>
                <w:szCs w:val="20"/>
                <w:color w:val="auto"/>
              </w:rPr>
            </w:pPr>
            <w:r>
              <w:rPr>
                <w:rFonts w:ascii="Arial" w:cs="Arial" w:eastAsia="Arial" w:hAnsi="Arial"/>
                <w:sz w:val="18"/>
                <w:szCs w:val="18"/>
                <w:color w:val="BF2115"/>
              </w:rPr>
              <w:t>APPENDIX A - NON GAAP RECONCILIATIONS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54"/>
        </w:trPr>
        <w:tc>
          <w:tcPr>
            <w:tcW w:w="8560" w:type="dxa"/>
            <w:vAlign w:val="bottom"/>
          </w:tcPr>
          <w:p>
            <w:pPr>
              <w:spacing w:after="0"/>
              <w:rPr>
                <w:sz w:val="20"/>
                <w:szCs w:val="20"/>
                <w:color w:val="auto"/>
              </w:rPr>
            </w:pPr>
            <w:r>
              <w:rPr>
                <w:rFonts w:ascii="Arial" w:cs="Arial" w:eastAsia="Arial" w:hAnsi="Arial"/>
                <w:sz w:val="18"/>
                <w:szCs w:val="18"/>
                <w:color w:val="BF2115"/>
              </w:rPr>
              <w:t>APPENDIX B - THE TORO COMPANY 2026 EQUITY PLAN</w:t>
            </w:r>
          </w:p>
        </w:tc>
        <w:tc>
          <w:tcPr>
            <w:tcW w:w="242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254"/>
        </w:trPr>
        <w:tc>
          <w:tcPr>
            <w:tcW w:w="8560" w:type="dxa"/>
            <w:vAlign w:val="bottom"/>
          </w:tcPr>
          <w:p>
            <w:pPr>
              <w:spacing w:after="0"/>
              <w:rPr>
                <w:sz w:val="20"/>
                <w:szCs w:val="20"/>
                <w:color w:val="auto"/>
              </w:rPr>
            </w:pPr>
            <w:r>
              <w:rPr>
                <w:rFonts w:ascii="Arial" w:cs="Arial" w:eastAsia="Arial" w:hAnsi="Arial"/>
                <w:sz w:val="18"/>
                <w:szCs w:val="18"/>
                <w:color w:val="BF2115"/>
              </w:rPr>
              <w:t>APPENDIX C - OFFICER EXCULPATION AMENDMENT (in relevant part)</w:t>
            </w:r>
          </w:p>
        </w:tc>
        <w:tc>
          <w:tcPr>
            <w:tcW w:w="24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54"/>
        </w:trPr>
        <w:tc>
          <w:tcPr>
            <w:tcW w:w="8560" w:type="dxa"/>
            <w:vAlign w:val="bottom"/>
          </w:tcPr>
          <w:p>
            <w:pPr>
              <w:spacing w:after="0"/>
              <w:rPr>
                <w:sz w:val="20"/>
                <w:szCs w:val="20"/>
                <w:color w:val="auto"/>
              </w:rPr>
            </w:pPr>
            <w:r>
              <w:rPr>
                <w:rFonts w:ascii="Arial" w:cs="Arial" w:eastAsia="Arial" w:hAnsi="Arial"/>
                <w:sz w:val="18"/>
                <w:szCs w:val="18"/>
                <w:color w:val="BF2115"/>
              </w:rPr>
              <w:t>APPENDIX D - PAR VALUE AMENDMENT (in relevant part)</w:t>
            </w:r>
          </w:p>
        </w:tc>
        <w:tc>
          <w:tcPr>
            <w:tcW w:w="2420" w:type="dxa"/>
            <w:vAlign w:val="bottom"/>
          </w:tcPr>
          <w:p>
            <w:pPr>
              <w:jc w:val="right"/>
              <w:spacing w:after="0"/>
              <w:rPr>
                <w:sz w:val="20"/>
                <w:szCs w:val="20"/>
                <w:color w:val="auto"/>
              </w:rPr>
            </w:pPr>
            <w:r>
              <w:rPr>
                <w:rFonts w:ascii="Arial" w:cs="Arial" w:eastAsia="Arial" w:hAnsi="Arial"/>
                <w:sz w:val="18"/>
                <w:szCs w:val="18"/>
                <w:color w:val="auto"/>
              </w:rPr>
              <w:t>D-1</w:t>
            </w:r>
          </w:p>
        </w:tc>
      </w:tr>
    </w:tbl>
    <w:p>
      <w:pPr>
        <w:spacing w:after="0" w:line="200" w:lineRule="exact"/>
        <w:rPr>
          <w:sz w:val="20"/>
          <w:szCs w:val="20"/>
          <w:color w:val="auto"/>
        </w:rPr>
      </w:pPr>
    </w:p>
    <w:p>
      <w:pPr>
        <w:spacing w:after="0" w:line="34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_____________________</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References in this proxy statement to:</w:t>
      </w:r>
    </w:p>
    <w:p>
      <w:pPr>
        <w:spacing w:after="0" w:line="47" w:lineRule="exact"/>
        <w:rPr>
          <w:sz w:val="20"/>
          <w:szCs w:val="20"/>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"TTC," "we," "us," "our," or the "Company" refer to The Toro Company;</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"Board" refer to the Board of Directors of TTC;</w:t>
      </w:r>
    </w:p>
    <w:p>
      <w:pPr>
        <w:spacing w:after="0" w:line="46"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 meeting" refer to our 2026 Annual Meeting of Stockholders;</w:t>
      </w:r>
    </w:p>
    <w:p>
      <w:pPr>
        <w:spacing w:after="0" w:line="46" w:lineRule="exact"/>
        <w:rPr>
          <w:rFonts w:ascii="Arial" w:cs="Arial" w:eastAsia="Arial" w:hAnsi="Arial"/>
          <w:sz w:val="18"/>
          <w:szCs w:val="18"/>
          <w:color w:val="auto"/>
        </w:rPr>
      </w:pPr>
    </w:p>
    <w:p>
      <w:pPr>
        <w:ind w:left="640" w:hanging="313"/>
        <w:spacing w:after="0" w:line="246"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2025 Annual Report refer to our Annual Report to Stockholders for fiscal 2025, which includes our Annual Report on Form 10-K for the fiscal year ended October 31, 2025, being made available together with this proxy statement; and</w:t>
      </w:r>
    </w:p>
    <w:p>
      <w:pPr>
        <w:spacing w:after="0" w:line="69"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Restated Certificate of Incorporation refer to the Company's Restated Certificate of Incorporation, as amended.</w:t>
      </w:r>
    </w:p>
    <w:p>
      <w:pPr>
        <w:spacing w:after="0" w:line="100"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Information on our website and any other websites referenced herein is not incorporated by reference into, and does not constitute a part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63" w:right="37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274955</wp:posOffset>
            </wp:positionH>
            <wp:positionV relativeFrom="page">
              <wp:posOffset>732790</wp:posOffset>
            </wp:positionV>
            <wp:extent cx="6998335" cy="177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335" cy="177800"/>
                    </a:xfrm>
                    <a:prstGeom prst="rect">
                      <a:avLst/>
                    </a:prstGeom>
                    <a:noFill/>
                  </pic:spPr>
                </pic:pic>
              </a:graphicData>
            </a:graphic>
          </wp:anchor>
        </w:drawing>
        <w:t>EXECUTIVE SUMMARY</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Business Overview</w:t>
      </w:r>
    </w:p>
    <w:p>
      <w:pPr>
        <w:spacing w:after="0" w:line="20" w:lineRule="exact"/>
        <w:rPr>
          <w:sz w:val="20"/>
          <w:szCs w:val="20"/>
          <w:color w:val="auto"/>
        </w:rPr>
      </w:pPr>
    </w:p>
    <w:p>
      <w:pPr>
        <w:jc w:val="both"/>
        <w:ind w:firstLine="640"/>
        <w:spacing w:after="0" w:line="237" w:lineRule="auto"/>
        <w:rPr>
          <w:sz w:val="20"/>
          <w:szCs w:val="20"/>
          <w:color w:val="auto"/>
        </w:rPr>
      </w:pPr>
      <w:r>
        <w:rPr>
          <w:rFonts w:ascii="Arial" w:cs="Arial" w:eastAsia="Arial" w:hAnsi="Arial"/>
          <w:sz w:val="18"/>
          <w:szCs w:val="18"/>
          <w:color w:val="auto"/>
        </w:rPr>
        <w:t>The Toro Company, founded in 1914, is a leading global provider of solutions for the outdoor environment including turf and landscape maintenance, snow and ice management, underground construction, rental and specialty construction, and irrigation and outdoor lighting solutions. With its worldwide headquarters in Bloomington, Minnesota, The Toro Company's global presence extends to more than 125 countries through a family of brands that includes Toro, Ditch Witch, Exmark, BOSS, Ventrac, Tornado, HammerHead, American Augers, Spartan, Subsite, Radius, Hayter, Perrot, Unique Lighting Systems, Irritrol, and Lawn-Boy.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83185</wp:posOffset>
            </wp:positionV>
            <wp:extent cx="6125845" cy="6267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25845" cy="6267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p>
      <w:pPr>
        <w:spacing w:after="0" w:line="206" w:lineRule="exact"/>
        <w:rPr>
          <w:sz w:val="20"/>
          <w:szCs w:val="20"/>
          <w:color w:val="auto"/>
        </w:rPr>
      </w:pPr>
    </w:p>
    <w:p>
      <w:pPr>
        <w:jc w:val="center"/>
        <w:ind w:left="1020"/>
        <w:spacing w:after="0"/>
        <w:rPr>
          <w:sz w:val="20"/>
          <w:szCs w:val="20"/>
          <w:color w:val="auto"/>
        </w:rPr>
      </w:pPr>
      <w:r>
        <w:rPr>
          <w:rFonts w:ascii="Arial" w:cs="Arial" w:eastAsia="Arial" w:hAnsi="Arial"/>
          <w:sz w:val="18"/>
          <w:szCs w:val="18"/>
          <w:b w:val="1"/>
          <w:bCs w:val="1"/>
          <w:color w:val="BF2115"/>
        </w:rPr>
        <w:t>OUR PURPOSE</w:t>
      </w:r>
    </w:p>
    <w:p>
      <w:pPr>
        <w:spacing w:after="0" w:line="38" w:lineRule="exact"/>
        <w:rPr>
          <w:sz w:val="20"/>
          <w:szCs w:val="20"/>
          <w:color w:val="auto"/>
        </w:rPr>
      </w:pPr>
    </w:p>
    <w:p>
      <w:pPr>
        <w:jc w:val="center"/>
        <w:ind w:left="1020"/>
        <w:spacing w:after="0"/>
        <w:rPr>
          <w:sz w:val="20"/>
          <w:szCs w:val="20"/>
          <w:color w:val="auto"/>
        </w:rPr>
      </w:pPr>
      <w:r>
        <w:rPr>
          <w:rFonts w:ascii="Arial" w:cs="Arial" w:eastAsia="Arial" w:hAnsi="Arial"/>
          <w:sz w:val="17"/>
          <w:szCs w:val="17"/>
          <w:color w:val="auto"/>
        </w:rPr>
        <w:t>To help our customers enrich the</w:t>
      </w:r>
    </w:p>
    <w:p>
      <w:pPr>
        <w:spacing w:after="0" w:line="1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beauty, productivity and</w:t>
      </w:r>
    </w:p>
    <w:p>
      <w:pPr>
        <w:ind w:left="1320"/>
        <w:spacing w:after="0"/>
        <w:rPr>
          <w:sz w:val="20"/>
          <w:szCs w:val="20"/>
          <w:color w:val="auto"/>
        </w:rPr>
      </w:pPr>
      <w:r>
        <w:rPr>
          <w:rFonts w:ascii="Arial" w:cs="Arial" w:eastAsia="Arial" w:hAnsi="Arial"/>
          <w:sz w:val="18"/>
          <w:szCs w:val="18"/>
          <w:color w:val="auto"/>
        </w:rPr>
        <w:t>sustainability of the land.</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BF2115"/>
        </w:rPr>
        <w:t>OUR VISION</w:t>
      </w:r>
    </w:p>
    <w:p>
      <w:pPr>
        <w:spacing w:after="0" w:line="38" w:lineRule="exact"/>
        <w:rPr>
          <w:sz w:val="20"/>
          <w:szCs w:val="20"/>
          <w:color w:val="auto"/>
        </w:rPr>
      </w:pPr>
    </w:p>
    <w:p>
      <w:pPr>
        <w:jc w:val="center"/>
        <w:spacing w:after="0" w:line="230" w:lineRule="auto"/>
        <w:rPr>
          <w:sz w:val="20"/>
          <w:szCs w:val="20"/>
          <w:color w:val="auto"/>
        </w:rPr>
      </w:pPr>
      <w:r>
        <w:rPr>
          <w:rFonts w:ascii="Arial" w:cs="Arial" w:eastAsia="Arial" w:hAnsi="Arial"/>
          <w:sz w:val="17"/>
          <w:szCs w:val="17"/>
          <w:color w:val="auto"/>
        </w:rPr>
        <w:t>To be the most trusted leader in solutions for the outdoor environment. Every day. Everywhere.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202565</wp:posOffset>
            </wp:positionV>
            <wp:extent cx="6151245" cy="635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51245" cy="6356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BF2115"/>
        </w:rPr>
        <w:t>OUR MISSION</w:t>
      </w:r>
    </w:p>
    <w:p>
      <w:pPr>
        <w:spacing w:after="0" w:line="38" w:lineRule="exact"/>
        <w:rPr>
          <w:sz w:val="20"/>
          <w:szCs w:val="20"/>
          <w:color w:val="auto"/>
        </w:rPr>
      </w:pPr>
    </w:p>
    <w:p>
      <w:pPr>
        <w:jc w:val="center"/>
        <w:ind w:right="900"/>
        <w:spacing w:after="0"/>
        <w:rPr>
          <w:sz w:val="20"/>
          <w:szCs w:val="20"/>
          <w:color w:val="auto"/>
        </w:rPr>
      </w:pPr>
      <w:r>
        <w:rPr>
          <w:rFonts w:ascii="Arial" w:cs="Arial" w:eastAsia="Arial" w:hAnsi="Arial"/>
          <w:sz w:val="17"/>
          <w:szCs w:val="17"/>
          <w:color w:val="auto"/>
        </w:rPr>
        <w:t>To deliver superior innovation and to</w:t>
      </w:r>
    </w:p>
    <w:p>
      <w:pPr>
        <w:spacing w:after="0" w:line="18"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deliver superior customer care.</w:t>
      </w:r>
    </w:p>
    <w:p>
      <w:pPr>
        <w:spacing w:after="0" w:line="400" w:lineRule="exact"/>
        <w:rPr>
          <w:sz w:val="20"/>
          <w:szCs w:val="20"/>
          <w:color w:val="auto"/>
        </w:rPr>
      </w:pPr>
    </w:p>
    <w:p>
      <w:pPr>
        <w:sectPr>
          <w:pgSz w:w="11900" w:h="16838" w:orient="portrait"/>
          <w:cols w:equalWidth="0" w:num="3">
            <w:col w:w="3600" w:space="500"/>
            <w:col w:w="2980" w:space="420"/>
            <w:col w:w="3740"/>
          </w:cols>
          <w:pgMar w:left="320" w:top="1157" w:right="339" w:bottom="1440" w:gutter="0" w:footer="0" w:header="0"/>
          <w:type w:val="continuous"/>
        </w:sectPr>
      </w:pP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BF2115"/>
        </w:rPr>
        <w:t>OUR GUIDING PRINCIPLES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Our success is founded on a long history of caring relationships based on trust and integrity. These relationships are the</w:t>
      </w:r>
    </w:p>
    <w:p>
      <w:pPr>
        <w:spacing w:after="0" w:line="20" w:lineRule="exact"/>
        <w:rPr>
          <w:sz w:val="20"/>
          <w:szCs w:val="20"/>
          <w:color w:val="auto"/>
        </w:rPr>
      </w:pPr>
    </w:p>
    <w:p>
      <w:pPr>
        <w:jc w:val="center"/>
        <w:ind w:left="340" w:right="1120"/>
        <w:spacing w:after="0" w:line="272" w:lineRule="auto"/>
        <w:rPr>
          <w:sz w:val="20"/>
          <w:szCs w:val="20"/>
          <w:color w:val="auto"/>
        </w:rPr>
      </w:pPr>
      <w:r>
        <w:rPr>
          <w:rFonts w:ascii="Arial" w:cs="Arial" w:eastAsia="Arial" w:hAnsi="Arial"/>
          <w:sz w:val="17"/>
          <w:szCs w:val="17"/>
          <w:color w:val="auto"/>
        </w:rPr>
        <w:t>foundation on which we build market leadership with the best in innovative products and solutions to make outdoor environments beautiful, productive, and sustainable. We are entrusted to strengthen this legacy of excellence.</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Highlights of Our Financial, Operational and Strategic Achievements for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97790</wp:posOffset>
            </wp:positionV>
            <wp:extent cx="7134225" cy="169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Financial</w:t>
      </w:r>
      <w:r>
        <w:rPr>
          <w:rFonts w:ascii="Arial" w:cs="Arial" w:eastAsia="Arial" w:hAnsi="Arial"/>
          <w:sz w:val="23"/>
          <w:szCs w:val="23"/>
          <w:b w:val="1"/>
          <w:bCs w:val="1"/>
          <w:color w:val="FFFFFF"/>
          <w:vertAlign w:val="superscript"/>
        </w:rPr>
        <w:t>1</w:t>
      </w:r>
    </w:p>
    <w:tbl>
      <w:tblPr>
        <w:tblLayout w:type="fixed"/>
        <w:tblInd w:w="0" w:type="dxa"/>
        <w:tblCellMar>
          <w:top w:w="0" w:type="dxa"/>
          <w:left w:w="0" w:type="dxa"/>
          <w:bottom w:w="0" w:type="dxa"/>
          <w:right w:w="0" w:type="dxa"/>
        </w:tblCellMar>
      </w:tblPr>
      <w:tr>
        <w:trPr>
          <w:trHeight w:val="206"/>
        </w:trPr>
        <w:tc>
          <w:tcPr>
            <w:tcW w:w="1340" w:type="dxa"/>
            <w:vAlign w:val="bottom"/>
            <w:tcBorders>
              <w:top w:val="single" w:sz="8" w:color="BFBFBF"/>
            </w:tcBorders>
          </w:tcPr>
          <w:p>
            <w:pPr>
              <w:ind w:left="20"/>
              <w:spacing w:after="0"/>
              <w:rPr>
                <w:sz w:val="20"/>
                <w:szCs w:val="20"/>
                <w:color w:val="auto"/>
              </w:rPr>
            </w:pPr>
            <w:r>
              <w:rPr>
                <w:rFonts w:ascii="Arial" w:cs="Arial" w:eastAsia="Arial" w:hAnsi="Arial"/>
                <w:sz w:val="16"/>
                <w:szCs w:val="16"/>
                <w:b w:val="1"/>
                <w:bCs w:val="1"/>
                <w:color w:val="C00000"/>
              </w:rPr>
              <w:t>$4.51 billion</w:t>
            </w:r>
          </w:p>
        </w:tc>
        <w:tc>
          <w:tcPr>
            <w:tcW w:w="9900" w:type="dxa"/>
            <w:vAlign w:val="bottom"/>
            <w:tcBorders>
              <w:top w:val="single" w:sz="8" w:color="BFBFBF"/>
            </w:tcBorders>
          </w:tcPr>
          <w:p>
            <w:pPr>
              <w:ind w:left="340"/>
              <w:spacing w:after="0"/>
              <w:rPr>
                <w:sz w:val="20"/>
                <w:szCs w:val="20"/>
                <w:color w:val="auto"/>
              </w:rPr>
            </w:pPr>
            <w:r>
              <w:rPr>
                <w:rFonts w:ascii="Arial" w:cs="Arial" w:eastAsia="Arial" w:hAnsi="Arial"/>
                <w:sz w:val="16"/>
                <w:szCs w:val="16"/>
                <w:b w:val="1"/>
                <w:bCs w:val="1"/>
                <w:i w:val="1"/>
                <w:iCs w:val="1"/>
                <w:color w:val="auto"/>
              </w:rPr>
              <w:t>Net Sales</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9900" w:type="dxa"/>
            <w:vAlign w:val="bottom"/>
          </w:tcPr>
          <w:p>
            <w:pPr>
              <w:ind w:left="340"/>
              <w:spacing w:after="0" w:line="174" w:lineRule="exact"/>
              <w:rPr>
                <w:sz w:val="20"/>
                <w:szCs w:val="20"/>
                <w:color w:val="auto"/>
              </w:rPr>
            </w:pPr>
            <w:r>
              <w:rPr>
                <w:rFonts w:ascii="Arial" w:cs="Arial" w:eastAsia="Arial" w:hAnsi="Arial"/>
                <w:sz w:val="16"/>
                <w:szCs w:val="16"/>
                <w:color w:val="auto"/>
              </w:rPr>
              <w:t>Achieved $4.51 billion in total net sales, consisting of professional segment net sales of $3.62 billion, and residential segment net sales</w:t>
            </w:r>
          </w:p>
        </w:tc>
        <w:tc>
          <w:tcPr>
            <w:tcW w:w="0" w:type="dxa"/>
            <w:vAlign w:val="bottom"/>
          </w:tcPr>
          <w:p>
            <w:pPr>
              <w:spacing w:after="0"/>
              <w:rPr>
                <w:sz w:val="1"/>
                <w:szCs w:val="1"/>
                <w:color w:val="auto"/>
              </w:rPr>
            </w:pPr>
          </w:p>
        </w:tc>
      </w:tr>
      <w:tr>
        <w:trPr>
          <w:trHeight w:val="211"/>
        </w:trPr>
        <w:tc>
          <w:tcPr>
            <w:tcW w:w="1340" w:type="dxa"/>
            <w:vAlign w:val="bottom"/>
          </w:tcPr>
          <w:p>
            <w:pPr>
              <w:spacing w:after="0"/>
              <w:rPr>
                <w:sz w:val="18"/>
                <w:szCs w:val="18"/>
                <w:color w:val="auto"/>
              </w:rPr>
            </w:pPr>
          </w:p>
        </w:tc>
        <w:tc>
          <w:tcPr>
            <w:tcW w:w="9900" w:type="dxa"/>
            <w:vAlign w:val="bottom"/>
          </w:tcPr>
          <w:p>
            <w:pPr>
              <w:ind w:left="340"/>
              <w:spacing w:after="0"/>
              <w:rPr>
                <w:sz w:val="20"/>
                <w:szCs w:val="20"/>
                <w:color w:val="auto"/>
              </w:rPr>
            </w:pPr>
            <w:r>
              <w:rPr>
                <w:rFonts w:ascii="Arial" w:cs="Arial" w:eastAsia="Arial" w:hAnsi="Arial"/>
                <w:sz w:val="16"/>
                <w:szCs w:val="16"/>
                <w:color w:val="auto"/>
              </w:rPr>
              <w:t>of $0.86 billion.</w:t>
            </w:r>
          </w:p>
        </w:tc>
        <w:tc>
          <w:tcPr>
            <w:tcW w:w="0" w:type="dxa"/>
            <w:vAlign w:val="bottom"/>
          </w:tcPr>
          <w:p>
            <w:pPr>
              <w:spacing w:after="0"/>
              <w:rPr>
                <w:sz w:val="1"/>
                <w:szCs w:val="1"/>
                <w:color w:val="auto"/>
              </w:rPr>
            </w:pPr>
          </w:p>
        </w:tc>
      </w:tr>
      <w:tr>
        <w:trPr>
          <w:trHeight w:val="83"/>
        </w:trPr>
        <w:tc>
          <w:tcPr>
            <w:tcW w:w="1340" w:type="dxa"/>
            <w:vAlign w:val="bottom"/>
            <w:tcBorders>
              <w:bottom w:val="single" w:sz="8" w:color="BFBFBF"/>
            </w:tcBorders>
          </w:tcPr>
          <w:p>
            <w:pPr>
              <w:spacing w:after="0"/>
              <w:rPr>
                <w:sz w:val="7"/>
                <w:szCs w:val="7"/>
                <w:color w:val="auto"/>
              </w:rPr>
            </w:pPr>
          </w:p>
        </w:tc>
        <w:tc>
          <w:tcPr>
            <w:tcW w:w="9900" w:type="dxa"/>
            <w:vAlign w:val="bottom"/>
            <w:tcBorders>
              <w:bottom w:val="single" w:sz="8" w:color="BFBFBF"/>
            </w:tcBorders>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13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C00000"/>
              </w:rPr>
              <w:t>$4.20</w:t>
            </w:r>
          </w:p>
        </w:tc>
        <w:tc>
          <w:tcPr>
            <w:tcW w:w="9900" w:type="dxa"/>
            <w:vAlign w:val="bottom"/>
            <w:shd w:val="clear" w:color="auto" w:fill="DBDBDB"/>
          </w:tcPr>
          <w:p>
            <w:pPr>
              <w:ind w:left="340"/>
              <w:spacing w:after="0"/>
              <w:rPr>
                <w:sz w:val="20"/>
                <w:szCs w:val="20"/>
                <w:color w:val="auto"/>
              </w:rPr>
            </w:pPr>
            <w:r>
              <w:rPr>
                <w:rFonts w:ascii="Arial" w:cs="Arial" w:eastAsia="Arial" w:hAnsi="Arial"/>
                <w:sz w:val="16"/>
                <w:szCs w:val="16"/>
                <w:b w:val="1"/>
                <w:bCs w:val="1"/>
                <w:i w:val="1"/>
                <w:iCs w:val="1"/>
                <w:color w:val="auto"/>
              </w:rPr>
              <w:t>Adjusted Earnings Per Share</w:t>
            </w:r>
          </w:p>
        </w:tc>
        <w:tc>
          <w:tcPr>
            <w:tcW w:w="0" w:type="dxa"/>
            <w:vAlign w:val="bottom"/>
          </w:tcPr>
          <w:p>
            <w:pPr>
              <w:spacing w:after="0"/>
              <w:rPr>
                <w:sz w:val="1"/>
                <w:szCs w:val="1"/>
                <w:color w:val="auto"/>
              </w:rPr>
            </w:pPr>
          </w:p>
        </w:tc>
      </w:tr>
      <w:tr>
        <w:trPr>
          <w:trHeight w:val="230"/>
        </w:trPr>
        <w:tc>
          <w:tcPr>
            <w:tcW w:w="1340" w:type="dxa"/>
            <w:vAlign w:val="bottom"/>
            <w:shd w:val="clear" w:color="auto" w:fill="DBDBDB"/>
          </w:tcPr>
          <w:p>
            <w:pPr>
              <w:spacing w:after="0"/>
              <w:rPr>
                <w:sz w:val="20"/>
                <w:szCs w:val="20"/>
                <w:color w:val="auto"/>
              </w:rPr>
            </w:pPr>
          </w:p>
        </w:tc>
        <w:tc>
          <w:tcPr>
            <w:tcW w:w="9900" w:type="dxa"/>
            <w:vAlign w:val="bottom"/>
            <w:shd w:val="clear" w:color="auto" w:fill="DBDBDB"/>
          </w:tcPr>
          <w:p>
            <w:pPr>
              <w:ind w:left="340"/>
              <w:spacing w:after="0"/>
              <w:rPr>
                <w:sz w:val="20"/>
                <w:szCs w:val="20"/>
                <w:color w:val="auto"/>
              </w:rPr>
            </w:pPr>
            <w:r>
              <w:rPr>
                <w:rFonts w:ascii="Arial" w:cs="Arial" w:eastAsia="Arial" w:hAnsi="Arial"/>
                <w:sz w:val="16"/>
                <w:szCs w:val="16"/>
                <w:color w:val="auto"/>
              </w:rPr>
              <w:t>Achieved adjusted diluted earnings per share, or Adjusted EPS, of $4.20 per share.</w:t>
            </w:r>
          </w:p>
        </w:tc>
        <w:tc>
          <w:tcPr>
            <w:tcW w:w="0" w:type="dxa"/>
            <w:vAlign w:val="bottom"/>
          </w:tcPr>
          <w:p>
            <w:pPr>
              <w:spacing w:after="0"/>
              <w:rPr>
                <w:sz w:val="1"/>
                <w:szCs w:val="1"/>
                <w:color w:val="auto"/>
              </w:rPr>
            </w:pPr>
          </w:p>
        </w:tc>
      </w:tr>
      <w:tr>
        <w:trPr>
          <w:trHeight w:val="97"/>
        </w:trPr>
        <w:tc>
          <w:tcPr>
            <w:tcW w:w="1340" w:type="dxa"/>
            <w:vAlign w:val="bottom"/>
            <w:tcBorders>
              <w:bottom w:val="single" w:sz="8" w:color="BFBFBF"/>
            </w:tcBorders>
            <w:shd w:val="clear" w:color="auto" w:fill="DBDBDB"/>
          </w:tcPr>
          <w:p>
            <w:pPr>
              <w:spacing w:after="0"/>
              <w:rPr>
                <w:sz w:val="8"/>
                <w:szCs w:val="8"/>
                <w:color w:val="auto"/>
              </w:rPr>
            </w:pPr>
          </w:p>
        </w:tc>
        <w:tc>
          <w:tcPr>
            <w:tcW w:w="9900" w:type="dxa"/>
            <w:vAlign w:val="bottom"/>
            <w:tcBorders>
              <w:bottom w:val="single" w:sz="8" w:color="BFBFBF"/>
            </w:tcBorders>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340" w:type="dxa"/>
            <w:vAlign w:val="bottom"/>
          </w:tcPr>
          <w:p>
            <w:pPr>
              <w:ind w:left="20"/>
              <w:spacing w:after="0"/>
              <w:rPr>
                <w:sz w:val="20"/>
                <w:szCs w:val="20"/>
                <w:color w:val="auto"/>
              </w:rPr>
            </w:pPr>
            <w:r>
              <w:rPr>
                <w:rFonts w:ascii="Arial" w:cs="Arial" w:eastAsia="Arial" w:hAnsi="Arial"/>
                <w:sz w:val="16"/>
                <w:szCs w:val="16"/>
                <w:b w:val="1"/>
                <w:bCs w:val="1"/>
                <w:color w:val="C00000"/>
              </w:rPr>
              <w:t>$0.38 share</w:t>
            </w:r>
          </w:p>
        </w:tc>
        <w:tc>
          <w:tcPr>
            <w:tcW w:w="990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Quarterly Cash Dividend</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9900" w:type="dxa"/>
            <w:vAlign w:val="bottom"/>
          </w:tcPr>
          <w:p>
            <w:pPr>
              <w:ind w:left="340"/>
              <w:spacing w:after="0" w:line="174" w:lineRule="exact"/>
              <w:rPr>
                <w:sz w:val="20"/>
                <w:szCs w:val="20"/>
                <w:color w:val="auto"/>
              </w:rPr>
            </w:pPr>
            <w:r>
              <w:rPr>
                <w:rFonts w:ascii="Arial" w:cs="Arial" w:eastAsia="Arial" w:hAnsi="Arial"/>
                <w:sz w:val="16"/>
                <w:szCs w:val="16"/>
                <w:color w:val="auto"/>
              </w:rPr>
              <w:t>Paid a $0.38 per share quarterly cash dividend, a 5.6% increase over our fiscal 2024 quarterly cash dividend, and announced a $0.39</w:t>
            </w:r>
          </w:p>
        </w:tc>
        <w:tc>
          <w:tcPr>
            <w:tcW w:w="0" w:type="dxa"/>
            <w:vAlign w:val="bottom"/>
          </w:tcPr>
          <w:p>
            <w:pPr>
              <w:spacing w:after="0"/>
              <w:rPr>
                <w:sz w:val="1"/>
                <w:szCs w:val="1"/>
                <w:color w:val="auto"/>
              </w:rPr>
            </w:pPr>
          </w:p>
        </w:tc>
      </w:tr>
      <w:tr>
        <w:trPr>
          <w:trHeight w:val="211"/>
        </w:trPr>
        <w:tc>
          <w:tcPr>
            <w:tcW w:w="1340" w:type="dxa"/>
            <w:vAlign w:val="bottom"/>
          </w:tcPr>
          <w:p>
            <w:pPr>
              <w:spacing w:after="0"/>
              <w:rPr>
                <w:sz w:val="18"/>
                <w:szCs w:val="18"/>
                <w:color w:val="auto"/>
              </w:rPr>
            </w:pPr>
          </w:p>
        </w:tc>
        <w:tc>
          <w:tcPr>
            <w:tcW w:w="9900" w:type="dxa"/>
            <w:vAlign w:val="bottom"/>
          </w:tcPr>
          <w:p>
            <w:pPr>
              <w:ind w:left="340"/>
              <w:spacing w:after="0"/>
              <w:rPr>
                <w:sz w:val="20"/>
                <w:szCs w:val="20"/>
                <w:color w:val="auto"/>
              </w:rPr>
            </w:pPr>
            <w:r>
              <w:rPr>
                <w:rFonts w:ascii="Arial" w:cs="Arial" w:eastAsia="Arial" w:hAnsi="Arial"/>
                <w:sz w:val="16"/>
                <w:szCs w:val="16"/>
                <w:color w:val="auto"/>
              </w:rPr>
              <w:t>per share quarterly cash dividend for fiscal 2026.</w:t>
            </w:r>
          </w:p>
        </w:tc>
        <w:tc>
          <w:tcPr>
            <w:tcW w:w="0" w:type="dxa"/>
            <w:vAlign w:val="bottom"/>
          </w:tcPr>
          <w:p>
            <w:pPr>
              <w:spacing w:after="0"/>
              <w:rPr>
                <w:sz w:val="1"/>
                <w:szCs w:val="1"/>
                <w:color w:val="auto"/>
              </w:rPr>
            </w:pPr>
          </w:p>
        </w:tc>
      </w:tr>
      <w:tr>
        <w:trPr>
          <w:trHeight w:val="57"/>
        </w:trPr>
        <w:tc>
          <w:tcPr>
            <w:tcW w:w="1340" w:type="dxa"/>
            <w:vAlign w:val="bottom"/>
          </w:tcPr>
          <w:p>
            <w:pPr>
              <w:spacing w:after="0"/>
              <w:rPr>
                <w:sz w:val="4"/>
                <w:szCs w:val="4"/>
                <w:color w:val="auto"/>
              </w:rPr>
            </w:pPr>
          </w:p>
        </w:tc>
        <w:tc>
          <w:tcPr>
            <w:tcW w:w="9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1340" w:type="dxa"/>
            <w:vAlign w:val="bottom"/>
            <w:shd w:val="clear" w:color="auto" w:fill="BF2115"/>
          </w:tcPr>
          <w:p>
            <w:pPr>
              <w:ind w:left="20"/>
              <w:spacing w:after="0"/>
              <w:rPr>
                <w:sz w:val="20"/>
                <w:szCs w:val="20"/>
                <w:color w:val="auto"/>
              </w:rPr>
            </w:pPr>
            <w:r>
              <w:rPr>
                <w:rFonts w:ascii="Arial" w:cs="Arial" w:eastAsia="Arial" w:hAnsi="Arial"/>
                <w:sz w:val="18"/>
                <w:szCs w:val="18"/>
                <w:b w:val="1"/>
                <w:bCs w:val="1"/>
                <w:color w:val="FFFFFF"/>
              </w:rPr>
              <w:t>Operational</w:t>
            </w:r>
          </w:p>
        </w:tc>
        <w:tc>
          <w:tcPr>
            <w:tcW w:w="9900" w:type="dxa"/>
            <w:vAlign w:val="bottom"/>
            <w:shd w:val="clear" w:color="auto" w:fill="BF2115"/>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340" w:type="dxa"/>
            <w:vAlign w:val="bottom"/>
            <w:vMerge w:val="restart"/>
            <w:shd w:val="clear" w:color="auto" w:fill="DBDBDB"/>
          </w:tcPr>
          <w:p>
            <w:pPr>
              <w:ind w:left="20"/>
              <w:spacing w:after="0" w:line="281" w:lineRule="exact"/>
              <w:rPr>
                <w:sz w:val="20"/>
                <w:szCs w:val="20"/>
                <w:color w:val="auto"/>
              </w:rPr>
            </w:pPr>
            <w:r>
              <w:rPr>
                <w:rFonts w:ascii="MS PGothic" w:cs="MS PGothic" w:eastAsia="MS PGothic" w:hAnsi="MS PGothic"/>
                <w:sz w:val="28"/>
                <w:szCs w:val="28"/>
                <w:color w:val="auto"/>
                <w:shd w:val="clear" w:color="auto" w:fill="C00000"/>
              </w:rPr>
              <w:t>✓</w:t>
            </w:r>
          </w:p>
        </w:tc>
        <w:tc>
          <w:tcPr>
            <w:tcW w:w="9900" w:type="dxa"/>
            <w:vAlign w:val="bottom"/>
            <w:shd w:val="clear" w:color="auto" w:fill="DBDBDB"/>
          </w:tcPr>
          <w:p>
            <w:pPr>
              <w:ind w:left="340"/>
              <w:spacing w:after="0"/>
              <w:rPr>
                <w:sz w:val="20"/>
                <w:szCs w:val="20"/>
                <w:color w:val="auto"/>
              </w:rPr>
            </w:pPr>
            <w:r>
              <w:rPr>
                <w:rFonts w:ascii="Arial" w:cs="Arial" w:eastAsia="Arial" w:hAnsi="Arial"/>
                <w:sz w:val="16"/>
                <w:szCs w:val="16"/>
                <w:b w:val="1"/>
                <w:bCs w:val="1"/>
                <w:i w:val="1"/>
                <w:iCs w:val="1"/>
                <w:color w:val="auto"/>
              </w:rPr>
              <w:t>Sustainability</w:t>
            </w:r>
          </w:p>
        </w:tc>
        <w:tc>
          <w:tcPr>
            <w:tcW w:w="0" w:type="dxa"/>
            <w:vAlign w:val="bottom"/>
          </w:tcPr>
          <w:p>
            <w:pPr>
              <w:spacing w:after="0"/>
              <w:rPr>
                <w:sz w:val="1"/>
                <w:szCs w:val="1"/>
                <w:color w:val="auto"/>
              </w:rPr>
            </w:pPr>
          </w:p>
        </w:tc>
      </w:tr>
      <w:tr>
        <w:trPr>
          <w:trHeight w:val="173"/>
        </w:trPr>
        <w:tc>
          <w:tcPr>
            <w:tcW w:w="1340" w:type="dxa"/>
            <w:vAlign w:val="bottom"/>
            <w:vMerge w:val="continue"/>
            <w:shd w:val="clear" w:color="auto" w:fill="DBDBDB"/>
          </w:tcPr>
          <w:p>
            <w:pPr>
              <w:spacing w:after="0"/>
              <w:rPr>
                <w:sz w:val="15"/>
                <w:szCs w:val="15"/>
                <w:color w:val="auto"/>
              </w:rPr>
            </w:pPr>
          </w:p>
        </w:tc>
        <w:tc>
          <w:tcPr>
            <w:tcW w:w="9900" w:type="dxa"/>
            <w:vAlign w:val="bottom"/>
            <w:shd w:val="clear" w:color="auto" w:fill="DBDBDB"/>
          </w:tcPr>
          <w:p>
            <w:pPr>
              <w:ind w:left="340"/>
              <w:spacing w:after="0" w:line="174" w:lineRule="exact"/>
              <w:rPr>
                <w:sz w:val="20"/>
                <w:szCs w:val="20"/>
                <w:color w:val="auto"/>
              </w:rPr>
            </w:pPr>
            <w:r>
              <w:rPr>
                <w:rFonts w:ascii="Arial" w:cs="Arial" w:eastAsia="Arial" w:hAnsi="Arial"/>
                <w:sz w:val="16"/>
                <w:szCs w:val="16"/>
                <w:color w:val="auto"/>
              </w:rPr>
              <w:t>Released our Fiscal 2024 Sustainability Report in June 2025, which highlights key achievements, metrics and sustainability goals</w:t>
            </w:r>
          </w:p>
        </w:tc>
        <w:tc>
          <w:tcPr>
            <w:tcW w:w="0" w:type="dxa"/>
            <w:vAlign w:val="bottom"/>
          </w:tcPr>
          <w:p>
            <w:pPr>
              <w:spacing w:after="0"/>
              <w:rPr>
                <w:sz w:val="1"/>
                <w:szCs w:val="1"/>
                <w:color w:val="auto"/>
              </w:rPr>
            </w:pPr>
          </w:p>
        </w:tc>
      </w:tr>
      <w:tr>
        <w:trPr>
          <w:trHeight w:val="187"/>
        </w:trPr>
        <w:tc>
          <w:tcPr>
            <w:tcW w:w="1340" w:type="dxa"/>
            <w:vAlign w:val="bottom"/>
            <w:shd w:val="clear" w:color="auto" w:fill="DBDBDB"/>
          </w:tcPr>
          <w:p>
            <w:pPr>
              <w:spacing w:after="0"/>
              <w:rPr>
                <w:sz w:val="16"/>
                <w:szCs w:val="16"/>
                <w:color w:val="auto"/>
              </w:rPr>
            </w:pPr>
          </w:p>
        </w:tc>
        <w:tc>
          <w:tcPr>
            <w:tcW w:w="9900" w:type="dxa"/>
            <w:vAlign w:val="bottom"/>
            <w:shd w:val="clear" w:color="auto" w:fill="DBDBDB"/>
          </w:tcPr>
          <w:p>
            <w:pPr>
              <w:ind w:left="340"/>
              <w:spacing w:after="0"/>
              <w:rPr>
                <w:sz w:val="20"/>
                <w:szCs w:val="20"/>
                <w:color w:val="auto"/>
              </w:rPr>
            </w:pPr>
            <w:r>
              <w:rPr>
                <w:rFonts w:ascii="Arial" w:cs="Arial" w:eastAsia="Arial" w:hAnsi="Arial"/>
                <w:sz w:val="16"/>
                <w:szCs w:val="16"/>
                <w:color w:val="auto"/>
              </w:rPr>
              <w:t>through the lens of our Product, People and Process sustainability pillars. The report builds on our longstanding commitment to making</w:t>
            </w:r>
          </w:p>
        </w:tc>
        <w:tc>
          <w:tcPr>
            <w:tcW w:w="0" w:type="dxa"/>
            <w:vAlign w:val="bottom"/>
          </w:tcPr>
          <w:p>
            <w:pPr>
              <w:spacing w:after="0"/>
              <w:rPr>
                <w:sz w:val="1"/>
                <w:szCs w:val="1"/>
                <w:color w:val="auto"/>
              </w:rPr>
            </w:pPr>
          </w:p>
        </w:tc>
      </w:tr>
      <w:tr>
        <w:trPr>
          <w:trHeight w:val="248"/>
        </w:trPr>
        <w:tc>
          <w:tcPr>
            <w:tcW w:w="1340" w:type="dxa"/>
            <w:vAlign w:val="bottom"/>
            <w:tcBorders>
              <w:bottom w:val="single" w:sz="8" w:color="DBDBDB"/>
            </w:tcBorders>
            <w:shd w:val="clear" w:color="auto" w:fill="DBDBDB"/>
          </w:tcPr>
          <w:p>
            <w:pPr>
              <w:spacing w:after="0"/>
              <w:rPr>
                <w:sz w:val="21"/>
                <w:szCs w:val="21"/>
                <w:color w:val="auto"/>
              </w:rPr>
            </w:pPr>
          </w:p>
        </w:tc>
        <w:tc>
          <w:tcPr>
            <w:tcW w:w="990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6"/>
                <w:szCs w:val="16"/>
                <w:color w:val="auto"/>
              </w:rPr>
              <w:t>a positive impact financially, socially and environmentally worldwide.</w:t>
            </w:r>
          </w:p>
        </w:tc>
        <w:tc>
          <w:tcPr>
            <w:tcW w:w="0" w:type="dxa"/>
            <w:vAlign w:val="bottom"/>
          </w:tcPr>
          <w:p>
            <w:pPr>
              <w:spacing w:after="0"/>
              <w:rPr>
                <w:sz w:val="1"/>
                <w:szCs w:val="1"/>
                <w:color w:val="auto"/>
              </w:rPr>
            </w:pPr>
          </w:p>
        </w:tc>
      </w:tr>
      <w:tr>
        <w:trPr>
          <w:trHeight w:val="120"/>
        </w:trPr>
        <w:tc>
          <w:tcPr>
            <w:tcW w:w="1340" w:type="dxa"/>
            <w:vAlign w:val="bottom"/>
          </w:tcPr>
          <w:p>
            <w:pPr>
              <w:spacing w:after="0"/>
              <w:rPr>
                <w:sz w:val="10"/>
                <w:szCs w:val="10"/>
                <w:color w:val="auto"/>
              </w:rPr>
            </w:pPr>
          </w:p>
        </w:tc>
        <w:tc>
          <w:tcPr>
            <w:tcW w:w="9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340" w:type="dxa"/>
            <w:vAlign w:val="bottom"/>
            <w:shd w:val="clear" w:color="auto" w:fill="BF2115"/>
          </w:tcPr>
          <w:p>
            <w:pPr>
              <w:ind w:left="20"/>
              <w:spacing w:after="0"/>
              <w:rPr>
                <w:sz w:val="20"/>
                <w:szCs w:val="20"/>
                <w:color w:val="auto"/>
              </w:rPr>
            </w:pPr>
            <w:r>
              <w:rPr>
                <w:rFonts w:ascii="Arial" w:cs="Arial" w:eastAsia="Arial" w:hAnsi="Arial"/>
                <w:sz w:val="18"/>
                <w:szCs w:val="18"/>
                <w:b w:val="1"/>
                <w:bCs w:val="1"/>
                <w:color w:val="FFFFFF"/>
              </w:rPr>
              <w:t>Strategic</w:t>
            </w:r>
          </w:p>
        </w:tc>
        <w:tc>
          <w:tcPr>
            <w:tcW w:w="9900" w:type="dxa"/>
            <w:vAlign w:val="bottom"/>
            <w:shd w:val="clear" w:color="auto" w:fill="BF2115"/>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340" w:type="dxa"/>
            <w:vAlign w:val="bottom"/>
            <w:vMerge w:val="restart"/>
          </w:tcPr>
          <w:p>
            <w:pPr>
              <w:ind w:left="20"/>
              <w:spacing w:after="0" w:line="281" w:lineRule="exact"/>
              <w:rPr>
                <w:sz w:val="20"/>
                <w:szCs w:val="20"/>
                <w:color w:val="auto"/>
              </w:rPr>
            </w:pPr>
            <w:r>
              <w:rPr>
                <w:rFonts w:ascii="MS PGothic" w:cs="MS PGothic" w:eastAsia="MS PGothic" w:hAnsi="MS PGothic"/>
                <w:sz w:val="28"/>
                <w:szCs w:val="28"/>
                <w:color w:val="auto"/>
                <w:shd w:val="clear" w:color="auto" w:fill="C00000"/>
              </w:rPr>
              <w:t>✓</w:t>
            </w:r>
          </w:p>
        </w:tc>
        <w:tc>
          <w:tcPr>
            <w:tcW w:w="9900" w:type="dxa"/>
            <w:vAlign w:val="bottom"/>
          </w:tcPr>
          <w:p>
            <w:pPr>
              <w:ind w:left="360"/>
              <w:spacing w:after="0"/>
              <w:rPr>
                <w:sz w:val="20"/>
                <w:szCs w:val="20"/>
                <w:color w:val="auto"/>
              </w:rPr>
            </w:pPr>
            <w:r>
              <w:rPr>
                <w:rFonts w:ascii="Arial" w:cs="Arial" w:eastAsia="Arial" w:hAnsi="Arial"/>
                <w:sz w:val="16"/>
                <w:szCs w:val="16"/>
                <w:b w:val="1"/>
                <w:bCs w:val="1"/>
                <w:i w:val="1"/>
                <w:iCs w:val="1"/>
                <w:color w:val="auto"/>
              </w:rPr>
              <w:t>Accelerating Profitable Growth, Driving Productivity and Operational Excellence and Empowering our People</w:t>
            </w:r>
          </w:p>
        </w:tc>
        <w:tc>
          <w:tcPr>
            <w:tcW w:w="0" w:type="dxa"/>
            <w:vAlign w:val="bottom"/>
          </w:tcPr>
          <w:p>
            <w:pPr>
              <w:spacing w:after="0"/>
              <w:rPr>
                <w:sz w:val="1"/>
                <w:szCs w:val="1"/>
                <w:color w:val="auto"/>
              </w:rPr>
            </w:pPr>
          </w:p>
        </w:tc>
      </w:tr>
      <w:tr>
        <w:trPr>
          <w:trHeight w:val="187"/>
        </w:trPr>
        <w:tc>
          <w:tcPr>
            <w:tcW w:w="1340" w:type="dxa"/>
            <w:vAlign w:val="bottom"/>
            <w:vMerge w:val="continue"/>
          </w:tcPr>
          <w:p>
            <w:pPr>
              <w:spacing w:after="0"/>
              <w:rPr>
                <w:sz w:val="16"/>
                <w:szCs w:val="16"/>
                <w:color w:val="auto"/>
              </w:rPr>
            </w:pPr>
          </w:p>
        </w:tc>
        <w:tc>
          <w:tcPr>
            <w:tcW w:w="9900" w:type="dxa"/>
            <w:vAlign w:val="bottom"/>
          </w:tcPr>
          <w:p>
            <w:pPr>
              <w:ind w:left="360"/>
              <w:spacing w:after="0"/>
              <w:rPr>
                <w:sz w:val="20"/>
                <w:szCs w:val="20"/>
                <w:color w:val="auto"/>
              </w:rPr>
            </w:pPr>
            <w:r>
              <w:rPr>
                <w:rFonts w:ascii="Arial" w:cs="Arial" w:eastAsia="Arial" w:hAnsi="Arial"/>
                <w:sz w:val="16"/>
                <w:szCs w:val="16"/>
                <w:color w:val="auto"/>
              </w:rPr>
              <w:t>Continued our key strategic priorities of accelerating profitable growth, driving productivity and operational excellence, and</w:t>
            </w:r>
          </w:p>
        </w:tc>
        <w:tc>
          <w:tcPr>
            <w:tcW w:w="0" w:type="dxa"/>
            <w:vAlign w:val="bottom"/>
          </w:tcPr>
          <w:p>
            <w:pPr>
              <w:spacing w:after="0"/>
              <w:rPr>
                <w:sz w:val="1"/>
                <w:szCs w:val="1"/>
                <w:color w:val="auto"/>
              </w:rPr>
            </w:pPr>
          </w:p>
        </w:tc>
      </w:tr>
      <w:tr>
        <w:trPr>
          <w:trHeight w:val="211"/>
        </w:trPr>
        <w:tc>
          <w:tcPr>
            <w:tcW w:w="1340" w:type="dxa"/>
            <w:vAlign w:val="bottom"/>
          </w:tcPr>
          <w:p>
            <w:pPr>
              <w:spacing w:after="0"/>
              <w:rPr>
                <w:sz w:val="18"/>
                <w:szCs w:val="18"/>
                <w:color w:val="auto"/>
              </w:rPr>
            </w:pPr>
          </w:p>
        </w:tc>
        <w:tc>
          <w:tcPr>
            <w:tcW w:w="9900" w:type="dxa"/>
            <w:vAlign w:val="bottom"/>
          </w:tcPr>
          <w:p>
            <w:pPr>
              <w:ind w:left="360"/>
              <w:spacing w:after="0"/>
              <w:rPr>
                <w:sz w:val="20"/>
                <w:szCs w:val="20"/>
                <w:color w:val="auto"/>
              </w:rPr>
            </w:pPr>
            <w:r>
              <w:rPr>
                <w:rFonts w:ascii="Arial" w:cs="Arial" w:eastAsia="Arial" w:hAnsi="Arial"/>
                <w:sz w:val="16"/>
                <w:szCs w:val="16"/>
                <w:color w:val="auto"/>
              </w:rPr>
              <w:t>empowering our people.</w:t>
            </w: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1">
            <w:col w:w="11240"/>
          </w:cols>
          <w:pgMar w:left="320" w:top="1157" w:right="339" w:bottom="1440" w:gutter="0" w:footer="0" w:header="0"/>
          <w:type w:val="continuous"/>
        </w:sectPr>
      </w:pPr>
    </w:p>
    <w:p>
      <w:pPr>
        <w:ind w:left="20"/>
        <w:spacing w:after="0" w:line="241" w:lineRule="exact"/>
        <w:rPr>
          <w:sz w:val="20"/>
          <w:szCs w:val="20"/>
          <w:color w:val="auto"/>
        </w:rPr>
      </w:pPr>
      <w:r>
        <w:rPr>
          <w:rFonts w:ascii="MS PGothic" w:cs="MS PGothic" w:eastAsia="MS PGothic" w:hAnsi="MS PGothic"/>
          <w:sz w:val="24"/>
          <w:szCs w:val="24"/>
          <w:color w:val="auto"/>
          <w:shd w:val="clear" w:color="auto" w:fill="C00000"/>
        </w:rPr>
        <w:t>✓</w:t>
      </w:r>
    </w:p>
    <w:p>
      <w:pPr>
        <w:spacing w:after="0" w:line="294" w:lineRule="exact"/>
        <w:rPr>
          <w:sz w:val="20"/>
          <w:szCs w:val="20"/>
          <w:color w:val="auto"/>
        </w:rPr>
      </w:pPr>
    </w:p>
    <w:p>
      <w:pPr>
        <w:ind w:left="20"/>
        <w:spacing w:after="0" w:line="241" w:lineRule="exact"/>
        <w:rPr>
          <w:sz w:val="20"/>
          <w:szCs w:val="20"/>
          <w:color w:val="auto"/>
        </w:rPr>
      </w:pPr>
      <w:r>
        <w:rPr>
          <w:rFonts w:ascii="MS PGothic" w:cs="MS PGothic" w:eastAsia="MS PGothic" w:hAnsi="MS PGothic"/>
          <w:sz w:val="24"/>
          <w:szCs w:val="24"/>
          <w:color w:val="auto"/>
          <w:shd w:val="clear" w:color="auto" w:fill="C00000"/>
        </w:rPr>
        <w:t>✓</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-142240</wp:posOffset>
            </wp:positionV>
            <wp:extent cx="7134225" cy="347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34734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We invested $162.3 million in R&amp;D initiatives.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Continued Focus on Alternative Power, Smart-Connected Products and Autonomous Solutions</w:t>
      </w:r>
    </w:p>
    <w:p>
      <w:pPr>
        <w:spacing w:after="0" w:line="30" w:lineRule="exact"/>
        <w:rPr>
          <w:sz w:val="20"/>
          <w:szCs w:val="20"/>
          <w:color w:val="auto"/>
        </w:rPr>
      </w:pPr>
    </w:p>
    <w:p>
      <w:pPr>
        <w:ind w:right="460"/>
        <w:spacing w:after="0" w:line="257" w:lineRule="auto"/>
        <w:rPr>
          <w:sz w:val="20"/>
          <w:szCs w:val="20"/>
          <w:color w:val="auto"/>
        </w:rPr>
      </w:pPr>
      <w:r>
        <w:rPr>
          <w:rFonts w:ascii="Arial" w:cs="Arial" w:eastAsia="Arial" w:hAnsi="Arial"/>
          <w:sz w:val="16"/>
          <w:szCs w:val="16"/>
          <w:color w:val="auto"/>
        </w:rPr>
        <w:t>Our creative, hard-working teams drove innovative advancements in technology, focusing on alternative power, smart-connected products and autonomous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53340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110" w:lineRule="exact"/>
        <w:rPr>
          <w:sz w:val="20"/>
          <w:szCs w:val="20"/>
          <w:color w:val="auto"/>
        </w:rPr>
      </w:pPr>
    </w:p>
    <w:p>
      <w:pPr>
        <w:sectPr>
          <w:pgSz w:w="11900" w:h="16838" w:orient="portrait"/>
          <w:cols w:equalWidth="0" w:num="2">
            <w:col w:w="980" w:space="720"/>
            <w:col w:w="9540"/>
          </w:cols>
          <w:pgMar w:left="320" w:top="1157" w:right="339" w:bottom="1440" w:gutter="0" w:footer="0" w:header="0"/>
          <w:type w:val="continuous"/>
        </w:sectPr>
      </w:pPr>
    </w:p>
    <w:p>
      <w:pPr>
        <w:ind w:left="180" w:right="20" w:hanging="156"/>
        <w:spacing w:after="0" w:line="216" w:lineRule="auto"/>
        <w:tabs>
          <w:tab w:leader="none" w:pos="12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Certain measures are non-GAAP. A reconciliation of these non-GAAP measures to their most comparable GAAP measures can be found in Appendix A hereto.</w:t>
      </w:r>
    </w:p>
    <w:p>
      <w:pPr>
        <w:sectPr>
          <w:pgSz w:w="11900" w:h="16838" w:orient="portrait"/>
          <w:cols w:equalWidth="0" w:num="1">
            <w:col w:w="11240"/>
          </w:cols>
          <w:pgMar w:left="320" w:top="115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type w:val="continuous"/>
        </w:sectPr>
      </w:pPr>
    </w:p>
    <w:bookmarkStart w:id="9" w:name="page10"/>
    <w:bookmarkEnd w:id="9"/>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The Toro Company's Commitment to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97790</wp:posOffset>
            </wp:positionV>
            <wp:extent cx="6955790" cy="14147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55790" cy="1414780"/>
                    </a:xfrm>
                    <a:prstGeom prst="rect">
                      <a:avLst/>
                    </a:prstGeom>
                    <a:noFill/>
                  </pic:spPr>
                </pic:pic>
              </a:graphicData>
            </a:graphic>
          </wp:anchor>
        </w:drawing>
      </w:r>
    </w:p>
    <w:p>
      <w:pPr>
        <w:spacing w:after="0" w:line="237" w:lineRule="exact"/>
        <w:rPr>
          <w:sz w:val="20"/>
          <w:szCs w:val="20"/>
          <w:color w:val="auto"/>
        </w:rPr>
      </w:pPr>
    </w:p>
    <w:p>
      <w:pPr>
        <w:ind w:left="400" w:hanging="215"/>
        <w:spacing w:after="0"/>
        <w:tabs>
          <w:tab w:leader="none" w:pos="400" w:val="left"/>
        </w:tabs>
        <w:numPr>
          <w:ilvl w:val="0"/>
          <w:numId w:val="8"/>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Deeply rooted in our purpose and strategic business priorities</w:t>
      </w:r>
    </w:p>
    <w:p>
      <w:pPr>
        <w:spacing w:after="0" w:line="70" w:lineRule="exact"/>
        <w:rPr>
          <w:rFonts w:ascii="MS PGothic" w:cs="MS PGothic" w:eastAsia="MS PGothic" w:hAnsi="MS PGothic"/>
          <w:sz w:val="20"/>
          <w:szCs w:val="20"/>
          <w:color w:val="auto"/>
          <w:shd w:val="clear" w:color="auto" w:fill="C00000"/>
        </w:rPr>
      </w:pPr>
    </w:p>
    <w:p>
      <w:pPr>
        <w:ind w:left="400" w:hanging="215"/>
        <w:spacing w:after="0"/>
        <w:tabs>
          <w:tab w:leader="none" w:pos="400" w:val="left"/>
        </w:tabs>
        <w:numPr>
          <w:ilvl w:val="0"/>
          <w:numId w:val="8"/>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Continue to advance our sustainability goals through our focus on Product, Process and People, facilitated by Planning</w:t>
      </w:r>
    </w:p>
    <w:p>
      <w:pPr>
        <w:spacing w:after="0" w:line="70" w:lineRule="exact"/>
        <w:rPr>
          <w:rFonts w:ascii="MS PGothic" w:cs="MS PGothic" w:eastAsia="MS PGothic" w:hAnsi="MS PGothic"/>
          <w:sz w:val="20"/>
          <w:szCs w:val="20"/>
          <w:color w:val="auto"/>
          <w:shd w:val="clear" w:color="auto" w:fill="C00000"/>
        </w:rPr>
      </w:pPr>
    </w:p>
    <w:p>
      <w:pPr>
        <w:ind w:left="400" w:hanging="215"/>
        <w:spacing w:after="0"/>
        <w:tabs>
          <w:tab w:leader="none" w:pos="400" w:val="left"/>
        </w:tabs>
        <w:numPr>
          <w:ilvl w:val="0"/>
          <w:numId w:val="8"/>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Demonstrate our commitment with an executive leadership role leading our efforts and enhancing our focus</w:t>
      </w:r>
    </w:p>
    <w:p>
      <w:pPr>
        <w:spacing w:after="0" w:line="70" w:lineRule="exact"/>
        <w:rPr>
          <w:rFonts w:ascii="MS PGothic" w:cs="MS PGothic" w:eastAsia="MS PGothic" w:hAnsi="MS PGothic"/>
          <w:sz w:val="20"/>
          <w:szCs w:val="20"/>
          <w:color w:val="auto"/>
          <w:shd w:val="clear" w:color="auto" w:fill="C00000"/>
        </w:rPr>
      </w:pPr>
    </w:p>
    <w:p>
      <w:pPr>
        <w:ind w:left="400" w:hanging="215"/>
        <w:spacing w:after="0"/>
        <w:tabs>
          <w:tab w:leader="none" w:pos="400" w:val="left"/>
        </w:tabs>
        <w:numPr>
          <w:ilvl w:val="0"/>
          <w:numId w:val="8"/>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Released our Fiscal 2024 Sustainability Report in June 2025</w:t>
      </w:r>
    </w:p>
    <w:p>
      <w:pPr>
        <w:spacing w:after="0" w:line="70" w:lineRule="exact"/>
        <w:rPr>
          <w:rFonts w:ascii="MS PGothic" w:cs="MS PGothic" w:eastAsia="MS PGothic" w:hAnsi="MS PGothic"/>
          <w:sz w:val="20"/>
          <w:szCs w:val="20"/>
          <w:color w:val="auto"/>
          <w:shd w:val="clear" w:color="auto" w:fill="C00000"/>
        </w:rPr>
      </w:pPr>
    </w:p>
    <w:p>
      <w:pPr>
        <w:ind w:left="340" w:right="520" w:hanging="155"/>
        <w:spacing w:after="0" w:line="249" w:lineRule="auto"/>
        <w:tabs>
          <w:tab w:leader="none" w:pos="403" w:val="left"/>
        </w:tabs>
        <w:numPr>
          <w:ilvl w:val="0"/>
          <w:numId w:val="8"/>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Our priorities are in alignment with six United Nations Sustainable Development Goals to address environmental and social issues globally</w:t>
      </w:r>
    </w:p>
    <w:p>
      <w:pPr>
        <w:spacing w:after="0" w:line="47" w:lineRule="exact"/>
        <w:rPr>
          <w:rFonts w:ascii="MS PGothic" w:cs="MS PGothic" w:eastAsia="MS PGothic" w:hAnsi="MS PGothic"/>
          <w:sz w:val="20"/>
          <w:szCs w:val="20"/>
          <w:color w:val="auto"/>
          <w:shd w:val="clear" w:color="auto" w:fill="C00000"/>
        </w:rPr>
      </w:pPr>
    </w:p>
    <w:p>
      <w:pPr>
        <w:ind w:left="340" w:right="200" w:hanging="155"/>
        <w:spacing w:after="0" w:line="274" w:lineRule="auto"/>
        <w:tabs>
          <w:tab w:leader="none" w:pos="403" w:val="left"/>
        </w:tabs>
        <w:numPr>
          <w:ilvl w:val="0"/>
          <w:numId w:val="8"/>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Conducted an ESG double materiality assessment and Environmental Scenario Analysis to engage internal and external stakeholders to confirm our sustainability priorities</w:t>
      </w:r>
    </w:p>
    <w:p>
      <w:pPr>
        <w:spacing w:after="0" w:line="124" w:lineRule="exact"/>
        <w:rPr>
          <w:sz w:val="20"/>
          <w:szCs w:val="20"/>
          <w:color w:val="auto"/>
        </w:rPr>
      </w:pPr>
    </w:p>
    <w:p>
      <w:pPr>
        <w:ind w:firstLine="99"/>
        <w:spacing w:after="0" w:line="262" w:lineRule="auto"/>
        <w:rPr>
          <w:sz w:val="20"/>
          <w:szCs w:val="20"/>
          <w:color w:val="auto"/>
        </w:rPr>
      </w:pPr>
      <w:r>
        <w:rPr>
          <w:rFonts w:ascii="Arial" w:cs="Arial" w:eastAsia="Arial" w:hAnsi="Arial"/>
          <w:sz w:val="18"/>
          <w:szCs w:val="18"/>
          <w:color w:val="auto"/>
        </w:rPr>
        <w:t>For additional information about our commitment to sustainability, please see our most recent Sustainability Report, which is available on our website at www.thetorocompany.com under the Sustainability tab.</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2026 Annual Meeting of Stockholders</w:t>
      </w:r>
    </w:p>
    <w:p>
      <w:pPr>
        <w:spacing w:after="0" w:line="134" w:lineRule="exact"/>
        <w:rPr>
          <w:sz w:val="20"/>
          <w:szCs w:val="20"/>
          <w:color w:val="auto"/>
        </w:rPr>
      </w:pPr>
    </w:p>
    <w:tbl>
      <w:tblPr>
        <w:tblLayout w:type="fixed"/>
        <w:tblInd w:w="630" w:type="dxa"/>
        <w:tblCellMar>
          <w:top w:w="0" w:type="dxa"/>
          <w:left w:w="0" w:type="dxa"/>
          <w:bottom w:w="0" w:type="dxa"/>
          <w:right w:w="0" w:type="dxa"/>
        </w:tblCellMar>
      </w:tblPr>
      <w:tr>
        <w:trPr>
          <w:trHeight w:val="330"/>
        </w:trPr>
        <w:tc>
          <w:tcPr>
            <w:tcW w:w="2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C00000"/>
                <w:w w:val="99"/>
              </w:rPr>
              <w:t>Date and Time</w:t>
            </w:r>
          </w:p>
        </w:tc>
        <w:tc>
          <w:tcPr>
            <w:tcW w:w="220" w:type="dxa"/>
            <w:vAlign w:val="bottom"/>
            <w:tcBorders>
              <w:right w:val="single" w:sz="8" w:color="auto"/>
            </w:tcBorders>
          </w:tcPr>
          <w:p>
            <w:pPr>
              <w:spacing w:after="0"/>
              <w:rPr>
                <w:sz w:val="24"/>
                <w:szCs w:val="24"/>
                <w:color w:val="auto"/>
              </w:rPr>
            </w:pPr>
          </w:p>
        </w:tc>
        <w:tc>
          <w:tcPr>
            <w:tcW w:w="4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C00000"/>
                <w:w w:val="98"/>
              </w:rPr>
              <w:t>Location</w:t>
            </w:r>
          </w:p>
        </w:tc>
        <w:tc>
          <w:tcPr>
            <w:tcW w:w="220" w:type="dxa"/>
            <w:vAlign w:val="bottom"/>
            <w:tcBorders>
              <w:right w:val="single" w:sz="8" w:color="auto"/>
            </w:tcBorders>
          </w:tcPr>
          <w:p>
            <w:pPr>
              <w:spacing w:after="0"/>
              <w:rPr>
                <w:sz w:val="24"/>
                <w:szCs w:val="24"/>
                <w:color w:val="auto"/>
              </w:rPr>
            </w:pP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C00000"/>
                <w:w w:val="98"/>
              </w:rPr>
              <w:t>Record Date</w:t>
            </w:r>
          </w:p>
        </w:tc>
      </w:tr>
      <w:tr>
        <w:trPr>
          <w:trHeight w:val="227"/>
        </w:trPr>
        <w:tc>
          <w:tcPr>
            <w:tcW w:w="2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Tuesday, March 17, 2026</w:t>
            </w:r>
          </w:p>
        </w:tc>
        <w:tc>
          <w:tcPr>
            <w:tcW w:w="220" w:type="dxa"/>
            <w:vAlign w:val="bottom"/>
            <w:tcBorders>
              <w:right w:val="single" w:sz="8" w:color="auto"/>
            </w:tcBorders>
          </w:tcPr>
          <w:p>
            <w:pPr>
              <w:spacing w:after="0"/>
              <w:rPr>
                <w:sz w:val="19"/>
                <w:szCs w:val="19"/>
                <w:color w:val="auto"/>
              </w:rPr>
            </w:pPr>
          </w:p>
        </w:tc>
        <w:tc>
          <w:tcPr>
            <w:tcW w:w="4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www.virtualshareholdermeeting.com/TTC2026</w:t>
            </w:r>
          </w:p>
        </w:tc>
        <w:tc>
          <w:tcPr>
            <w:tcW w:w="220" w:type="dxa"/>
            <w:vAlign w:val="bottom"/>
            <w:tcBorders>
              <w:right w:val="single" w:sz="8" w:color="auto"/>
            </w:tcBorders>
          </w:tcPr>
          <w:p>
            <w:pPr>
              <w:spacing w:after="0"/>
              <w:rPr>
                <w:sz w:val="19"/>
                <w:szCs w:val="19"/>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January 20, 2026</w:t>
            </w:r>
          </w:p>
        </w:tc>
      </w:tr>
      <w:tr>
        <w:trPr>
          <w:trHeight w:val="233"/>
        </w:trPr>
        <w:tc>
          <w:tcPr>
            <w:tcW w:w="2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2:00 p.m. CDT</w:t>
            </w:r>
          </w:p>
        </w:tc>
        <w:tc>
          <w:tcPr>
            <w:tcW w:w="2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r>
      <w:tr>
        <w:trPr>
          <w:trHeight w:val="51"/>
        </w:trPr>
        <w:tc>
          <w:tcPr>
            <w:tcW w:w="296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4800" w:type="dxa"/>
            <w:vAlign w:val="bottom"/>
            <w:tcBorders>
              <w:bottom w:val="single" w:sz="8" w:color="auto"/>
              <w:right w:val="single" w:sz="8" w:color="auto"/>
            </w:tcBorders>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Meeting Agenda, Voting Matters and Recommendations</w:t>
      </w:r>
    </w:p>
    <w:p>
      <w:pPr>
        <w:spacing w:after="0" w:line="134" w:lineRule="exact"/>
        <w:rPr>
          <w:sz w:val="20"/>
          <w:szCs w:val="20"/>
          <w:color w:val="auto"/>
        </w:rPr>
      </w:pPr>
    </w:p>
    <w:tbl>
      <w:tblPr>
        <w:tblLayout w:type="fixed"/>
        <w:tblInd w:w="130" w:type="dxa"/>
        <w:tblCellMar>
          <w:top w:w="0" w:type="dxa"/>
          <w:left w:w="0" w:type="dxa"/>
          <w:bottom w:w="0" w:type="dxa"/>
          <w:right w:w="0" w:type="dxa"/>
        </w:tblCellMar>
      </w:tblPr>
      <w:tr>
        <w:trPr>
          <w:trHeight w:val="293"/>
        </w:trPr>
        <w:tc>
          <w:tcPr>
            <w:tcW w:w="79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b w:val="1"/>
                <w:bCs w:val="1"/>
                <w:color w:val="C00000"/>
              </w:rPr>
              <w:t>Proposal One</w:t>
            </w:r>
          </w:p>
        </w:tc>
        <w:tc>
          <w:tcPr>
            <w:tcW w:w="6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vMerge w:val="restart"/>
          </w:tcPr>
          <w:p>
            <w:pPr>
              <w:ind w:left="160"/>
              <w:spacing w:after="0"/>
              <w:rPr>
                <w:sz w:val="20"/>
                <w:szCs w:val="20"/>
                <w:color w:val="auto"/>
              </w:rPr>
            </w:pPr>
            <w:r>
              <w:rPr>
                <w:rFonts w:ascii="Arial" w:cs="Arial" w:eastAsia="Arial" w:hAnsi="Arial"/>
                <w:sz w:val="18"/>
                <w:szCs w:val="18"/>
                <w:color w:val="auto"/>
              </w:rPr>
              <w:t>FOR</w:t>
            </w:r>
          </w:p>
        </w:tc>
        <w:tc>
          <w:tcPr>
            <w:tcW w:w="114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Page 2</w:t>
            </w:r>
          </w:p>
        </w:tc>
        <w:tc>
          <w:tcPr>
            <w:tcW w:w="0" w:type="dxa"/>
            <w:vAlign w:val="bottom"/>
          </w:tcPr>
          <w:p>
            <w:pPr>
              <w:spacing w:after="0"/>
              <w:rPr>
                <w:sz w:val="1"/>
                <w:szCs w:val="1"/>
                <w:color w:val="auto"/>
              </w:rPr>
            </w:pPr>
          </w:p>
        </w:tc>
      </w:tr>
      <w:tr>
        <w:trPr>
          <w:trHeight w:val="81"/>
        </w:trPr>
        <w:tc>
          <w:tcPr>
            <w:tcW w:w="796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Election of directors: Dianne C. Craig, Eric P. Hansotia and D. Christian Koch for a term of three</w:t>
            </w:r>
          </w:p>
        </w:tc>
        <w:tc>
          <w:tcPr>
            <w:tcW w:w="6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1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7960" w:type="dxa"/>
            <w:vAlign w:val="bottom"/>
            <w:tcBorders>
              <w:left w:val="single" w:sz="8" w:color="auto"/>
            </w:tcBorders>
            <w:vMerge w:val="continue"/>
          </w:tcPr>
          <w:p>
            <w:pPr>
              <w:spacing w:after="0"/>
              <w:rPr>
                <w:sz w:val="12"/>
                <w:szCs w:val="12"/>
                <w:color w:val="auto"/>
              </w:rPr>
            </w:pPr>
          </w:p>
        </w:tc>
        <w:tc>
          <w:tcPr>
            <w:tcW w:w="1920" w:type="dxa"/>
            <w:vAlign w:val="bottom"/>
            <w:gridSpan w:val="2"/>
            <w:vMerge w:val="restart"/>
          </w:tcPr>
          <w:p>
            <w:pPr>
              <w:ind w:left="20"/>
              <w:spacing w:after="0" w:line="413" w:lineRule="exact"/>
              <w:rPr>
                <w:sz w:val="20"/>
                <w:szCs w:val="20"/>
                <w:color w:val="auto"/>
              </w:rPr>
            </w:pPr>
            <w:r>
              <w:rPr>
                <w:rFonts w:ascii="MS PGothic" w:cs="MS PGothic" w:eastAsia="MS PGothic" w:hAnsi="MS PGothic"/>
                <w:sz w:val="47"/>
                <w:szCs w:val="47"/>
                <w:color w:val="C00000"/>
              </w:rPr>
              <w:t>☑</w:t>
            </w:r>
            <w:r>
              <w:rPr>
                <w:rFonts w:ascii="Arial" w:cs="Arial" w:eastAsia="Arial" w:hAnsi="Arial"/>
                <w:sz w:val="17"/>
                <w:szCs w:val="17"/>
                <w:color w:val="auto"/>
              </w:rPr>
              <w:t xml:space="preserve"> each nominee</w:t>
            </w:r>
          </w:p>
        </w:tc>
        <w:tc>
          <w:tcPr>
            <w:tcW w:w="11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7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years ending at the 2029 Annual Meeting of Stockholders.</w:t>
            </w:r>
          </w:p>
        </w:tc>
        <w:tc>
          <w:tcPr>
            <w:tcW w:w="1920" w:type="dxa"/>
            <w:vAlign w:val="bottom"/>
            <w:tcBorders>
              <w:bottom w:val="single" w:sz="8" w:color="auto"/>
            </w:tcBorders>
            <w:gridSpan w:val="2"/>
            <w:vMerge w:val="continue"/>
          </w:tcPr>
          <w:p>
            <w:pPr>
              <w:spacing w:after="0"/>
              <w:rPr>
                <w:sz w:val="23"/>
                <w:szCs w:val="23"/>
                <w:color w:val="auto"/>
              </w:rPr>
            </w:pPr>
          </w:p>
        </w:tc>
        <w:tc>
          <w:tcPr>
            <w:tcW w:w="11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79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3"/>
        </w:trPr>
        <w:tc>
          <w:tcPr>
            <w:tcW w:w="79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C00000"/>
              </w:rPr>
              <w:t>Proposal Two</w:t>
            </w:r>
          </w:p>
        </w:tc>
        <w:tc>
          <w:tcPr>
            <w:tcW w:w="620" w:type="dxa"/>
            <w:vAlign w:val="bottom"/>
            <w:vMerge w:val="restart"/>
          </w:tcPr>
          <w:p>
            <w:pPr>
              <w:ind w:left="20"/>
              <w:spacing w:after="0" w:line="501" w:lineRule="exact"/>
              <w:rPr>
                <w:sz w:val="20"/>
                <w:szCs w:val="20"/>
                <w:color w:val="auto"/>
              </w:rPr>
            </w:pPr>
            <w:r>
              <w:rPr>
                <w:rFonts w:ascii="MS PGothic" w:cs="MS PGothic" w:eastAsia="MS PGothic" w:hAnsi="MS PGothic"/>
                <w:sz w:val="50"/>
                <w:szCs w:val="50"/>
                <w:color w:val="C00000"/>
              </w:rPr>
              <w:t>☑</w:t>
            </w:r>
          </w:p>
        </w:tc>
        <w:tc>
          <w:tcPr>
            <w:tcW w:w="130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79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Ratification of the selection of KPMG LLP as our independent registered public accounting firm for</w:t>
            </w:r>
          </w:p>
        </w:tc>
        <w:tc>
          <w:tcPr>
            <w:tcW w:w="620" w:type="dxa"/>
            <w:vAlign w:val="bottom"/>
            <w:vMerge w:val="continue"/>
          </w:tcPr>
          <w:p>
            <w:pPr>
              <w:spacing w:after="0"/>
              <w:rPr>
                <w:sz w:val="19"/>
                <w:szCs w:val="19"/>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FOR</w:t>
            </w:r>
          </w:p>
        </w:tc>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Page 24</w:t>
            </w:r>
          </w:p>
        </w:tc>
        <w:tc>
          <w:tcPr>
            <w:tcW w:w="0" w:type="dxa"/>
            <w:vAlign w:val="bottom"/>
          </w:tcPr>
          <w:p>
            <w:pPr>
              <w:spacing w:after="0"/>
              <w:rPr>
                <w:sz w:val="1"/>
                <w:szCs w:val="1"/>
                <w:color w:val="auto"/>
              </w:rPr>
            </w:pPr>
          </w:p>
        </w:tc>
      </w:tr>
      <w:tr>
        <w:trPr>
          <w:trHeight w:val="310"/>
        </w:trPr>
        <w:tc>
          <w:tcPr>
            <w:tcW w:w="7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our fiscal year ending October 31, 2026.</w:t>
            </w:r>
          </w:p>
        </w:tc>
        <w:tc>
          <w:tcPr>
            <w:tcW w:w="620" w:type="dxa"/>
            <w:vAlign w:val="bottom"/>
            <w:tcBorders>
              <w:bottom w:val="single" w:sz="8" w:color="auto"/>
            </w:tcBorders>
            <w:vMerge w:val="continue"/>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79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79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C00000"/>
              </w:rPr>
              <w:t>Proposal Three</w:t>
            </w:r>
          </w:p>
        </w:tc>
        <w:tc>
          <w:tcPr>
            <w:tcW w:w="1920" w:type="dxa"/>
            <w:vAlign w:val="bottom"/>
            <w:gridSpan w:val="2"/>
            <w:vMerge w:val="restart"/>
          </w:tcPr>
          <w:p>
            <w:pPr>
              <w:ind w:left="20"/>
              <w:spacing w:after="0" w:line="564" w:lineRule="exact"/>
              <w:rPr>
                <w:sz w:val="20"/>
                <w:szCs w:val="20"/>
                <w:color w:val="auto"/>
              </w:rPr>
            </w:pPr>
            <w:r>
              <w:rPr>
                <w:rFonts w:ascii="MS PGothic" w:cs="MS PGothic" w:eastAsia="MS PGothic" w:hAnsi="MS PGothic"/>
                <w:sz w:val="49"/>
                <w:szCs w:val="49"/>
                <w:color w:val="C00000"/>
              </w:rPr>
              <w:t>☑</w:t>
            </w:r>
            <w:r>
              <w:rPr>
                <w:rFonts w:ascii="Arial" w:cs="Arial" w:eastAsia="Arial" w:hAnsi="Arial"/>
                <w:sz w:val="18"/>
                <w:szCs w:val="18"/>
                <w:color w:val="auto"/>
              </w:rPr>
              <w:t xml:space="preserve"> FOR</w:t>
            </w:r>
          </w:p>
        </w:tc>
        <w:tc>
          <w:tcPr>
            <w:tcW w:w="11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Page 27</w:t>
            </w:r>
          </w:p>
        </w:tc>
        <w:tc>
          <w:tcPr>
            <w:tcW w:w="0" w:type="dxa"/>
            <w:vAlign w:val="bottom"/>
          </w:tcPr>
          <w:p>
            <w:pPr>
              <w:spacing w:after="0"/>
              <w:rPr>
                <w:sz w:val="1"/>
                <w:szCs w:val="1"/>
                <w:color w:val="auto"/>
              </w:rPr>
            </w:pPr>
          </w:p>
        </w:tc>
      </w:tr>
      <w:tr>
        <w:trPr>
          <w:trHeight w:val="310"/>
        </w:trPr>
        <w:tc>
          <w:tcPr>
            <w:tcW w:w="7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Approval of, on an advisory basis, our executive compensation.</w:t>
            </w:r>
          </w:p>
        </w:tc>
        <w:tc>
          <w:tcPr>
            <w:tcW w:w="1920" w:type="dxa"/>
            <w:vAlign w:val="bottom"/>
            <w:tcBorders>
              <w:bottom w:val="single" w:sz="8" w:color="auto"/>
            </w:tcBorders>
            <w:gridSpan w:val="2"/>
            <w:vMerge w:val="continue"/>
          </w:tcPr>
          <w:p>
            <w:pPr>
              <w:spacing w:after="0"/>
              <w:rPr>
                <w:sz w:val="24"/>
                <w:szCs w:val="24"/>
                <w:color w:val="auto"/>
              </w:rPr>
            </w:pPr>
          </w:p>
        </w:tc>
        <w:tc>
          <w:tcPr>
            <w:tcW w:w="1140" w:type="dxa"/>
            <w:vAlign w:val="bottom"/>
            <w:tcBorders>
              <w:bottom w:val="single" w:sz="8" w:color="auto"/>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79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0"/>
        </w:trPr>
        <w:tc>
          <w:tcPr>
            <w:tcW w:w="79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C00000"/>
              </w:rPr>
              <w:t>Proposal Four</w:t>
            </w:r>
          </w:p>
        </w:tc>
        <w:tc>
          <w:tcPr>
            <w:tcW w:w="1920" w:type="dxa"/>
            <w:vAlign w:val="bottom"/>
            <w:gridSpan w:val="2"/>
            <w:vMerge w:val="restart"/>
          </w:tcPr>
          <w:p>
            <w:pPr>
              <w:ind w:left="20"/>
              <w:spacing w:after="0" w:line="564" w:lineRule="exact"/>
              <w:rPr>
                <w:sz w:val="20"/>
                <w:szCs w:val="20"/>
                <w:color w:val="auto"/>
              </w:rPr>
            </w:pPr>
            <w:r>
              <w:rPr>
                <w:rFonts w:ascii="MS PGothic" w:cs="MS PGothic" w:eastAsia="MS PGothic" w:hAnsi="MS PGothic"/>
                <w:sz w:val="49"/>
                <w:szCs w:val="49"/>
                <w:color w:val="C00000"/>
              </w:rPr>
              <w:t>☑</w:t>
            </w:r>
            <w:r>
              <w:rPr>
                <w:rFonts w:ascii="Arial" w:cs="Arial" w:eastAsia="Arial" w:hAnsi="Arial"/>
                <w:sz w:val="18"/>
                <w:szCs w:val="18"/>
                <w:color w:val="auto"/>
              </w:rPr>
              <w:t xml:space="preserve"> FOR</w:t>
            </w:r>
          </w:p>
        </w:tc>
        <w:tc>
          <w:tcPr>
            <w:tcW w:w="11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Page 68</w:t>
            </w:r>
          </w:p>
        </w:tc>
        <w:tc>
          <w:tcPr>
            <w:tcW w:w="0" w:type="dxa"/>
            <w:vAlign w:val="bottom"/>
          </w:tcPr>
          <w:p>
            <w:pPr>
              <w:spacing w:after="0"/>
              <w:rPr>
                <w:sz w:val="1"/>
                <w:szCs w:val="1"/>
                <w:color w:val="auto"/>
              </w:rPr>
            </w:pPr>
          </w:p>
        </w:tc>
      </w:tr>
      <w:tr>
        <w:trPr>
          <w:trHeight w:val="321"/>
        </w:trPr>
        <w:tc>
          <w:tcPr>
            <w:tcW w:w="7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Approval The Toro Company 2026 Equity Plan.</w:t>
            </w:r>
          </w:p>
        </w:tc>
        <w:tc>
          <w:tcPr>
            <w:tcW w:w="1920" w:type="dxa"/>
            <w:vAlign w:val="bottom"/>
            <w:tcBorders>
              <w:bottom w:val="single" w:sz="8" w:color="auto"/>
            </w:tcBorders>
            <w:gridSpan w:val="2"/>
            <w:vMerge w:val="continue"/>
          </w:tcPr>
          <w:p>
            <w:pPr>
              <w:spacing w:after="0"/>
              <w:rPr>
                <w:sz w:val="24"/>
                <w:szCs w:val="24"/>
                <w:color w:val="auto"/>
              </w:rPr>
            </w:pPr>
          </w:p>
        </w:tc>
        <w:tc>
          <w:tcPr>
            <w:tcW w:w="1140" w:type="dxa"/>
            <w:vAlign w:val="bottom"/>
            <w:tcBorders>
              <w:bottom w:val="single" w:sz="8" w:color="auto"/>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79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79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C00000"/>
              </w:rPr>
              <w:t>Proposal Five</w:t>
            </w:r>
          </w:p>
        </w:tc>
        <w:tc>
          <w:tcPr>
            <w:tcW w:w="620" w:type="dxa"/>
            <w:vAlign w:val="bottom"/>
            <w:vMerge w:val="restart"/>
          </w:tcPr>
          <w:p>
            <w:pPr>
              <w:ind w:left="20"/>
              <w:spacing w:after="0" w:line="501" w:lineRule="exact"/>
              <w:rPr>
                <w:sz w:val="20"/>
                <w:szCs w:val="20"/>
                <w:color w:val="auto"/>
              </w:rPr>
            </w:pPr>
            <w:r>
              <w:rPr>
                <w:rFonts w:ascii="MS PGothic" w:cs="MS PGothic" w:eastAsia="MS PGothic" w:hAnsi="MS PGothic"/>
                <w:sz w:val="50"/>
                <w:szCs w:val="50"/>
                <w:color w:val="C00000"/>
              </w:rPr>
              <w:t>☑</w:t>
            </w:r>
          </w:p>
        </w:tc>
        <w:tc>
          <w:tcPr>
            <w:tcW w:w="1300" w:type="dxa"/>
            <w:vAlign w:val="bottom"/>
            <w:vMerge w:val="restart"/>
          </w:tcPr>
          <w:p>
            <w:pPr>
              <w:ind w:left="160"/>
              <w:spacing w:after="0"/>
              <w:rPr>
                <w:sz w:val="20"/>
                <w:szCs w:val="20"/>
                <w:color w:val="auto"/>
              </w:rPr>
            </w:pPr>
            <w:r>
              <w:rPr>
                <w:rFonts w:ascii="Arial" w:cs="Arial" w:eastAsia="Arial" w:hAnsi="Arial"/>
                <w:sz w:val="18"/>
                <w:szCs w:val="18"/>
                <w:color w:val="auto"/>
              </w:rPr>
              <w:t>FOR</w:t>
            </w:r>
          </w:p>
        </w:tc>
        <w:tc>
          <w:tcPr>
            <w:tcW w:w="11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Page 81</w:t>
            </w:r>
          </w:p>
        </w:tc>
        <w:tc>
          <w:tcPr>
            <w:tcW w:w="0" w:type="dxa"/>
            <w:vAlign w:val="bottom"/>
          </w:tcPr>
          <w:p>
            <w:pPr>
              <w:spacing w:after="0"/>
              <w:rPr>
                <w:sz w:val="1"/>
                <w:szCs w:val="1"/>
                <w:color w:val="auto"/>
              </w:rPr>
            </w:pPr>
          </w:p>
        </w:tc>
      </w:tr>
      <w:tr>
        <w:trPr>
          <w:trHeight w:val="213"/>
        </w:trPr>
        <w:tc>
          <w:tcPr>
            <w:tcW w:w="79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Approval of an amendment to the Company's Restated Certificate of Incorporation to eliminate and</w:t>
            </w:r>
          </w:p>
        </w:tc>
        <w:tc>
          <w:tcPr>
            <w:tcW w:w="6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1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limit the liability of officers as provided under Delaware Law.</w:t>
            </w:r>
          </w:p>
        </w:tc>
        <w:tc>
          <w:tcPr>
            <w:tcW w:w="620" w:type="dxa"/>
            <w:vAlign w:val="bottom"/>
            <w:tcBorders>
              <w:bottom w:val="single" w:sz="8" w:color="auto"/>
            </w:tcBorders>
            <w:vMerge w:val="continue"/>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1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7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79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C00000"/>
              </w:rPr>
              <w:t>Proposal Six</w:t>
            </w:r>
          </w:p>
        </w:tc>
        <w:tc>
          <w:tcPr>
            <w:tcW w:w="620" w:type="dxa"/>
            <w:vAlign w:val="bottom"/>
            <w:vMerge w:val="restart"/>
          </w:tcPr>
          <w:p>
            <w:pPr>
              <w:ind w:left="20"/>
              <w:spacing w:after="0" w:line="501" w:lineRule="exact"/>
              <w:rPr>
                <w:sz w:val="20"/>
                <w:szCs w:val="20"/>
                <w:color w:val="auto"/>
              </w:rPr>
            </w:pPr>
            <w:r>
              <w:rPr>
                <w:rFonts w:ascii="MS PGothic" w:cs="MS PGothic" w:eastAsia="MS PGothic" w:hAnsi="MS PGothic"/>
                <w:sz w:val="50"/>
                <w:szCs w:val="50"/>
                <w:color w:val="C00000"/>
              </w:rPr>
              <w:t>☑</w:t>
            </w:r>
          </w:p>
        </w:tc>
        <w:tc>
          <w:tcPr>
            <w:tcW w:w="1300" w:type="dxa"/>
            <w:vAlign w:val="bottom"/>
            <w:vMerge w:val="restart"/>
          </w:tcPr>
          <w:p>
            <w:pPr>
              <w:ind w:left="160"/>
              <w:spacing w:after="0"/>
              <w:rPr>
                <w:sz w:val="20"/>
                <w:szCs w:val="20"/>
                <w:color w:val="auto"/>
              </w:rPr>
            </w:pPr>
            <w:r>
              <w:rPr>
                <w:rFonts w:ascii="Arial" w:cs="Arial" w:eastAsia="Arial" w:hAnsi="Arial"/>
                <w:sz w:val="18"/>
                <w:szCs w:val="18"/>
                <w:color w:val="auto"/>
              </w:rPr>
              <w:t>FOR</w:t>
            </w:r>
          </w:p>
        </w:tc>
        <w:tc>
          <w:tcPr>
            <w:tcW w:w="11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Page 83</w:t>
            </w:r>
          </w:p>
        </w:tc>
        <w:tc>
          <w:tcPr>
            <w:tcW w:w="0" w:type="dxa"/>
            <w:vAlign w:val="bottom"/>
          </w:tcPr>
          <w:p>
            <w:pPr>
              <w:spacing w:after="0"/>
              <w:rPr>
                <w:sz w:val="1"/>
                <w:szCs w:val="1"/>
                <w:color w:val="auto"/>
              </w:rPr>
            </w:pPr>
          </w:p>
        </w:tc>
      </w:tr>
      <w:tr>
        <w:trPr>
          <w:trHeight w:val="213"/>
        </w:trPr>
        <w:tc>
          <w:tcPr>
            <w:tcW w:w="79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8"/>
              </w:rPr>
              <w:t>Approval of an amendment to the Company's Restated Certificate of Incorporation to change the par</w:t>
            </w:r>
          </w:p>
        </w:tc>
        <w:tc>
          <w:tcPr>
            <w:tcW w:w="6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1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value of all capital stock from $1.00 to $0.01 per share.</w:t>
            </w:r>
          </w:p>
        </w:tc>
        <w:tc>
          <w:tcPr>
            <w:tcW w:w="620" w:type="dxa"/>
            <w:vAlign w:val="bottom"/>
            <w:tcBorders>
              <w:bottom w:val="single" w:sz="8" w:color="auto"/>
            </w:tcBorders>
            <w:vMerge w:val="continue"/>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1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to Cast Your Vote</w:t>
      </w:r>
    </w:p>
    <w:p>
      <w:pPr>
        <w:spacing w:after="0" w:line="108" w:lineRule="exact"/>
        <w:rPr>
          <w:sz w:val="20"/>
          <w:szCs w:val="20"/>
          <w:color w:val="auto"/>
        </w:rPr>
      </w:pPr>
    </w:p>
    <w:p>
      <w:pPr>
        <w:ind w:right="160" w:firstLine="640"/>
        <w:spacing w:after="0" w:line="264" w:lineRule="auto"/>
        <w:rPr>
          <w:sz w:val="20"/>
          <w:szCs w:val="20"/>
          <w:color w:val="auto"/>
        </w:rPr>
      </w:pPr>
      <w:r>
        <w:rPr>
          <w:rFonts w:ascii="Arial" w:cs="Arial" w:eastAsia="Arial" w:hAnsi="Arial"/>
          <w:sz w:val="18"/>
          <w:szCs w:val="18"/>
          <w:b w:val="1"/>
          <w:bCs w:val="1"/>
          <w:color w:val="auto"/>
        </w:rPr>
        <w:t xml:space="preserve">Your vote is important! </w:t>
      </w:r>
      <w:r>
        <w:rPr>
          <w:rFonts w:ascii="Arial" w:cs="Arial" w:eastAsia="Arial" w:hAnsi="Arial"/>
          <w:sz w:val="18"/>
          <w:szCs w:val="18"/>
          <w:color w:val="auto"/>
        </w:rPr>
        <w:t>Please vote your shares promptly using one of the methods listed below. See page 91 for additional voting</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w:t>
      </w:r>
    </w:p>
    <w:p>
      <w:pPr>
        <w:sectPr>
          <w:pgSz w:w="11900" w:h="16838" w:orient="portrait"/>
          <w:cols w:equalWidth="0" w:num="1">
            <w:col w:w="11140"/>
          </w:cols>
          <w:pgMar w:left="320"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86995</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type w:val="continuous"/>
        </w:sectPr>
      </w:pPr>
    </w:p>
    <w:bookmarkStart w:id="10" w:name="page11"/>
    <w:bookmarkEnd w:id="10"/>
    <w:tbl>
      <w:tblPr>
        <w:tblLayout w:type="fixed"/>
        <w:tblInd w:w="10" w:type="dxa"/>
        <w:tblCellMar>
          <w:top w:w="0" w:type="dxa"/>
          <w:left w:w="0" w:type="dxa"/>
          <w:bottom w:w="0" w:type="dxa"/>
          <w:right w:w="0" w:type="dxa"/>
        </w:tblCellMar>
      </w:tblPr>
      <w:tr>
        <w:trPr>
          <w:trHeight w:val="254"/>
        </w:trPr>
        <w:tc>
          <w:tcPr>
            <w:tcW w:w="2140" w:type="dxa"/>
            <w:vAlign w:val="bottom"/>
            <w:tcBorders>
              <w:top w:val="single" w:sz="8" w:color="auto"/>
              <w:left w:val="single" w:sz="8" w:color="auto"/>
              <w:right w:val="single" w:sz="8" w:color="auto"/>
            </w:tcBorders>
            <w:shd w:val="clear" w:color="auto" w:fill="DBDBDB"/>
          </w:tcPr>
          <w:p>
            <w:pPr>
              <w:ind w:left="60"/>
              <w:spacing w:after="0"/>
              <w:rPr>
                <w:sz w:val="20"/>
                <w:szCs w:val="20"/>
                <w:color w:val="auto"/>
              </w:rPr>
            </w:pPr>
            <w:r>
              <w:rPr>
                <w:rFonts w:ascii="Arial" w:cs="Arial" w:eastAsia="Arial" w:hAnsi="Arial"/>
                <w:sz w:val="18"/>
                <w:szCs w:val="18"/>
                <w:b w:val="1"/>
                <w:bCs w:val="1"/>
                <w:color w:val="BF2115"/>
              </w:rPr>
              <w:t>By Internet</w:t>
            </w:r>
          </w:p>
        </w:tc>
        <w:tc>
          <w:tcPr>
            <w:tcW w:w="120" w:type="dxa"/>
            <w:vAlign w:val="bottom"/>
            <w:tcBorders>
              <w:right w:val="single" w:sz="8" w:color="auto"/>
            </w:tcBorders>
          </w:tcPr>
          <w:p>
            <w:pPr>
              <w:spacing w:after="0"/>
              <w:rPr>
                <w:sz w:val="22"/>
                <w:szCs w:val="22"/>
                <w:color w:val="auto"/>
              </w:rPr>
            </w:pPr>
          </w:p>
        </w:tc>
        <w:tc>
          <w:tcPr>
            <w:tcW w:w="11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BF2115"/>
              </w:rPr>
              <w:t>By Phone</w:t>
            </w:r>
          </w:p>
        </w:tc>
        <w:tc>
          <w:tcPr>
            <w:tcW w:w="120" w:type="dxa"/>
            <w:vAlign w:val="bottom"/>
            <w:tcBorders>
              <w:right w:val="single" w:sz="8" w:color="auto"/>
            </w:tcBorders>
          </w:tcPr>
          <w:p>
            <w:pPr>
              <w:spacing w:after="0"/>
              <w:rPr>
                <w:sz w:val="22"/>
                <w:szCs w:val="22"/>
                <w:color w:val="auto"/>
              </w:rPr>
            </w:pPr>
          </w:p>
        </w:tc>
        <w:tc>
          <w:tcPr>
            <w:tcW w:w="1200" w:type="dxa"/>
            <w:vAlign w:val="bottom"/>
            <w:tcBorders>
              <w:top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8"/>
                <w:szCs w:val="18"/>
                <w:b w:val="1"/>
                <w:bCs w:val="1"/>
                <w:color w:val="BF2115"/>
              </w:rPr>
              <w:t>By Mail</w:t>
            </w:r>
          </w:p>
        </w:tc>
        <w:tc>
          <w:tcPr>
            <w:tcW w:w="120" w:type="dxa"/>
            <w:vAlign w:val="bottom"/>
            <w:tcBorders>
              <w:right w:val="single" w:sz="8" w:color="auto"/>
            </w:tcBorders>
          </w:tcPr>
          <w:p>
            <w:pPr>
              <w:spacing w:after="0"/>
              <w:rPr>
                <w:sz w:val="22"/>
                <w:szCs w:val="22"/>
                <w:color w:val="auto"/>
              </w:rPr>
            </w:pPr>
          </w:p>
        </w:tc>
        <w:tc>
          <w:tcPr>
            <w:tcW w:w="12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BF2115"/>
              </w:rPr>
              <w:t>By Mobile</w:t>
            </w:r>
          </w:p>
        </w:tc>
        <w:tc>
          <w:tcPr>
            <w:tcW w:w="120" w:type="dxa"/>
            <w:vAlign w:val="bottom"/>
            <w:tcBorders>
              <w:right w:val="single" w:sz="8" w:color="auto"/>
            </w:tcBorders>
          </w:tcPr>
          <w:p>
            <w:pPr>
              <w:spacing w:after="0"/>
              <w:rPr>
                <w:sz w:val="22"/>
                <w:szCs w:val="22"/>
                <w:color w:val="auto"/>
              </w:rPr>
            </w:pPr>
          </w:p>
        </w:tc>
        <w:tc>
          <w:tcPr>
            <w:tcW w:w="5120" w:type="dxa"/>
            <w:vAlign w:val="bottom"/>
            <w:tcBorders>
              <w:top w:val="single" w:sz="8" w:color="auto"/>
              <w:right w:val="single" w:sz="8" w:color="auto"/>
            </w:tcBorders>
            <w:shd w:val="clear" w:color="auto" w:fill="DBDBDB"/>
          </w:tcPr>
          <w:p>
            <w:pPr>
              <w:spacing w:after="0"/>
              <w:rPr>
                <w:sz w:val="20"/>
                <w:szCs w:val="20"/>
                <w:color w:val="auto"/>
              </w:rPr>
            </w:pPr>
            <w:r>
              <w:rPr>
                <w:rFonts w:ascii="Arial" w:cs="Arial" w:eastAsia="Arial" w:hAnsi="Arial"/>
                <w:sz w:val="18"/>
                <w:szCs w:val="18"/>
                <w:b w:val="1"/>
                <w:bCs w:val="1"/>
                <w:color w:val="BF2115"/>
              </w:rPr>
              <w:t>By Attending the Meeting Virtually</w:t>
            </w:r>
          </w:p>
        </w:tc>
        <w:tc>
          <w:tcPr>
            <w:tcW w:w="0" w:type="dxa"/>
            <w:vAlign w:val="bottom"/>
          </w:tcPr>
          <w:p>
            <w:pPr>
              <w:spacing w:after="0"/>
              <w:rPr>
                <w:sz w:val="1"/>
                <w:szCs w:val="1"/>
                <w:color w:val="auto"/>
              </w:rPr>
            </w:pPr>
          </w:p>
        </w:tc>
      </w:tr>
      <w:tr>
        <w:trPr>
          <w:trHeight w:val="263"/>
        </w:trPr>
        <w:tc>
          <w:tcPr>
            <w:tcW w:w="2140" w:type="dxa"/>
            <w:vAlign w:val="bottom"/>
            <w:tcBorders>
              <w:left w:val="single" w:sz="8" w:color="auto"/>
              <w:right w:val="single" w:sz="8" w:color="auto"/>
            </w:tcBorders>
            <w:shd w:val="clear" w:color="auto" w:fill="DBDBDB"/>
          </w:tcPr>
          <w:p>
            <w:pPr>
              <w:ind w:left="60"/>
              <w:spacing w:after="0"/>
              <w:rPr>
                <w:sz w:val="20"/>
                <w:szCs w:val="20"/>
                <w:color w:val="auto"/>
              </w:rPr>
            </w:pPr>
            <w:r>
              <w:rPr>
                <w:rFonts w:ascii="Arial" w:cs="Arial" w:eastAsia="Arial" w:hAnsi="Arial"/>
                <w:sz w:val="18"/>
                <w:szCs w:val="18"/>
                <w:color w:val="auto"/>
              </w:rPr>
              <w:t>Go to</w:t>
            </w:r>
          </w:p>
        </w:tc>
        <w:tc>
          <w:tcPr>
            <w:tcW w:w="120" w:type="dxa"/>
            <w:vAlign w:val="bottom"/>
            <w:tcBorders>
              <w:right w:val="single" w:sz="8" w:color="auto"/>
            </w:tcBorders>
          </w:tcPr>
          <w:p>
            <w:pPr>
              <w:spacing w:after="0"/>
              <w:rPr>
                <w:sz w:val="22"/>
                <w:szCs w:val="22"/>
                <w:color w:val="auto"/>
              </w:rPr>
            </w:pP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Call</w:t>
            </w:r>
          </w:p>
        </w:tc>
        <w:tc>
          <w:tcPr>
            <w:tcW w:w="120" w:type="dxa"/>
            <w:vAlign w:val="bottom"/>
            <w:tcBorders>
              <w:right w:val="single" w:sz="8" w:color="auto"/>
            </w:tcBorders>
          </w:tcPr>
          <w:p>
            <w:pPr>
              <w:spacing w:after="0"/>
              <w:rPr>
                <w:sz w:val="22"/>
                <w:szCs w:val="22"/>
                <w:color w:val="auto"/>
              </w:rPr>
            </w:pPr>
          </w:p>
        </w:tc>
        <w:tc>
          <w:tcPr>
            <w:tcW w:w="1200" w:type="dxa"/>
            <w:vAlign w:val="bottom"/>
            <w:tcBorders>
              <w:right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Return your</w:t>
            </w:r>
          </w:p>
        </w:tc>
        <w:tc>
          <w:tcPr>
            <w:tcW w:w="120" w:type="dxa"/>
            <w:vAlign w:val="bottom"/>
            <w:tcBorders>
              <w:right w:val="single" w:sz="8" w:color="auto"/>
            </w:tcBorders>
          </w:tcPr>
          <w:p>
            <w:pPr>
              <w:spacing w:after="0"/>
              <w:rPr>
                <w:sz w:val="22"/>
                <w:szCs w:val="22"/>
                <w:color w:val="auto"/>
              </w:rPr>
            </w:pPr>
          </w:p>
        </w:tc>
        <w:tc>
          <w:tcPr>
            <w:tcW w:w="12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BF2115"/>
              </w:rPr>
              <w:t>Device</w:t>
            </w:r>
          </w:p>
        </w:tc>
        <w:tc>
          <w:tcPr>
            <w:tcW w:w="120" w:type="dxa"/>
            <w:vAlign w:val="bottom"/>
            <w:tcBorders>
              <w:right w:val="single" w:sz="8" w:color="auto"/>
            </w:tcBorders>
          </w:tcPr>
          <w:p>
            <w:pPr>
              <w:spacing w:after="0"/>
              <w:rPr>
                <w:sz w:val="22"/>
                <w:szCs w:val="22"/>
                <w:color w:val="auto"/>
              </w:rPr>
            </w:pPr>
          </w:p>
        </w:tc>
        <w:tc>
          <w:tcPr>
            <w:tcW w:w="5120" w:type="dxa"/>
            <w:vAlign w:val="bottom"/>
            <w:tcBorders>
              <w:right w:val="single" w:sz="8" w:color="auto"/>
            </w:tcBorders>
            <w:shd w:val="clear" w:color="auto" w:fill="DBDBDB"/>
          </w:tcPr>
          <w:p>
            <w:pPr>
              <w:spacing w:after="0"/>
              <w:rPr>
                <w:sz w:val="20"/>
                <w:szCs w:val="20"/>
                <w:color w:val="auto"/>
              </w:rPr>
            </w:pPr>
            <w:r>
              <w:rPr>
                <w:rFonts w:ascii="Arial" w:cs="Arial" w:eastAsia="Arial" w:hAnsi="Arial"/>
                <w:sz w:val="18"/>
                <w:szCs w:val="18"/>
                <w:color w:val="auto"/>
              </w:rPr>
              <w:t>Visit: www.virtualshareholdermeeting.com/TTC2026</w:t>
            </w:r>
          </w:p>
        </w:tc>
        <w:tc>
          <w:tcPr>
            <w:tcW w:w="0" w:type="dxa"/>
            <w:vAlign w:val="bottom"/>
          </w:tcPr>
          <w:p>
            <w:pPr>
              <w:spacing w:after="0"/>
              <w:rPr>
                <w:sz w:val="1"/>
                <w:szCs w:val="1"/>
                <w:color w:val="auto"/>
              </w:rPr>
            </w:pPr>
          </w:p>
        </w:tc>
      </w:tr>
      <w:tr>
        <w:trPr>
          <w:trHeight w:val="244"/>
        </w:trPr>
        <w:tc>
          <w:tcPr>
            <w:tcW w:w="2140" w:type="dxa"/>
            <w:vAlign w:val="bottom"/>
            <w:tcBorders>
              <w:left w:val="single" w:sz="8" w:color="auto"/>
              <w:right w:val="single" w:sz="8" w:color="auto"/>
            </w:tcBorders>
            <w:shd w:val="clear" w:color="auto" w:fill="DBDBDB"/>
          </w:tcPr>
          <w:p>
            <w:pPr>
              <w:ind w:left="60"/>
              <w:spacing w:after="0"/>
              <w:rPr>
                <w:sz w:val="20"/>
                <w:szCs w:val="20"/>
                <w:color w:val="auto"/>
              </w:rPr>
            </w:pPr>
            <w:r>
              <w:rPr>
                <w:rFonts w:ascii="Arial" w:cs="Arial" w:eastAsia="Arial" w:hAnsi="Arial"/>
                <w:sz w:val="18"/>
                <w:szCs w:val="18"/>
                <w:color w:val="auto"/>
              </w:rPr>
              <w:t>www.proxyvote.com</w:t>
            </w:r>
          </w:p>
        </w:tc>
        <w:tc>
          <w:tcPr>
            <w:tcW w:w="12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800-690-</w:t>
            </w:r>
          </w:p>
        </w:tc>
        <w:tc>
          <w:tcPr>
            <w:tcW w:w="12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proxy card</w:t>
            </w:r>
          </w:p>
        </w:tc>
        <w:tc>
          <w:tcPr>
            <w:tcW w:w="12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Scan the QR</w:t>
            </w:r>
          </w:p>
        </w:tc>
        <w:tc>
          <w:tcPr>
            <w:tcW w:w="120" w:type="dxa"/>
            <w:vAlign w:val="bottom"/>
            <w:tcBorders>
              <w:right w:val="single" w:sz="8" w:color="auto"/>
            </w:tcBorders>
          </w:tcPr>
          <w:p>
            <w:pPr>
              <w:spacing w:after="0"/>
              <w:rPr>
                <w:sz w:val="21"/>
                <w:szCs w:val="21"/>
                <w:color w:val="auto"/>
              </w:rPr>
            </w:pPr>
          </w:p>
        </w:tc>
        <w:tc>
          <w:tcPr>
            <w:tcW w:w="5120" w:type="dxa"/>
            <w:vAlign w:val="bottom"/>
            <w:tcBorders>
              <w:right w:val="single" w:sz="8" w:color="auto"/>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140" w:type="dxa"/>
            <w:vAlign w:val="bottom"/>
            <w:tcBorders>
              <w:left w:val="single" w:sz="8" w:color="auto"/>
              <w:right w:val="single" w:sz="8" w:color="auto"/>
            </w:tcBorders>
            <w:shd w:val="clear" w:color="auto" w:fill="DBDBDB"/>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6903</w:t>
            </w:r>
          </w:p>
        </w:tc>
        <w:tc>
          <w:tcPr>
            <w:tcW w:w="1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shd w:val="clear" w:color="auto" w:fill="DBDBDB"/>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code</w:t>
            </w:r>
          </w:p>
        </w:tc>
        <w:tc>
          <w:tcPr>
            <w:tcW w:w="120" w:type="dxa"/>
            <w:vAlign w:val="bottom"/>
            <w:tcBorders>
              <w:right w:val="single" w:sz="8" w:color="auto"/>
            </w:tcBorders>
          </w:tcPr>
          <w:p>
            <w:pPr>
              <w:spacing w:after="0"/>
              <w:rPr>
                <w:sz w:val="20"/>
                <w:szCs w:val="20"/>
                <w:color w:val="auto"/>
              </w:rPr>
            </w:pPr>
          </w:p>
        </w:tc>
        <w:tc>
          <w:tcPr>
            <w:tcW w:w="5120" w:type="dxa"/>
            <w:vAlign w:val="bottom"/>
            <w:tcBorders>
              <w:right w:val="single" w:sz="8" w:color="auto"/>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2140" w:type="dxa"/>
            <w:vAlign w:val="bottom"/>
            <w:tcBorders>
              <w:left w:val="single" w:sz="8" w:color="auto"/>
              <w:right w:val="single" w:sz="8" w:color="auto"/>
            </w:tcBorders>
            <w:shd w:val="clear" w:color="auto" w:fill="DBDBDB"/>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vMerge w:val="continue"/>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shd w:val="clear" w:color="auto" w:fill="DBDBDB"/>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5120" w:type="dxa"/>
            <w:vAlign w:val="bottom"/>
            <w:tcBorders>
              <w:right w:val="single" w:sz="8" w:color="auto"/>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265"/>
        </w:trPr>
        <w:tc>
          <w:tcPr>
            <w:tcW w:w="2140" w:type="dxa"/>
            <w:vAlign w:val="bottom"/>
            <w:tcBorders>
              <w:left w:val="single" w:sz="8" w:color="auto"/>
              <w:bottom w:val="single" w:sz="8" w:color="auto"/>
              <w:right w:val="single" w:sz="8" w:color="auto"/>
            </w:tcBorders>
            <w:shd w:val="clear" w:color="auto" w:fill="DBDBDB"/>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shd w:val="clear" w:color="auto" w:fill="DBDBDB"/>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5120" w:type="dxa"/>
            <w:vAlign w:val="bottom"/>
            <w:tcBorders>
              <w:bottom w:val="single" w:sz="8" w:color="auto"/>
              <w:right w:val="single" w:sz="8" w:color="auto"/>
            </w:tcBorders>
            <w:shd w:val="clear" w:color="auto" w:fill="DBDBDB"/>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-490855</wp:posOffset>
            </wp:positionV>
            <wp:extent cx="321945" cy="262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1945" cy="262890"/>
                    </a:xfrm>
                    <a:prstGeom prst="rect">
                      <a:avLst/>
                    </a:prstGeom>
                    <a:noFill/>
                  </pic:spPr>
                </pic:pic>
              </a:graphicData>
            </a:graphic>
          </wp:anchor>
        </w:drawing>
        <w:drawing>
          <wp:anchor simplePos="0" relativeHeight="251657728" behindDoc="1" locked="0" layoutInCell="0" allowOverlap="1">
            <wp:simplePos x="0" y="0"/>
            <wp:positionH relativeFrom="column">
              <wp:posOffset>1664970</wp:posOffset>
            </wp:positionH>
            <wp:positionV relativeFrom="paragraph">
              <wp:posOffset>-541655</wp:posOffset>
            </wp:positionV>
            <wp:extent cx="237490" cy="3644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7490" cy="364490"/>
                    </a:xfrm>
                    <a:prstGeom prst="rect">
                      <a:avLst/>
                    </a:prstGeom>
                    <a:noFill/>
                  </pic:spPr>
                </pic:pic>
              </a:graphicData>
            </a:graphic>
          </wp:anchor>
        </w:drawing>
        <w:drawing>
          <wp:anchor simplePos="0" relativeHeight="251657728" behindDoc="1" locked="0" layoutInCell="0" allowOverlap="1">
            <wp:simplePos x="0" y="0"/>
            <wp:positionH relativeFrom="column">
              <wp:posOffset>2435860</wp:posOffset>
            </wp:positionH>
            <wp:positionV relativeFrom="paragraph">
              <wp:posOffset>-499110</wp:posOffset>
            </wp:positionV>
            <wp:extent cx="321945" cy="279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1945" cy="279400"/>
                    </a:xfrm>
                    <a:prstGeom prst="rect">
                      <a:avLst/>
                    </a:prstGeom>
                    <a:noFill/>
                  </pic:spPr>
                </pic:pic>
              </a:graphicData>
            </a:graphic>
          </wp:anchor>
        </w:drawing>
        <w:drawing>
          <wp:anchor simplePos="0" relativeHeight="251657728" behindDoc="1" locked="0" layoutInCell="0" allowOverlap="1">
            <wp:simplePos x="0" y="0"/>
            <wp:positionH relativeFrom="column">
              <wp:posOffset>3317240</wp:posOffset>
            </wp:positionH>
            <wp:positionV relativeFrom="paragraph">
              <wp:posOffset>-482600</wp:posOffset>
            </wp:positionV>
            <wp:extent cx="237490" cy="2374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7490" cy="237490"/>
                    </a:xfrm>
                    <a:prstGeom prst="rect">
                      <a:avLst/>
                    </a:prstGeom>
                    <a:noFill/>
                  </pic:spPr>
                </pic:pic>
              </a:graphicData>
            </a:graphic>
          </wp:anchor>
        </w:drawing>
        <w:drawing>
          <wp:anchor simplePos="0" relativeHeight="251657728" behindDoc="1" locked="0" layoutInCell="0" allowOverlap="1">
            <wp:simplePos x="0" y="0"/>
            <wp:positionH relativeFrom="column">
              <wp:posOffset>5358765</wp:posOffset>
            </wp:positionH>
            <wp:positionV relativeFrom="paragraph">
              <wp:posOffset>-490855</wp:posOffset>
            </wp:positionV>
            <wp:extent cx="321945" cy="262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1945" cy="262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Corporate Governance Highlights</w:t>
      </w:r>
    </w:p>
    <w:p>
      <w:pPr>
        <w:spacing w:after="0" w:line="84" w:lineRule="exact"/>
        <w:rPr>
          <w:sz w:val="20"/>
          <w:szCs w:val="20"/>
          <w:color w:val="auto"/>
        </w:rPr>
      </w:pPr>
    </w:p>
    <w:p>
      <w:pPr>
        <w:ind w:right="680" w:firstLine="640"/>
        <w:spacing w:after="0" w:line="246" w:lineRule="auto"/>
        <w:rPr>
          <w:sz w:val="20"/>
          <w:szCs w:val="20"/>
          <w:color w:val="auto"/>
        </w:rPr>
      </w:pPr>
      <w:r>
        <w:rPr>
          <w:rFonts w:ascii="Arial" w:cs="Arial" w:eastAsia="Arial" w:hAnsi="Arial"/>
          <w:sz w:val="18"/>
          <w:szCs w:val="18"/>
          <w:color w:val="auto"/>
        </w:rPr>
        <w:t>The Toro Company is committed to strong corporate governance practices. Highlights of the Company’s corporate governance practices include:</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FFFFF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6642735" cy="161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42735" cy="161290"/>
                    </a:xfrm>
                    <a:prstGeom prst="rect">
                      <a:avLst/>
                    </a:prstGeom>
                    <a:noFill/>
                  </pic:spPr>
                </pic:pic>
              </a:graphicData>
            </a:graphic>
          </wp:anchor>
        </w:drawing>
      </w:r>
    </w:p>
    <w:p>
      <w:pPr>
        <w:spacing w:after="0" w:line="19" w:lineRule="exact"/>
        <w:rPr>
          <w:sz w:val="20"/>
          <w:szCs w:val="20"/>
          <w:color w:val="auto"/>
        </w:rPr>
      </w:pPr>
    </w:p>
    <w:p>
      <w:pPr>
        <w:ind w:left="780" w:hanging="486"/>
        <w:spacing w:after="0"/>
        <w:tabs>
          <w:tab w:leader="none" w:pos="780" w:val="left"/>
        </w:tabs>
        <w:numPr>
          <w:ilvl w:val="0"/>
          <w:numId w:val="9"/>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Independent Board (other than CEO), with 100% independent Board committees</w:t>
      </w:r>
    </w:p>
    <w:p>
      <w:pPr>
        <w:spacing w:after="0" w:line="101" w:lineRule="exact"/>
        <w:rPr>
          <w:rFonts w:ascii="MS PGothic" w:cs="MS PGothic" w:eastAsia="MS PGothic" w:hAnsi="MS PGothic"/>
          <w:sz w:val="20"/>
          <w:szCs w:val="20"/>
          <w:color w:val="auto"/>
          <w:shd w:val="clear" w:color="auto" w:fill="C00000"/>
        </w:rPr>
      </w:pPr>
    </w:p>
    <w:p>
      <w:pPr>
        <w:ind w:left="780" w:hanging="486"/>
        <w:spacing w:after="0"/>
        <w:tabs>
          <w:tab w:leader="none" w:pos="780" w:val="left"/>
        </w:tabs>
        <w:numPr>
          <w:ilvl w:val="0"/>
          <w:numId w:val="9"/>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Effective lead independent director structure</w:t>
      </w:r>
    </w:p>
    <w:p>
      <w:pPr>
        <w:spacing w:after="0" w:line="150" w:lineRule="exact"/>
        <w:rPr>
          <w:rFonts w:ascii="MS PGothic" w:cs="MS PGothic" w:eastAsia="MS PGothic" w:hAnsi="MS PGothic"/>
          <w:sz w:val="20"/>
          <w:szCs w:val="20"/>
          <w:color w:val="auto"/>
          <w:shd w:val="clear" w:color="auto" w:fill="C00000"/>
        </w:rPr>
      </w:pPr>
    </w:p>
    <w:p>
      <w:pPr>
        <w:ind w:left="780" w:hanging="486"/>
        <w:spacing w:after="0"/>
        <w:tabs>
          <w:tab w:leader="none" w:pos="780" w:val="left"/>
        </w:tabs>
        <w:numPr>
          <w:ilvl w:val="0"/>
          <w:numId w:val="9"/>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Director resignation policy</w:t>
      </w:r>
    </w:p>
    <w:p>
      <w:pPr>
        <w:spacing w:after="0" w:line="110" w:lineRule="exact"/>
        <w:rPr>
          <w:rFonts w:ascii="MS PGothic" w:cs="MS PGothic" w:eastAsia="MS PGothic" w:hAnsi="MS PGothic"/>
          <w:sz w:val="20"/>
          <w:szCs w:val="20"/>
          <w:color w:val="auto"/>
          <w:shd w:val="clear" w:color="auto" w:fill="C00000"/>
        </w:rPr>
      </w:pPr>
    </w:p>
    <w:p>
      <w:pPr>
        <w:ind w:left="780" w:hanging="486"/>
        <w:spacing w:after="0"/>
        <w:tabs>
          <w:tab w:leader="none" w:pos="780" w:val="left"/>
        </w:tabs>
        <w:numPr>
          <w:ilvl w:val="0"/>
          <w:numId w:val="9"/>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Annual Board and Committee self-evaluations</w:t>
      </w:r>
    </w:p>
    <w:p>
      <w:pPr>
        <w:spacing w:after="0" w:line="110" w:lineRule="exact"/>
        <w:rPr>
          <w:rFonts w:ascii="MS PGothic" w:cs="MS PGothic" w:eastAsia="MS PGothic" w:hAnsi="MS PGothic"/>
          <w:sz w:val="20"/>
          <w:szCs w:val="20"/>
          <w:color w:val="auto"/>
          <w:shd w:val="clear" w:color="auto" w:fill="C00000"/>
        </w:rPr>
      </w:pPr>
    </w:p>
    <w:p>
      <w:pPr>
        <w:ind w:left="780" w:hanging="486"/>
        <w:spacing w:after="0"/>
        <w:tabs>
          <w:tab w:leader="none" w:pos="780" w:val="left"/>
        </w:tabs>
        <w:numPr>
          <w:ilvl w:val="0"/>
          <w:numId w:val="9"/>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Limits on public company board and audit committee service</w:t>
      </w:r>
    </w:p>
    <w:p>
      <w:pPr>
        <w:spacing w:after="0" w:line="110" w:lineRule="exact"/>
        <w:rPr>
          <w:rFonts w:ascii="MS PGothic" w:cs="MS PGothic" w:eastAsia="MS PGothic" w:hAnsi="MS PGothic"/>
          <w:sz w:val="20"/>
          <w:szCs w:val="20"/>
          <w:color w:val="auto"/>
          <w:shd w:val="clear" w:color="auto" w:fill="C00000"/>
        </w:rPr>
      </w:pPr>
    </w:p>
    <w:p>
      <w:pPr>
        <w:ind w:left="780" w:hanging="486"/>
        <w:spacing w:after="0"/>
        <w:tabs>
          <w:tab w:leader="none" w:pos="780" w:val="left"/>
        </w:tabs>
        <w:numPr>
          <w:ilvl w:val="0"/>
          <w:numId w:val="9"/>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Regular executive sessions of independent directors, typically at each meeting</w:t>
      </w:r>
    </w:p>
    <w:p>
      <w:pPr>
        <w:spacing w:after="0" w:line="110" w:lineRule="exact"/>
        <w:rPr>
          <w:rFonts w:ascii="MS PGothic" w:cs="MS PGothic" w:eastAsia="MS PGothic" w:hAnsi="MS PGothic"/>
          <w:sz w:val="20"/>
          <w:szCs w:val="20"/>
          <w:color w:val="auto"/>
          <w:shd w:val="clear" w:color="auto" w:fill="C00000"/>
        </w:rPr>
      </w:pPr>
    </w:p>
    <w:p>
      <w:pPr>
        <w:ind w:left="780" w:hanging="486"/>
        <w:spacing w:after="0"/>
        <w:tabs>
          <w:tab w:leader="none" w:pos="780" w:val="left"/>
        </w:tabs>
        <w:numPr>
          <w:ilvl w:val="0"/>
          <w:numId w:val="9"/>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Ongoing Board refreshment with three new independent directors added in the last five years</w:t>
      </w:r>
    </w:p>
    <w:p>
      <w:pPr>
        <w:spacing w:after="0" w:line="110" w:lineRule="exact"/>
        <w:rPr>
          <w:rFonts w:ascii="MS PGothic" w:cs="MS PGothic" w:eastAsia="MS PGothic" w:hAnsi="MS PGothic"/>
          <w:sz w:val="20"/>
          <w:szCs w:val="20"/>
          <w:color w:val="auto"/>
          <w:shd w:val="clear" w:color="auto" w:fill="C00000"/>
        </w:rPr>
      </w:pPr>
    </w:p>
    <w:p>
      <w:pPr>
        <w:ind w:left="780" w:hanging="486"/>
        <w:spacing w:after="0"/>
        <w:tabs>
          <w:tab w:leader="none" w:pos="780" w:val="left"/>
        </w:tabs>
        <w:numPr>
          <w:ilvl w:val="0"/>
          <w:numId w:val="9"/>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Board skills and experience have continued to evolve with strategy, with appropriate mix of skills, backgrounds and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-1376045</wp:posOffset>
            </wp:positionV>
            <wp:extent cx="6642735" cy="2032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42735" cy="2032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-969010</wp:posOffset>
            </wp:positionV>
            <wp:extent cx="6642735" cy="203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42735" cy="2032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-562610</wp:posOffset>
            </wp:positionV>
            <wp:extent cx="6642735" cy="2032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42735" cy="2032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-156210</wp:posOffset>
            </wp:positionV>
            <wp:extent cx="6642735" cy="203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42735" cy="203200"/>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p>
      <w:pPr>
        <w:spacing w:after="0" w:line="337" w:lineRule="exact"/>
        <w:rPr>
          <w:sz w:val="20"/>
          <w:szCs w:val="20"/>
          <w:color w:val="auto"/>
        </w:rPr>
      </w:pPr>
    </w:p>
    <w:p>
      <w:pPr>
        <w:ind w:left="920" w:hanging="222"/>
        <w:spacing w:after="0"/>
        <w:tabs>
          <w:tab w:leader="none" w:pos="920" w:val="left"/>
        </w:tabs>
        <w:numPr>
          <w:ilvl w:val="0"/>
          <w:numId w:val="10"/>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Anti-hedging and anti-pledging policy</w:t>
      </w:r>
    </w:p>
    <w:p>
      <w:pPr>
        <w:spacing w:after="0" w:line="83" w:lineRule="exact"/>
        <w:rPr>
          <w:rFonts w:ascii="MS PGothic" w:cs="MS PGothic" w:eastAsia="MS PGothic" w:hAnsi="MS PGothic"/>
          <w:sz w:val="20"/>
          <w:szCs w:val="20"/>
          <w:color w:val="auto"/>
          <w:shd w:val="clear" w:color="auto" w:fill="C00000"/>
        </w:rPr>
      </w:pPr>
    </w:p>
    <w:p>
      <w:pPr>
        <w:ind w:left="920" w:hanging="222"/>
        <w:spacing w:after="0"/>
        <w:tabs>
          <w:tab w:leader="none" w:pos="920" w:val="left"/>
        </w:tabs>
        <w:numPr>
          <w:ilvl w:val="0"/>
          <w:numId w:val="10"/>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Clawback policy</w:t>
      </w:r>
    </w:p>
    <w:p>
      <w:pPr>
        <w:spacing w:after="0" w:line="83" w:lineRule="exact"/>
        <w:rPr>
          <w:rFonts w:ascii="MS PGothic" w:cs="MS PGothic" w:eastAsia="MS PGothic" w:hAnsi="MS PGothic"/>
          <w:sz w:val="20"/>
          <w:szCs w:val="20"/>
          <w:color w:val="auto"/>
          <w:shd w:val="clear" w:color="auto" w:fill="C00000"/>
        </w:rPr>
      </w:pPr>
    </w:p>
    <w:p>
      <w:pPr>
        <w:ind w:left="920" w:hanging="222"/>
        <w:spacing w:after="0"/>
        <w:tabs>
          <w:tab w:leader="none" w:pos="920" w:val="left"/>
        </w:tabs>
        <w:numPr>
          <w:ilvl w:val="0"/>
          <w:numId w:val="10"/>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Codes of conduct and ethics</w:t>
      </w:r>
    </w:p>
    <w:p>
      <w:pPr>
        <w:spacing w:after="0" w:line="96" w:lineRule="exact"/>
        <w:rPr>
          <w:rFonts w:ascii="MS PGothic" w:cs="MS PGothic" w:eastAsia="MS PGothic" w:hAnsi="MS PGothic"/>
          <w:sz w:val="20"/>
          <w:szCs w:val="20"/>
          <w:color w:val="auto"/>
          <w:shd w:val="clear" w:color="auto" w:fill="C00000"/>
        </w:rPr>
      </w:pPr>
    </w:p>
    <w:p>
      <w:pPr>
        <w:ind w:left="940" w:hanging="242"/>
        <w:spacing w:after="0"/>
        <w:tabs>
          <w:tab w:leader="none" w:pos="940" w:val="left"/>
        </w:tabs>
        <w:numPr>
          <w:ilvl w:val="0"/>
          <w:numId w:val="10"/>
        </w:numPr>
        <w:rPr>
          <w:rFonts w:ascii="MS PGothic" w:cs="MS PGothic" w:eastAsia="MS PGothic" w:hAnsi="MS PGothic"/>
          <w:sz w:val="18"/>
          <w:szCs w:val="18"/>
          <w:color w:val="auto"/>
          <w:shd w:val="clear" w:color="auto" w:fill="C00000"/>
        </w:rPr>
      </w:pPr>
      <w:r>
        <w:rPr>
          <w:rFonts w:ascii="Arial" w:cs="Arial" w:eastAsia="Arial" w:hAnsi="Arial"/>
          <w:sz w:val="17"/>
          <w:szCs w:val="17"/>
          <w:color w:val="auto"/>
        </w:rPr>
        <w:t>Comprehensive director onboarding process</w:t>
      </w:r>
    </w:p>
    <w:p>
      <w:pPr>
        <w:spacing w:after="0" w:line="111" w:lineRule="exact"/>
        <w:rPr>
          <w:rFonts w:ascii="MS PGothic" w:cs="MS PGothic" w:eastAsia="MS PGothic" w:hAnsi="MS PGothic"/>
          <w:sz w:val="18"/>
          <w:szCs w:val="18"/>
          <w:color w:val="auto"/>
          <w:shd w:val="clear" w:color="auto" w:fill="C00000"/>
        </w:rPr>
      </w:pPr>
    </w:p>
    <w:p>
      <w:pPr>
        <w:ind w:left="920" w:hanging="222"/>
        <w:spacing w:after="0"/>
        <w:tabs>
          <w:tab w:leader="none" w:pos="920" w:val="left"/>
        </w:tabs>
        <w:numPr>
          <w:ilvl w:val="0"/>
          <w:numId w:val="10"/>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-918210</wp:posOffset>
            </wp:positionV>
            <wp:extent cx="3007995" cy="1169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07995" cy="1169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ind w:left="165" w:right="1400" w:hanging="165"/>
        <w:spacing w:after="0" w:line="256" w:lineRule="auto"/>
        <w:tabs>
          <w:tab w:leader="none" w:pos="230" w:val="left"/>
        </w:tabs>
        <w:numPr>
          <w:ilvl w:val="0"/>
          <w:numId w:val="11"/>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Meaningful Board oversight of strategy, risk and sustainability</w:t>
      </w:r>
    </w:p>
    <w:p>
      <w:pPr>
        <w:spacing w:after="0" w:line="48" w:lineRule="exact"/>
        <w:rPr>
          <w:rFonts w:ascii="MS PGothic" w:cs="MS PGothic" w:eastAsia="MS PGothic" w:hAnsi="MS PGothic"/>
          <w:sz w:val="20"/>
          <w:szCs w:val="20"/>
          <w:color w:val="auto"/>
          <w:shd w:val="clear" w:color="auto" w:fill="C00000"/>
        </w:rPr>
      </w:pPr>
    </w:p>
    <w:p>
      <w:pPr>
        <w:ind w:left="225" w:hanging="225"/>
        <w:spacing w:after="0"/>
        <w:tabs>
          <w:tab w:leader="none" w:pos="225" w:val="left"/>
        </w:tabs>
        <w:numPr>
          <w:ilvl w:val="0"/>
          <w:numId w:val="11"/>
        </w:numPr>
        <w:rPr>
          <w:rFonts w:ascii="MS PGothic" w:cs="MS PGothic" w:eastAsia="MS PGothic" w:hAnsi="MS PGothic"/>
          <w:sz w:val="18"/>
          <w:szCs w:val="18"/>
          <w:color w:val="auto"/>
          <w:shd w:val="clear" w:color="auto" w:fill="C00000"/>
        </w:rPr>
      </w:pPr>
      <w:r>
        <w:rPr>
          <w:rFonts w:ascii="Arial" w:cs="Arial" w:eastAsia="Arial" w:hAnsi="Arial"/>
          <w:sz w:val="17"/>
          <w:szCs w:val="17"/>
          <w:color w:val="242424"/>
        </w:rPr>
        <w:t>Effective director continuing education program</w:t>
      </w:r>
    </w:p>
    <w:p>
      <w:pPr>
        <w:spacing w:after="0" w:line="84" w:lineRule="exact"/>
        <w:rPr>
          <w:rFonts w:ascii="MS PGothic" w:cs="MS PGothic" w:eastAsia="MS PGothic" w:hAnsi="MS PGothic"/>
          <w:sz w:val="18"/>
          <w:szCs w:val="18"/>
          <w:color w:val="auto"/>
          <w:shd w:val="clear" w:color="auto" w:fill="C00000"/>
        </w:rPr>
      </w:pPr>
    </w:p>
    <w:p>
      <w:pPr>
        <w:ind w:left="225" w:hanging="225"/>
        <w:spacing w:after="0"/>
        <w:tabs>
          <w:tab w:leader="none" w:pos="225" w:val="left"/>
        </w:tabs>
        <w:numPr>
          <w:ilvl w:val="0"/>
          <w:numId w:val="11"/>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Board access to management</w:t>
      </w:r>
    </w:p>
    <w:p>
      <w:pPr>
        <w:spacing w:after="0" w:line="83" w:lineRule="exact"/>
        <w:rPr>
          <w:rFonts w:ascii="MS PGothic" w:cs="MS PGothic" w:eastAsia="MS PGothic" w:hAnsi="MS PGothic"/>
          <w:sz w:val="20"/>
          <w:szCs w:val="20"/>
          <w:color w:val="auto"/>
          <w:shd w:val="clear" w:color="auto" w:fill="C00000"/>
        </w:rPr>
      </w:pPr>
    </w:p>
    <w:p>
      <w:pPr>
        <w:ind w:left="225" w:hanging="225"/>
        <w:spacing w:after="0"/>
        <w:tabs>
          <w:tab w:leader="none" w:pos="225" w:val="left"/>
        </w:tabs>
        <w:numPr>
          <w:ilvl w:val="0"/>
          <w:numId w:val="11"/>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No poison pill</w:t>
      </w:r>
    </w:p>
    <w:p>
      <w:pPr>
        <w:spacing w:after="0" w:line="70" w:lineRule="exact"/>
        <w:rPr>
          <w:rFonts w:ascii="MS PGothic" w:cs="MS PGothic" w:eastAsia="MS PGothic" w:hAnsi="MS PGothic"/>
          <w:sz w:val="20"/>
          <w:szCs w:val="20"/>
          <w:color w:val="auto"/>
          <w:shd w:val="clear" w:color="auto" w:fill="C00000"/>
        </w:rPr>
      </w:pPr>
    </w:p>
    <w:p>
      <w:pPr>
        <w:ind w:left="225" w:hanging="225"/>
        <w:spacing w:after="0"/>
        <w:tabs>
          <w:tab w:leader="none" w:pos="225" w:val="left"/>
        </w:tabs>
        <w:numPr>
          <w:ilvl w:val="0"/>
          <w:numId w:val="11"/>
        </w:numPr>
        <w:rPr>
          <w:rFonts w:ascii="MS PGothic" w:cs="MS PGothic" w:eastAsia="MS PGothic" w:hAnsi="MS PGothic"/>
          <w:sz w:val="20"/>
          <w:szCs w:val="20"/>
          <w:color w:val="auto"/>
          <w:shd w:val="clear" w:color="auto" w:fill="C00000"/>
        </w:rPr>
      </w:pPr>
      <w:r>
        <w:rPr>
          <w:rFonts w:ascii="Arial" w:cs="Arial" w:eastAsia="Arial" w:hAnsi="Arial"/>
          <w:sz w:val="18"/>
          <w:szCs w:val="18"/>
          <w:color w:val="242424"/>
        </w:rPr>
        <w:t>Robust insider trading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-1011555</wp:posOffset>
            </wp:positionV>
            <wp:extent cx="3016250" cy="1169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16250" cy="1169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55" w:space="720"/>
            <w:col w:w="5385"/>
          </w:cols>
          <w:pgMar w:left="320" w:top="1134" w:right="319" w:bottom="1440" w:gutter="0" w:footer="0" w:header="0"/>
          <w:type w:val="continuous"/>
        </w:sectPr>
      </w:pPr>
    </w:p>
    <w:p>
      <w:pPr>
        <w:spacing w:after="0" w:line="374"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2300" w:type="dxa"/>
            <w:vAlign w:val="bottom"/>
            <w:vMerge w:val="restart"/>
          </w:tcPr>
          <w:p>
            <w:pPr>
              <w:spacing w:after="0"/>
              <w:rPr>
                <w:sz w:val="20"/>
                <w:szCs w:val="20"/>
                <w:color w:val="auto"/>
              </w:rPr>
            </w:pPr>
            <w:r>
              <w:rPr>
                <w:rFonts w:ascii="Arial" w:cs="Arial" w:eastAsia="Arial" w:hAnsi="Arial"/>
                <w:sz w:val="18"/>
                <w:szCs w:val="18"/>
                <w:b w:val="1"/>
                <w:bCs w:val="1"/>
                <w:color w:val="auto"/>
              </w:rPr>
              <w:t>Independent Directors</w:t>
            </w:r>
          </w:p>
        </w:tc>
        <w:tc>
          <w:tcPr>
            <w:tcW w:w="4560" w:type="dxa"/>
            <w:vAlign w:val="bottom"/>
          </w:tcPr>
          <w:p>
            <w:pPr>
              <w:jc w:val="center"/>
              <w:ind w:right="200"/>
              <w:spacing w:after="0"/>
              <w:rPr>
                <w:sz w:val="20"/>
                <w:szCs w:val="20"/>
                <w:color w:val="auto"/>
              </w:rPr>
            </w:pPr>
            <w:r>
              <w:rPr>
                <w:rFonts w:ascii="Arial" w:cs="Arial" w:eastAsia="Arial" w:hAnsi="Arial"/>
                <w:sz w:val="18"/>
                <w:szCs w:val="18"/>
                <w:b w:val="1"/>
                <w:bCs w:val="1"/>
                <w:color w:val="auto"/>
                <w:w w:val="98"/>
              </w:rPr>
              <w:t>Gender, Racial or Ethnic Representation</w:t>
            </w:r>
          </w:p>
        </w:tc>
        <w:tc>
          <w:tcPr>
            <w:tcW w:w="2720" w:type="dxa"/>
            <w:vAlign w:val="bottom"/>
          </w:tcPr>
          <w:p>
            <w:pPr>
              <w:jc w:val="center"/>
              <w:ind w:left="591"/>
              <w:spacing w:after="0"/>
              <w:rPr>
                <w:sz w:val="20"/>
                <w:szCs w:val="20"/>
                <w:color w:val="auto"/>
              </w:rPr>
            </w:pPr>
            <w:r>
              <w:rPr>
                <w:rFonts w:ascii="Arial" w:cs="Arial" w:eastAsia="Arial" w:hAnsi="Arial"/>
                <w:sz w:val="18"/>
                <w:szCs w:val="18"/>
                <w:b w:val="1"/>
                <w:bCs w:val="1"/>
                <w:color w:val="auto"/>
                <w:w w:val="96"/>
              </w:rPr>
              <w:t>Average Tenure</w:t>
            </w:r>
          </w:p>
        </w:tc>
        <w:tc>
          <w:tcPr>
            <w:tcW w:w="0" w:type="dxa"/>
            <w:vAlign w:val="bottom"/>
          </w:tcPr>
          <w:p>
            <w:pPr>
              <w:spacing w:after="0"/>
              <w:rPr>
                <w:sz w:val="1"/>
                <w:szCs w:val="1"/>
                <w:color w:val="auto"/>
              </w:rPr>
            </w:pPr>
          </w:p>
        </w:tc>
      </w:tr>
      <w:tr>
        <w:trPr>
          <w:trHeight w:val="146"/>
        </w:trPr>
        <w:tc>
          <w:tcPr>
            <w:tcW w:w="2300" w:type="dxa"/>
            <w:vAlign w:val="bottom"/>
            <w:vMerge w:val="continue"/>
          </w:tcPr>
          <w:p>
            <w:pPr>
              <w:spacing w:after="0"/>
              <w:rPr>
                <w:sz w:val="12"/>
                <w:szCs w:val="12"/>
                <w:color w:val="auto"/>
              </w:rPr>
            </w:pPr>
          </w:p>
        </w:tc>
        <w:tc>
          <w:tcPr>
            <w:tcW w:w="4560" w:type="dxa"/>
            <w:vAlign w:val="bottom"/>
            <w:vMerge w:val="restart"/>
          </w:tcPr>
          <w:p>
            <w:pPr>
              <w:jc w:val="center"/>
              <w:ind w:right="220"/>
              <w:spacing w:after="0"/>
              <w:rPr>
                <w:sz w:val="20"/>
                <w:szCs w:val="20"/>
                <w:color w:val="auto"/>
              </w:rPr>
            </w:pPr>
            <w:r>
              <w:rPr>
                <w:rFonts w:ascii="Arial" w:cs="Arial" w:eastAsia="Arial" w:hAnsi="Arial"/>
                <w:sz w:val="14"/>
                <w:szCs w:val="14"/>
                <w:i w:val="1"/>
                <w:iCs w:val="1"/>
                <w:color w:val="auto"/>
              </w:rPr>
              <w:t>(rounded)</w:t>
            </w:r>
          </w:p>
        </w:tc>
        <w:tc>
          <w:tcPr>
            <w:tcW w:w="2720" w:type="dxa"/>
            <w:vAlign w:val="bottom"/>
            <w:vMerge w:val="restart"/>
          </w:tcPr>
          <w:p>
            <w:pPr>
              <w:jc w:val="center"/>
              <w:ind w:left="631"/>
              <w:spacing w:after="0"/>
              <w:rPr>
                <w:sz w:val="20"/>
                <w:szCs w:val="20"/>
                <w:color w:val="auto"/>
              </w:rPr>
            </w:pPr>
            <w:r>
              <w:rPr>
                <w:rFonts w:ascii="Arial" w:cs="Arial" w:eastAsia="Arial" w:hAnsi="Arial"/>
                <w:sz w:val="18"/>
                <w:szCs w:val="18"/>
                <w:b w:val="1"/>
                <w:bCs w:val="1"/>
                <w:color w:val="auto"/>
                <w:w w:val="98"/>
              </w:rPr>
              <w:t>(Independent Directors)</w:t>
            </w:r>
          </w:p>
        </w:tc>
        <w:tc>
          <w:tcPr>
            <w:tcW w:w="0" w:type="dxa"/>
            <w:vAlign w:val="bottom"/>
          </w:tcPr>
          <w:p>
            <w:pPr>
              <w:spacing w:after="0"/>
              <w:rPr>
                <w:sz w:val="1"/>
                <w:szCs w:val="1"/>
                <w:color w:val="auto"/>
              </w:rPr>
            </w:pPr>
          </w:p>
        </w:tc>
      </w:tr>
      <w:tr>
        <w:trPr>
          <w:trHeight w:val="99"/>
        </w:trPr>
        <w:tc>
          <w:tcPr>
            <w:tcW w:w="2300" w:type="dxa"/>
            <w:vAlign w:val="bottom"/>
          </w:tcPr>
          <w:p>
            <w:pPr>
              <w:spacing w:after="0"/>
              <w:rPr>
                <w:sz w:val="8"/>
                <w:szCs w:val="8"/>
                <w:color w:val="auto"/>
              </w:rPr>
            </w:pPr>
          </w:p>
        </w:tc>
        <w:tc>
          <w:tcPr>
            <w:tcW w:w="4560" w:type="dxa"/>
            <w:vAlign w:val="bottom"/>
            <w:vMerge w:val="continue"/>
          </w:tcPr>
          <w:p>
            <w:pPr>
              <w:spacing w:after="0"/>
              <w:rPr>
                <w:sz w:val="8"/>
                <w:szCs w:val="8"/>
                <w:color w:val="auto"/>
              </w:rPr>
            </w:pPr>
          </w:p>
        </w:tc>
        <w:tc>
          <w:tcPr>
            <w:tcW w:w="2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22225</wp:posOffset>
            </wp:positionV>
            <wp:extent cx="6600190" cy="15506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00190" cy="1550670"/>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0"/>
          <w:szCs w:val="20"/>
          <w:b w:val="1"/>
          <w:bCs w:val="1"/>
          <w:color w:val="C0000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97790</wp:posOffset>
            </wp:positionV>
            <wp:extent cx="5948045" cy="4743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48045" cy="474345"/>
                    </a:xfrm>
                    <a:prstGeom prst="rect">
                      <a:avLst/>
                    </a:prstGeom>
                    <a:noFill/>
                  </pic:spPr>
                </pic:pic>
              </a:graphicData>
            </a:graphic>
          </wp:anchor>
        </w:drawing>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C00000"/>
        </w:rPr>
        <w:t>Executive Compensation Program Philosophy</w:t>
      </w:r>
    </w:p>
    <w:p>
      <w:pPr>
        <w:spacing w:after="0" w:line="38" w:lineRule="exact"/>
        <w:rPr>
          <w:sz w:val="20"/>
          <w:szCs w:val="20"/>
          <w:color w:val="auto"/>
        </w:rPr>
      </w:pPr>
    </w:p>
    <w:p>
      <w:pPr>
        <w:jc w:val="center"/>
        <w:ind w:left="340" w:right="1080"/>
        <w:spacing w:after="0" w:line="243" w:lineRule="auto"/>
        <w:rPr>
          <w:sz w:val="20"/>
          <w:szCs w:val="20"/>
          <w:color w:val="auto"/>
        </w:rPr>
      </w:pPr>
      <w:r>
        <w:rPr>
          <w:rFonts w:ascii="Arial" w:cs="Arial" w:eastAsia="Arial" w:hAnsi="Arial"/>
          <w:sz w:val="18"/>
          <w:szCs w:val="18"/>
          <w:color w:val="auto"/>
        </w:rPr>
        <w:t>Our executive compensation philosophy is to maintain programs and plans that allows us to attract, retain, motivate and reward highly qualified and talented executive officers.</w:t>
      </w:r>
    </w:p>
    <w:p>
      <w:pPr>
        <w:spacing w:after="0" w:line="109" w:lineRule="exact"/>
        <w:rPr>
          <w:sz w:val="20"/>
          <w:szCs w:val="20"/>
          <w:color w:val="auto"/>
        </w:rPr>
      </w:pPr>
    </w:p>
    <w:tbl>
      <w:tblPr>
        <w:tblLayout w:type="fixed"/>
        <w:tblInd w:w="970" w:type="dxa"/>
        <w:tblCellMar>
          <w:top w:w="0" w:type="dxa"/>
          <w:left w:w="0" w:type="dxa"/>
          <w:bottom w:w="0" w:type="dxa"/>
          <w:right w:w="0" w:type="dxa"/>
        </w:tblCellMar>
      </w:tblPr>
      <w:tr>
        <w:trPr>
          <w:trHeight w:val="275"/>
        </w:trPr>
        <w:tc>
          <w:tcPr>
            <w:tcW w:w="36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C00000"/>
                <w:w w:val="99"/>
              </w:rPr>
              <w:t>Align interests of executive</w:t>
            </w:r>
          </w:p>
        </w:tc>
        <w:tc>
          <w:tcPr>
            <w:tcW w:w="160" w:type="dxa"/>
            <w:vAlign w:val="bottom"/>
            <w:tcBorders>
              <w:right w:val="single" w:sz="8" w:color="auto"/>
            </w:tcBorders>
          </w:tcPr>
          <w:p>
            <w:pPr>
              <w:spacing w:after="0"/>
              <w:rPr>
                <w:sz w:val="23"/>
                <w:szCs w:val="23"/>
                <w:color w:val="auto"/>
              </w:rPr>
            </w:pPr>
          </w:p>
        </w:tc>
        <w:tc>
          <w:tcPr>
            <w:tcW w:w="1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C00000"/>
                <w:w w:val="98"/>
              </w:rPr>
              <w:t>Link pay to</w:t>
            </w:r>
          </w:p>
        </w:tc>
        <w:tc>
          <w:tcPr>
            <w:tcW w:w="140" w:type="dxa"/>
            <w:vAlign w:val="bottom"/>
            <w:tcBorders>
              <w:right w:val="single" w:sz="8" w:color="auto"/>
            </w:tcBorders>
          </w:tcPr>
          <w:p>
            <w:pPr>
              <w:spacing w:after="0"/>
              <w:rPr>
                <w:sz w:val="23"/>
                <w:szCs w:val="23"/>
                <w:color w:val="auto"/>
              </w:rPr>
            </w:pPr>
          </w:p>
        </w:tc>
        <w:tc>
          <w:tcPr>
            <w:tcW w:w="3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C00000"/>
                <w:w w:val="99"/>
              </w:rPr>
              <w:t>Provide competitive target</w:t>
            </w:r>
          </w:p>
        </w:tc>
      </w:tr>
      <w:tr>
        <w:trPr>
          <w:trHeight w:val="200"/>
        </w:trPr>
        <w:tc>
          <w:tcPr>
            <w:tcW w:w="360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C00000"/>
                <w:w w:val="98"/>
              </w:rPr>
              <w:t>officers with stockholder</w:t>
            </w:r>
          </w:p>
        </w:tc>
        <w:tc>
          <w:tcPr>
            <w:tcW w:w="16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C00000"/>
                <w:w w:val="99"/>
              </w:rPr>
              <w:t>performance</w:t>
            </w:r>
          </w:p>
        </w:tc>
        <w:tc>
          <w:tcPr>
            <w:tcW w:w="14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C00000"/>
                <w:w w:val="98"/>
              </w:rPr>
              <w:t>total direct compensation</w:t>
            </w:r>
          </w:p>
        </w:tc>
      </w:tr>
      <w:tr>
        <w:trPr>
          <w:trHeight w:val="245"/>
        </w:trPr>
        <w:tc>
          <w:tcPr>
            <w:tcW w:w="3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C00000"/>
                <w:w w:val="98"/>
              </w:rPr>
              <w:t>interests</w:t>
            </w:r>
          </w:p>
        </w:tc>
        <w:tc>
          <w:tcPr>
            <w:tcW w:w="16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3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C00000"/>
                <w:w w:val="97"/>
              </w:rPr>
              <w:t>opportunities</w:t>
            </w:r>
          </w:p>
        </w:tc>
      </w:tr>
      <w:tr>
        <w:trPr>
          <w:trHeight w:val="67"/>
        </w:trPr>
        <w:tc>
          <w:tcPr>
            <w:tcW w:w="3600" w:type="dxa"/>
            <w:vAlign w:val="bottom"/>
            <w:tcBorders>
              <w:left w:val="single" w:sz="8" w:color="auto"/>
              <w:bottom w:val="single" w:sz="8" w:color="auto"/>
              <w:right w:val="single" w:sz="8" w:color="auto"/>
            </w:tcBorders>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3600" w:type="dxa"/>
            <w:vAlign w:val="bottom"/>
            <w:tcBorders>
              <w:bottom w:val="single" w:sz="8" w:color="auto"/>
              <w:right w:val="single" w:sz="8" w:color="auto"/>
            </w:tcBorders>
          </w:tcPr>
          <w:p>
            <w:pPr>
              <w:spacing w:after="0"/>
              <w:rPr>
                <w:sz w:val="5"/>
                <w:szCs w:val="5"/>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Fiscal 2025 Executive Compensation Summary</w:t>
      </w:r>
    </w:p>
    <w:p>
      <w:pPr>
        <w:spacing w:after="0" w:line="84" w:lineRule="exact"/>
        <w:rPr>
          <w:sz w:val="20"/>
          <w:szCs w:val="20"/>
          <w:color w:val="auto"/>
        </w:rPr>
      </w:pPr>
    </w:p>
    <w:p>
      <w:pPr>
        <w:ind w:firstLine="640"/>
        <w:spacing w:after="0" w:line="255" w:lineRule="auto"/>
        <w:rPr>
          <w:sz w:val="20"/>
          <w:szCs w:val="20"/>
          <w:color w:val="auto"/>
        </w:rPr>
      </w:pPr>
      <w:r>
        <w:rPr>
          <w:rFonts w:ascii="Arial" w:cs="Arial" w:eastAsia="Arial" w:hAnsi="Arial"/>
          <w:sz w:val="17"/>
          <w:szCs w:val="17"/>
          <w:color w:val="auto"/>
        </w:rPr>
        <w:t>We seek to motivate executive officers to achieve improved financial performance of our Company through incentive plans that reward better performance with increased incentive payouts and hold executive officers accountable for financial performance that falls below targeted</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levels by paying reduced or no incentive payouts. Accordingly, a significant portion of the target total direct compensation for our Chairman and CEO and other executive officers is comprised of short- and long-term variable performance-based, or at risk, compensation to directly link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their pay to performance. Generally, higher level executive positions have a higher level of pay that is performance-based.</w:t>
      </w:r>
    </w:p>
    <w:p>
      <w:pPr>
        <w:spacing w:after="0" w:line="84" w:lineRule="exact"/>
        <w:rPr>
          <w:sz w:val="20"/>
          <w:szCs w:val="20"/>
          <w:color w:val="auto"/>
        </w:rPr>
      </w:pPr>
    </w:p>
    <w:p>
      <w:pPr>
        <w:ind w:firstLine="640"/>
        <w:spacing w:after="0" w:line="246" w:lineRule="auto"/>
        <w:rPr>
          <w:sz w:val="20"/>
          <w:szCs w:val="20"/>
          <w:color w:val="auto"/>
        </w:rPr>
      </w:pPr>
      <w:r>
        <w:rPr>
          <w:rFonts w:ascii="Arial" w:cs="Arial" w:eastAsia="Arial" w:hAnsi="Arial"/>
          <w:sz w:val="18"/>
          <w:szCs w:val="18"/>
          <w:color w:val="auto"/>
        </w:rPr>
        <w:t>The breakdown of variable, at-risk, pay (broken out between target annual cash incentives and target long-term incentives) compared fixed pay (i.e., annual base salary) for our Chairman and CEO and other Named Executive Officers is shown below:</w:t>
      </w:r>
    </w:p>
    <w:p>
      <w:pPr>
        <w:spacing w:after="0" w:line="102"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2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Chairman and CEO</w:t>
            </w:r>
          </w:p>
        </w:tc>
        <w:tc>
          <w:tcPr>
            <w:tcW w:w="80" w:type="dxa"/>
            <w:vAlign w:val="bottom"/>
          </w:tcPr>
          <w:p>
            <w:pPr>
              <w:spacing w:after="0"/>
              <w:rPr>
                <w:sz w:val="16"/>
                <w:szCs w:val="16"/>
                <w:color w:val="auto"/>
              </w:rPr>
            </w:pPr>
          </w:p>
        </w:tc>
        <w:tc>
          <w:tcPr>
            <w:tcW w:w="51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All Other Named Executive Officers</w:t>
            </w:r>
          </w:p>
        </w:tc>
      </w:tr>
      <w:tr>
        <w:trPr>
          <w:trHeight w:val="213"/>
        </w:trPr>
        <w:tc>
          <w:tcPr>
            <w:tcW w:w="52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Target Total Direct Compensation Mix</w:t>
            </w:r>
          </w:p>
        </w:tc>
        <w:tc>
          <w:tcPr>
            <w:tcW w:w="80" w:type="dxa"/>
            <w:vAlign w:val="bottom"/>
          </w:tcPr>
          <w:p>
            <w:pPr>
              <w:spacing w:after="0"/>
              <w:rPr>
                <w:sz w:val="18"/>
                <w:szCs w:val="18"/>
                <w:color w:val="auto"/>
              </w:rPr>
            </w:pPr>
          </w:p>
        </w:tc>
        <w:tc>
          <w:tcPr>
            <w:tcW w:w="51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Target Total Direct Compensation Mix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572135</wp:posOffset>
            </wp:positionH>
            <wp:positionV relativeFrom="paragraph">
              <wp:posOffset>84455</wp:posOffset>
            </wp:positionV>
            <wp:extent cx="5922645" cy="21183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22645"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200" w:type="dxa"/>
            <w:vAlign w:val="bottom"/>
            <w:shd w:val="clear" w:color="auto" w:fill="BF2115"/>
          </w:tcPr>
          <w:p>
            <w:pPr>
              <w:spacing w:after="0"/>
              <w:rPr>
                <w:sz w:val="20"/>
                <w:szCs w:val="20"/>
                <w:color w:val="auto"/>
              </w:rPr>
            </w:pPr>
          </w:p>
        </w:tc>
        <w:tc>
          <w:tcPr>
            <w:tcW w:w="76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shd w:val="clear" w:color="auto" w:fill="C00000"/>
              </w:rPr>
              <w:t>✓</w:t>
            </w:r>
          </w:p>
        </w:tc>
        <w:tc>
          <w:tcPr>
            <w:tcW w:w="8040" w:type="dxa"/>
            <w:vAlign w:val="bottom"/>
          </w:tcPr>
          <w:p>
            <w:pPr>
              <w:ind w:left="220"/>
              <w:spacing w:after="0"/>
              <w:rPr>
                <w:sz w:val="20"/>
                <w:szCs w:val="20"/>
                <w:color w:val="auto"/>
              </w:rPr>
            </w:pPr>
            <w:r>
              <w:rPr>
                <w:rFonts w:ascii="Arial" w:cs="Arial" w:eastAsia="Arial" w:hAnsi="Arial"/>
                <w:sz w:val="18"/>
                <w:szCs w:val="18"/>
                <w:color w:val="auto"/>
              </w:rPr>
              <w:t>Emphasize long-term performance in our equity-based incentive awards</w:t>
            </w:r>
          </w:p>
        </w:tc>
        <w:tc>
          <w:tcPr>
            <w:tcW w:w="0" w:type="dxa"/>
            <w:vAlign w:val="bottom"/>
          </w:tcPr>
          <w:p>
            <w:pPr>
              <w:spacing w:after="0"/>
              <w:rPr>
                <w:sz w:val="1"/>
                <w:szCs w:val="1"/>
                <w:color w:val="auto"/>
              </w:rPr>
            </w:pPr>
          </w:p>
        </w:tc>
      </w:tr>
      <w:tr>
        <w:trPr>
          <w:trHeight w:val="267"/>
        </w:trPr>
        <w:tc>
          <w:tcPr>
            <w:tcW w:w="2200" w:type="dxa"/>
            <w:vAlign w:val="bottom"/>
            <w:vMerge w:val="restart"/>
            <w:shd w:val="clear" w:color="auto" w:fill="BF2115"/>
          </w:tcPr>
          <w:p>
            <w:pPr>
              <w:jc w:val="center"/>
              <w:spacing w:after="0"/>
              <w:rPr>
                <w:sz w:val="20"/>
                <w:szCs w:val="20"/>
                <w:color w:val="auto"/>
              </w:rPr>
            </w:pPr>
            <w:r>
              <w:rPr>
                <w:rFonts w:ascii="Arial" w:cs="Arial" w:eastAsia="Arial" w:hAnsi="Arial"/>
                <w:sz w:val="18"/>
                <w:szCs w:val="18"/>
                <w:b w:val="1"/>
                <w:bCs w:val="1"/>
                <w:color w:val="FFFFFF"/>
                <w:w w:val="97"/>
              </w:rPr>
              <w:t>What we do</w:t>
            </w:r>
          </w:p>
        </w:tc>
        <w:tc>
          <w:tcPr>
            <w:tcW w:w="76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shd w:val="clear" w:color="auto" w:fill="C00000"/>
              </w:rPr>
              <w:t>✓</w:t>
            </w:r>
          </w:p>
        </w:tc>
        <w:tc>
          <w:tcPr>
            <w:tcW w:w="8040" w:type="dxa"/>
            <w:vAlign w:val="bottom"/>
          </w:tcPr>
          <w:p>
            <w:pPr>
              <w:ind w:left="220"/>
              <w:spacing w:after="0"/>
              <w:rPr>
                <w:sz w:val="20"/>
                <w:szCs w:val="20"/>
                <w:color w:val="auto"/>
              </w:rPr>
            </w:pPr>
            <w:r>
              <w:rPr>
                <w:rFonts w:ascii="Arial" w:cs="Arial" w:eastAsia="Arial" w:hAnsi="Arial"/>
                <w:sz w:val="18"/>
                <w:szCs w:val="18"/>
                <w:color w:val="auto"/>
              </w:rPr>
              <w:t>Use a mix of performance measures in our incentive plans</w:t>
            </w:r>
          </w:p>
        </w:tc>
        <w:tc>
          <w:tcPr>
            <w:tcW w:w="0" w:type="dxa"/>
            <w:vAlign w:val="bottom"/>
          </w:tcPr>
          <w:p>
            <w:pPr>
              <w:spacing w:after="0"/>
              <w:rPr>
                <w:sz w:val="1"/>
                <w:szCs w:val="1"/>
                <w:color w:val="auto"/>
              </w:rPr>
            </w:pPr>
          </w:p>
        </w:tc>
      </w:tr>
      <w:tr>
        <w:trPr>
          <w:trHeight w:val="152"/>
        </w:trPr>
        <w:tc>
          <w:tcPr>
            <w:tcW w:w="2200" w:type="dxa"/>
            <w:vAlign w:val="bottom"/>
            <w:vMerge w:val="continue"/>
            <w:shd w:val="clear" w:color="auto" w:fill="BF2115"/>
          </w:tcPr>
          <w:p>
            <w:pPr>
              <w:spacing w:after="0"/>
              <w:rPr>
                <w:sz w:val="13"/>
                <w:szCs w:val="13"/>
                <w:color w:val="auto"/>
              </w:rPr>
            </w:pPr>
          </w:p>
        </w:tc>
        <w:tc>
          <w:tcPr>
            <w:tcW w:w="760" w:type="dxa"/>
            <w:vAlign w:val="bottom"/>
            <w:vMerge w:val="restart"/>
          </w:tcPr>
          <w:p>
            <w:pPr>
              <w:jc w:val="center"/>
              <w:ind w:left="111"/>
              <w:spacing w:after="0" w:line="181" w:lineRule="exact"/>
              <w:rPr>
                <w:sz w:val="20"/>
                <w:szCs w:val="20"/>
                <w:color w:val="auto"/>
              </w:rPr>
            </w:pPr>
            <w:r>
              <w:rPr>
                <w:rFonts w:ascii="MS PGothic" w:cs="MS PGothic" w:eastAsia="MS PGothic" w:hAnsi="MS PGothic"/>
                <w:sz w:val="18"/>
                <w:szCs w:val="18"/>
                <w:color w:val="auto"/>
                <w:w w:val="88"/>
                <w:shd w:val="clear" w:color="auto" w:fill="C00000"/>
              </w:rPr>
              <w:t>✓</w:t>
            </w:r>
          </w:p>
        </w:tc>
        <w:tc>
          <w:tcPr>
            <w:tcW w:w="8040" w:type="dxa"/>
            <w:vAlign w:val="bottom"/>
            <w:vMerge w:val="restart"/>
          </w:tcPr>
          <w:p>
            <w:pPr>
              <w:ind w:left="220"/>
              <w:spacing w:after="0"/>
              <w:rPr>
                <w:sz w:val="20"/>
                <w:szCs w:val="20"/>
                <w:color w:val="auto"/>
              </w:rPr>
            </w:pPr>
            <w:r>
              <w:rPr>
                <w:rFonts w:ascii="Arial" w:cs="Arial" w:eastAsia="Arial" w:hAnsi="Arial"/>
                <w:sz w:val="18"/>
                <w:szCs w:val="18"/>
                <w:color w:val="auto"/>
              </w:rPr>
              <w:t>Establish threshold levels of performance and caps on payouts</w:t>
            </w:r>
          </w:p>
        </w:tc>
        <w:tc>
          <w:tcPr>
            <w:tcW w:w="0" w:type="dxa"/>
            <w:vAlign w:val="bottom"/>
          </w:tcPr>
          <w:p>
            <w:pPr>
              <w:spacing w:after="0"/>
              <w:rPr>
                <w:sz w:val="1"/>
                <w:szCs w:val="1"/>
                <w:color w:val="auto"/>
              </w:rPr>
            </w:pPr>
          </w:p>
        </w:tc>
      </w:tr>
      <w:tr>
        <w:trPr>
          <w:trHeight w:val="115"/>
        </w:trPr>
        <w:tc>
          <w:tcPr>
            <w:tcW w:w="2200" w:type="dxa"/>
            <w:vAlign w:val="bottom"/>
            <w:shd w:val="clear" w:color="auto" w:fill="BF2115"/>
          </w:tcPr>
          <w:p>
            <w:pPr>
              <w:spacing w:after="0"/>
              <w:rPr>
                <w:sz w:val="10"/>
                <w:szCs w:val="10"/>
                <w:color w:val="auto"/>
              </w:rPr>
            </w:pPr>
          </w:p>
        </w:tc>
        <w:tc>
          <w:tcPr>
            <w:tcW w:w="760" w:type="dxa"/>
            <w:vAlign w:val="bottom"/>
            <w:vMerge w:val="continue"/>
          </w:tcPr>
          <w:p>
            <w:pPr>
              <w:spacing w:after="0"/>
              <w:rPr>
                <w:sz w:val="10"/>
                <w:szCs w:val="10"/>
                <w:color w:val="auto"/>
              </w:rPr>
            </w:pPr>
          </w:p>
        </w:tc>
        <w:tc>
          <w:tcPr>
            <w:tcW w:w="8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6"/>
        </w:trPr>
        <w:tc>
          <w:tcPr>
            <w:tcW w:w="2200" w:type="dxa"/>
            <w:vAlign w:val="bottom"/>
            <w:tcBorders>
              <w:bottom w:val="single" w:sz="8" w:color="BF2115"/>
            </w:tcBorders>
            <w:shd w:val="clear" w:color="auto" w:fill="BF2115"/>
          </w:tcPr>
          <w:p>
            <w:pPr>
              <w:spacing w:after="0"/>
              <w:rPr>
                <w:sz w:val="24"/>
                <w:szCs w:val="24"/>
                <w:color w:val="auto"/>
              </w:rPr>
            </w:pPr>
          </w:p>
        </w:tc>
        <w:tc>
          <w:tcPr>
            <w:tcW w:w="760" w:type="dxa"/>
            <w:vAlign w:val="bottom"/>
            <w:tcBorders>
              <w:bottom w:val="single" w:sz="8" w:color="D9D9D9"/>
            </w:tcBorders>
          </w:tcPr>
          <w:p>
            <w:pPr>
              <w:jc w:val="center"/>
              <w:ind w:left="111"/>
              <w:spacing w:after="0" w:line="181" w:lineRule="exact"/>
              <w:rPr>
                <w:sz w:val="20"/>
                <w:szCs w:val="20"/>
                <w:color w:val="auto"/>
              </w:rPr>
            </w:pPr>
            <w:r>
              <w:rPr>
                <w:rFonts w:ascii="MS PGothic" w:cs="MS PGothic" w:eastAsia="MS PGothic" w:hAnsi="MS PGothic"/>
                <w:sz w:val="18"/>
                <w:szCs w:val="18"/>
                <w:color w:val="auto"/>
                <w:w w:val="88"/>
                <w:shd w:val="clear" w:color="auto" w:fill="C00000"/>
              </w:rPr>
              <w:t>✓</w:t>
            </w:r>
          </w:p>
        </w:tc>
        <w:tc>
          <w:tcPr>
            <w:tcW w:w="8040" w:type="dxa"/>
            <w:vAlign w:val="bottom"/>
            <w:tcBorders>
              <w:bottom w:val="single" w:sz="8" w:color="D9D9D9"/>
            </w:tcBorders>
          </w:tcPr>
          <w:p>
            <w:pPr>
              <w:ind w:left="220"/>
              <w:spacing w:after="0"/>
              <w:rPr>
                <w:sz w:val="20"/>
                <w:szCs w:val="20"/>
                <w:color w:val="auto"/>
              </w:rPr>
            </w:pPr>
            <w:r>
              <w:rPr>
                <w:rFonts w:ascii="Arial" w:cs="Arial" w:eastAsia="Arial" w:hAnsi="Arial"/>
                <w:sz w:val="18"/>
                <w:szCs w:val="18"/>
                <w:color w:val="auto"/>
              </w:rPr>
              <w:t>Maintain a robust clawback policy and provisions</w:t>
            </w:r>
          </w:p>
        </w:tc>
        <w:tc>
          <w:tcPr>
            <w:tcW w:w="0" w:type="dxa"/>
            <w:vAlign w:val="bottom"/>
          </w:tcPr>
          <w:p>
            <w:pPr>
              <w:spacing w:after="0"/>
              <w:rPr>
                <w:sz w:val="1"/>
                <w:szCs w:val="1"/>
                <w:color w:val="auto"/>
              </w:rPr>
            </w:pPr>
          </w:p>
        </w:tc>
      </w:tr>
      <w:tr>
        <w:trPr>
          <w:trHeight w:val="253"/>
        </w:trPr>
        <w:tc>
          <w:tcPr>
            <w:tcW w:w="2200" w:type="dxa"/>
            <w:vAlign w:val="bottom"/>
            <w:shd w:val="clear" w:color="auto" w:fill="BF2115"/>
          </w:tcPr>
          <w:p>
            <w:pPr>
              <w:spacing w:after="0"/>
              <w:rPr>
                <w:sz w:val="21"/>
                <w:szCs w:val="21"/>
                <w:color w:val="auto"/>
              </w:rPr>
            </w:pPr>
          </w:p>
        </w:tc>
        <w:tc>
          <w:tcPr>
            <w:tcW w:w="760" w:type="dxa"/>
            <w:vAlign w:val="bottom"/>
          </w:tcPr>
          <w:p>
            <w:pPr>
              <w:jc w:val="center"/>
              <w:ind w:left="111"/>
              <w:spacing w:after="0"/>
              <w:rPr>
                <w:sz w:val="20"/>
                <w:szCs w:val="20"/>
                <w:color w:val="auto"/>
              </w:rPr>
            </w:pPr>
            <w:r>
              <w:rPr>
                <w:rFonts w:ascii="Arial" w:cs="Arial" w:eastAsia="Arial" w:hAnsi="Arial"/>
                <w:sz w:val="18"/>
                <w:szCs w:val="18"/>
                <w:b w:val="1"/>
                <w:bCs w:val="1"/>
                <w:color w:val="BF2115"/>
                <w:w w:val="99"/>
              </w:rPr>
              <w:t>Х</w:t>
            </w:r>
          </w:p>
        </w:tc>
        <w:tc>
          <w:tcPr>
            <w:tcW w:w="8040" w:type="dxa"/>
            <w:vAlign w:val="bottom"/>
          </w:tcPr>
          <w:p>
            <w:pPr>
              <w:ind w:left="220"/>
              <w:spacing w:after="0"/>
              <w:rPr>
                <w:sz w:val="20"/>
                <w:szCs w:val="20"/>
                <w:color w:val="auto"/>
              </w:rPr>
            </w:pPr>
            <w:r>
              <w:rPr>
                <w:rFonts w:ascii="Arial" w:cs="Arial" w:eastAsia="Arial" w:hAnsi="Arial"/>
                <w:sz w:val="18"/>
                <w:szCs w:val="18"/>
                <w:color w:val="auto"/>
              </w:rPr>
              <w:t>No guaranteed base salary increases</w:t>
            </w:r>
          </w:p>
        </w:tc>
        <w:tc>
          <w:tcPr>
            <w:tcW w:w="0" w:type="dxa"/>
            <w:vAlign w:val="bottom"/>
          </w:tcPr>
          <w:p>
            <w:pPr>
              <w:spacing w:after="0"/>
              <w:rPr>
                <w:sz w:val="1"/>
                <w:szCs w:val="1"/>
                <w:color w:val="auto"/>
              </w:rPr>
            </w:pPr>
          </w:p>
        </w:tc>
      </w:tr>
      <w:tr>
        <w:trPr>
          <w:trHeight w:val="267"/>
        </w:trPr>
        <w:tc>
          <w:tcPr>
            <w:tcW w:w="2200" w:type="dxa"/>
            <w:vAlign w:val="bottom"/>
            <w:vMerge w:val="restart"/>
            <w:shd w:val="clear" w:color="auto" w:fill="BF2115"/>
          </w:tcPr>
          <w:p>
            <w:pPr>
              <w:jc w:val="center"/>
              <w:spacing w:after="0"/>
              <w:rPr>
                <w:sz w:val="20"/>
                <w:szCs w:val="20"/>
                <w:color w:val="auto"/>
              </w:rPr>
            </w:pPr>
            <w:r>
              <w:rPr>
                <w:rFonts w:ascii="Arial" w:cs="Arial" w:eastAsia="Arial" w:hAnsi="Arial"/>
                <w:sz w:val="18"/>
                <w:szCs w:val="18"/>
                <w:b w:val="1"/>
                <w:bCs w:val="1"/>
                <w:color w:val="FFFFFF"/>
                <w:w w:val="98"/>
              </w:rPr>
              <w:t>What we</w:t>
            </w:r>
          </w:p>
        </w:tc>
        <w:tc>
          <w:tcPr>
            <w:tcW w:w="760" w:type="dxa"/>
            <w:vAlign w:val="bottom"/>
          </w:tcPr>
          <w:p>
            <w:pPr>
              <w:jc w:val="center"/>
              <w:ind w:left="111"/>
              <w:spacing w:after="0"/>
              <w:rPr>
                <w:sz w:val="20"/>
                <w:szCs w:val="20"/>
                <w:color w:val="auto"/>
              </w:rPr>
            </w:pPr>
            <w:r>
              <w:rPr>
                <w:rFonts w:ascii="Arial" w:cs="Arial" w:eastAsia="Arial" w:hAnsi="Arial"/>
                <w:sz w:val="18"/>
                <w:szCs w:val="18"/>
                <w:b w:val="1"/>
                <w:bCs w:val="1"/>
                <w:color w:val="BF2115"/>
                <w:w w:val="99"/>
              </w:rPr>
              <w:t>Х</w:t>
            </w:r>
          </w:p>
        </w:tc>
        <w:tc>
          <w:tcPr>
            <w:tcW w:w="8040" w:type="dxa"/>
            <w:vAlign w:val="bottom"/>
          </w:tcPr>
          <w:p>
            <w:pPr>
              <w:ind w:left="220"/>
              <w:spacing w:after="0"/>
              <w:rPr>
                <w:sz w:val="20"/>
                <w:szCs w:val="20"/>
                <w:color w:val="auto"/>
              </w:rPr>
            </w:pPr>
            <w:r>
              <w:rPr>
                <w:rFonts w:ascii="Arial" w:cs="Arial" w:eastAsia="Arial" w:hAnsi="Arial"/>
                <w:sz w:val="18"/>
                <w:szCs w:val="18"/>
                <w:color w:val="auto"/>
              </w:rPr>
              <w:t>No guaranteed incentives or bonuses</w:t>
            </w:r>
          </w:p>
        </w:tc>
        <w:tc>
          <w:tcPr>
            <w:tcW w:w="0" w:type="dxa"/>
            <w:vAlign w:val="bottom"/>
          </w:tcPr>
          <w:p>
            <w:pPr>
              <w:spacing w:after="0"/>
              <w:rPr>
                <w:sz w:val="1"/>
                <w:szCs w:val="1"/>
                <w:color w:val="auto"/>
              </w:rPr>
            </w:pPr>
          </w:p>
        </w:tc>
      </w:tr>
      <w:tr>
        <w:trPr>
          <w:trHeight w:val="169"/>
        </w:trPr>
        <w:tc>
          <w:tcPr>
            <w:tcW w:w="2200" w:type="dxa"/>
            <w:vAlign w:val="bottom"/>
            <w:vMerge w:val="continue"/>
            <w:shd w:val="clear" w:color="auto" w:fill="BF2115"/>
          </w:tcPr>
          <w:p>
            <w:pPr>
              <w:spacing w:after="0"/>
              <w:rPr>
                <w:sz w:val="14"/>
                <w:szCs w:val="14"/>
                <w:color w:val="auto"/>
              </w:rPr>
            </w:pPr>
          </w:p>
        </w:tc>
        <w:tc>
          <w:tcPr>
            <w:tcW w:w="760" w:type="dxa"/>
            <w:vAlign w:val="bottom"/>
            <w:vMerge w:val="restart"/>
          </w:tcPr>
          <w:p>
            <w:pPr>
              <w:jc w:val="center"/>
              <w:ind w:left="111"/>
              <w:spacing w:after="0"/>
              <w:rPr>
                <w:sz w:val="20"/>
                <w:szCs w:val="20"/>
                <w:color w:val="auto"/>
              </w:rPr>
            </w:pPr>
            <w:r>
              <w:rPr>
                <w:rFonts w:ascii="Arial" w:cs="Arial" w:eastAsia="Arial" w:hAnsi="Arial"/>
                <w:sz w:val="18"/>
                <w:szCs w:val="18"/>
                <w:b w:val="1"/>
                <w:bCs w:val="1"/>
                <w:color w:val="BF2115"/>
                <w:w w:val="99"/>
              </w:rPr>
              <w:t>Х</w:t>
            </w:r>
          </w:p>
        </w:tc>
        <w:tc>
          <w:tcPr>
            <w:tcW w:w="8040" w:type="dxa"/>
            <w:vAlign w:val="bottom"/>
            <w:vMerge w:val="restart"/>
          </w:tcPr>
          <w:p>
            <w:pPr>
              <w:ind w:left="220"/>
              <w:spacing w:after="0"/>
              <w:rPr>
                <w:sz w:val="20"/>
                <w:szCs w:val="20"/>
                <w:color w:val="auto"/>
              </w:rPr>
            </w:pPr>
            <w:r>
              <w:rPr>
                <w:rFonts w:ascii="Arial" w:cs="Arial" w:eastAsia="Arial" w:hAnsi="Arial"/>
                <w:sz w:val="18"/>
                <w:szCs w:val="18"/>
                <w:color w:val="auto"/>
              </w:rPr>
              <w:t>No excessive perquisites</w:t>
            </w:r>
          </w:p>
        </w:tc>
        <w:tc>
          <w:tcPr>
            <w:tcW w:w="0" w:type="dxa"/>
            <w:vAlign w:val="bottom"/>
          </w:tcPr>
          <w:p>
            <w:pPr>
              <w:spacing w:after="0"/>
              <w:rPr>
                <w:sz w:val="1"/>
                <w:szCs w:val="1"/>
                <w:color w:val="auto"/>
              </w:rPr>
            </w:pPr>
          </w:p>
        </w:tc>
      </w:tr>
      <w:tr>
        <w:trPr>
          <w:trHeight w:val="98"/>
        </w:trPr>
        <w:tc>
          <w:tcPr>
            <w:tcW w:w="2200" w:type="dxa"/>
            <w:vAlign w:val="bottom"/>
            <w:vMerge w:val="restart"/>
            <w:shd w:val="clear" w:color="auto" w:fill="BF2115"/>
          </w:tcPr>
          <w:p>
            <w:pPr>
              <w:jc w:val="center"/>
              <w:spacing w:after="0"/>
              <w:rPr>
                <w:sz w:val="20"/>
                <w:szCs w:val="20"/>
                <w:color w:val="auto"/>
              </w:rPr>
            </w:pPr>
            <w:r>
              <w:rPr>
                <w:rFonts w:ascii="Arial" w:cs="Arial" w:eastAsia="Arial" w:hAnsi="Arial"/>
                <w:sz w:val="18"/>
                <w:szCs w:val="18"/>
                <w:b w:val="1"/>
                <w:bCs w:val="1"/>
                <w:color w:val="FFFFFF"/>
                <w:w w:val="99"/>
              </w:rPr>
              <w:t>don't do</w:t>
            </w:r>
          </w:p>
        </w:tc>
        <w:tc>
          <w:tcPr>
            <w:tcW w:w="760" w:type="dxa"/>
            <w:vAlign w:val="bottom"/>
            <w:vMerge w:val="continue"/>
          </w:tcPr>
          <w:p>
            <w:pPr>
              <w:spacing w:after="0"/>
              <w:rPr>
                <w:sz w:val="8"/>
                <w:szCs w:val="8"/>
                <w:color w:val="auto"/>
              </w:rPr>
            </w:pPr>
          </w:p>
        </w:tc>
        <w:tc>
          <w:tcPr>
            <w:tcW w:w="8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200" w:type="dxa"/>
            <w:vAlign w:val="bottom"/>
            <w:vMerge w:val="continue"/>
            <w:shd w:val="clear" w:color="auto" w:fill="BF2115"/>
          </w:tcPr>
          <w:p>
            <w:pPr>
              <w:spacing w:after="0"/>
              <w:rPr>
                <w:sz w:val="12"/>
                <w:szCs w:val="12"/>
                <w:color w:val="auto"/>
              </w:rPr>
            </w:pPr>
          </w:p>
        </w:tc>
        <w:tc>
          <w:tcPr>
            <w:tcW w:w="760" w:type="dxa"/>
            <w:vAlign w:val="bottom"/>
            <w:vMerge w:val="restart"/>
          </w:tcPr>
          <w:p>
            <w:pPr>
              <w:jc w:val="center"/>
              <w:ind w:left="111"/>
              <w:spacing w:after="0"/>
              <w:rPr>
                <w:sz w:val="20"/>
                <w:szCs w:val="20"/>
                <w:color w:val="auto"/>
              </w:rPr>
            </w:pPr>
            <w:r>
              <w:rPr>
                <w:rFonts w:ascii="Arial" w:cs="Arial" w:eastAsia="Arial" w:hAnsi="Arial"/>
                <w:sz w:val="18"/>
                <w:szCs w:val="18"/>
                <w:b w:val="1"/>
                <w:bCs w:val="1"/>
                <w:color w:val="BF2115"/>
                <w:w w:val="99"/>
              </w:rPr>
              <w:t>Х</w:t>
            </w:r>
          </w:p>
        </w:tc>
        <w:tc>
          <w:tcPr>
            <w:tcW w:w="8040" w:type="dxa"/>
            <w:vAlign w:val="bottom"/>
            <w:vMerge w:val="restart"/>
          </w:tcPr>
          <w:p>
            <w:pPr>
              <w:ind w:left="220"/>
              <w:spacing w:after="0"/>
              <w:rPr>
                <w:sz w:val="20"/>
                <w:szCs w:val="20"/>
                <w:color w:val="auto"/>
              </w:rPr>
            </w:pPr>
            <w:r>
              <w:rPr>
                <w:rFonts w:ascii="Arial" w:cs="Arial" w:eastAsia="Arial" w:hAnsi="Arial"/>
                <w:sz w:val="18"/>
                <w:szCs w:val="18"/>
                <w:color w:val="auto"/>
              </w:rPr>
              <w:t>No individual executive employment agreements</w:t>
            </w:r>
          </w:p>
        </w:tc>
        <w:tc>
          <w:tcPr>
            <w:tcW w:w="0" w:type="dxa"/>
            <w:vAlign w:val="bottom"/>
          </w:tcPr>
          <w:p>
            <w:pPr>
              <w:spacing w:after="0"/>
              <w:rPr>
                <w:sz w:val="1"/>
                <w:szCs w:val="1"/>
                <w:color w:val="auto"/>
              </w:rPr>
            </w:pPr>
          </w:p>
        </w:tc>
      </w:tr>
      <w:tr>
        <w:trPr>
          <w:trHeight w:val="120"/>
        </w:trPr>
        <w:tc>
          <w:tcPr>
            <w:tcW w:w="2200" w:type="dxa"/>
            <w:vAlign w:val="bottom"/>
            <w:shd w:val="clear" w:color="auto" w:fill="BF2115"/>
          </w:tcPr>
          <w:p>
            <w:pPr>
              <w:spacing w:after="0"/>
              <w:rPr>
                <w:sz w:val="10"/>
                <w:szCs w:val="10"/>
                <w:color w:val="auto"/>
              </w:rPr>
            </w:pPr>
          </w:p>
        </w:tc>
        <w:tc>
          <w:tcPr>
            <w:tcW w:w="760" w:type="dxa"/>
            <w:vAlign w:val="bottom"/>
            <w:vMerge w:val="continue"/>
          </w:tcPr>
          <w:p>
            <w:pPr>
              <w:spacing w:after="0"/>
              <w:rPr>
                <w:sz w:val="10"/>
                <w:szCs w:val="10"/>
                <w:color w:val="auto"/>
              </w:rPr>
            </w:pPr>
          </w:p>
        </w:tc>
        <w:tc>
          <w:tcPr>
            <w:tcW w:w="8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1"/>
        </w:trPr>
        <w:tc>
          <w:tcPr>
            <w:tcW w:w="2200" w:type="dxa"/>
            <w:vAlign w:val="bottom"/>
            <w:shd w:val="clear" w:color="auto" w:fill="BF2115"/>
          </w:tcPr>
          <w:p>
            <w:pPr>
              <w:spacing w:after="0"/>
              <w:rPr>
                <w:sz w:val="24"/>
                <w:szCs w:val="24"/>
                <w:color w:val="auto"/>
              </w:rPr>
            </w:pPr>
          </w:p>
        </w:tc>
        <w:tc>
          <w:tcPr>
            <w:tcW w:w="760" w:type="dxa"/>
            <w:vAlign w:val="bottom"/>
          </w:tcPr>
          <w:p>
            <w:pPr>
              <w:jc w:val="center"/>
              <w:ind w:left="111"/>
              <w:spacing w:after="0"/>
              <w:rPr>
                <w:sz w:val="20"/>
                <w:szCs w:val="20"/>
                <w:color w:val="auto"/>
              </w:rPr>
            </w:pPr>
            <w:r>
              <w:rPr>
                <w:rFonts w:ascii="Arial" w:cs="Arial" w:eastAsia="Arial" w:hAnsi="Arial"/>
                <w:sz w:val="18"/>
                <w:szCs w:val="18"/>
                <w:b w:val="1"/>
                <w:bCs w:val="1"/>
                <w:color w:val="BF2115"/>
                <w:w w:val="99"/>
              </w:rPr>
              <w:t>Х</w:t>
            </w:r>
          </w:p>
        </w:tc>
        <w:tc>
          <w:tcPr>
            <w:tcW w:w="8040" w:type="dxa"/>
            <w:vAlign w:val="bottom"/>
          </w:tcPr>
          <w:p>
            <w:pPr>
              <w:ind w:left="220"/>
              <w:spacing w:after="0"/>
              <w:rPr>
                <w:sz w:val="20"/>
                <w:szCs w:val="20"/>
                <w:color w:val="auto"/>
              </w:rPr>
            </w:pPr>
            <w:r>
              <w:rPr>
                <w:rFonts w:ascii="Arial" w:cs="Arial" w:eastAsia="Arial" w:hAnsi="Arial"/>
                <w:sz w:val="18"/>
                <w:szCs w:val="18"/>
                <w:color w:val="auto"/>
              </w:rPr>
              <w:t>No gross-up payments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-871855</wp:posOffset>
            </wp:positionV>
            <wp:extent cx="139827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9827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2" w:name="page13"/>
    <w:bookmarkEnd w:id="12"/>
    <w:p>
      <w:pPr>
        <w:jc w:val="center"/>
        <w:ind w:right="219"/>
        <w:spacing w:after="0"/>
        <w:rPr>
          <w:sz w:val="20"/>
          <w:szCs w:val="20"/>
          <w:color w:val="auto"/>
        </w:rPr>
      </w:pPr>
      <w:r>
        <w:rPr>
          <w:rFonts w:ascii="Arial" w:cs="Arial" w:eastAsia="Arial" w:hAnsi="Arial"/>
          <w:sz w:val="18"/>
          <w:szCs w:val="18"/>
          <w:b w:val="1"/>
          <w:bCs w:val="1"/>
          <w:color w:val="auto"/>
        </w:rPr>
        <w:t>Our fiscal 2025 financial performance resulted in the following:</w:t>
      </w:r>
    </w:p>
    <w:p>
      <w:pPr>
        <w:spacing w:after="0" w:line="4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Annual cash incentives at the corporate level were paid at 81.6% of target.</w:t>
      </w:r>
    </w:p>
    <w:p>
      <w:pPr>
        <w:spacing w:after="0" w:line="47"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Three-year performance awards for the fiscal 2023 to fiscal 2025 performance period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were paid at 22.2% of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79375</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9019"/>
          </w:cols>
          <w:pgMar w:left="1440" w:top="1161"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25"/>
          <w:szCs w:val="25"/>
          <w:b w:val="1"/>
          <w:bCs w:val="1"/>
          <w:color w:val="C00000"/>
        </w:rPr>
        <w:t>THE TORO COMPANY</w:t>
      </w:r>
    </w:p>
    <w:p>
      <w:pPr>
        <w:jc w:val="center"/>
        <w:spacing w:after="0" w:line="235" w:lineRule="auto"/>
        <w:rPr>
          <w:sz w:val="20"/>
          <w:szCs w:val="20"/>
          <w:color w:val="auto"/>
        </w:rPr>
      </w:pPr>
      <w:r>
        <w:rPr>
          <w:rFonts w:ascii="Arial" w:cs="Arial" w:eastAsia="Arial" w:hAnsi="Arial"/>
          <w:sz w:val="18"/>
          <w:szCs w:val="18"/>
          <w:color w:val="auto"/>
        </w:rPr>
        <w:t>8111 Lyndale Avenue South</w:t>
      </w:r>
    </w:p>
    <w:p>
      <w:pPr>
        <w:jc w:val="center"/>
        <w:spacing w:after="0"/>
        <w:rPr>
          <w:sz w:val="20"/>
          <w:szCs w:val="20"/>
          <w:color w:val="auto"/>
        </w:rPr>
      </w:pPr>
      <w:r>
        <w:rPr>
          <w:rFonts w:ascii="Arial" w:cs="Arial" w:eastAsia="Arial" w:hAnsi="Arial"/>
          <w:sz w:val="18"/>
          <w:szCs w:val="18"/>
          <w:color w:val="auto"/>
        </w:rPr>
        <w:t>Bloomington, Minnesota 55420-1196</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C00000"/>
        </w:rPr>
        <w:t>PROXY STATEMENT</w:t>
      </w:r>
    </w:p>
    <w:p>
      <w:pPr>
        <w:jc w:val="center"/>
        <w:spacing w:after="0" w:line="235" w:lineRule="auto"/>
        <w:rPr>
          <w:sz w:val="20"/>
          <w:szCs w:val="20"/>
          <w:color w:val="auto"/>
        </w:rPr>
      </w:pPr>
      <w:r>
        <w:rPr>
          <w:rFonts w:ascii="Arial" w:cs="Arial" w:eastAsia="Arial" w:hAnsi="Arial"/>
          <w:sz w:val="18"/>
          <w:szCs w:val="18"/>
          <w:color w:val="auto"/>
        </w:rPr>
        <w:t>2026 ANNUAL MEETING OF STOCKHOLDERS</w:t>
      </w:r>
    </w:p>
    <w:p>
      <w:pPr>
        <w:jc w:val="center"/>
        <w:spacing w:after="0" w:line="232" w:lineRule="auto"/>
        <w:rPr>
          <w:sz w:val="20"/>
          <w:szCs w:val="20"/>
          <w:color w:val="auto"/>
        </w:rPr>
      </w:pPr>
      <w:r>
        <w:rPr>
          <w:rFonts w:ascii="Arial" w:cs="Arial" w:eastAsia="Arial" w:hAnsi="Arial"/>
          <w:sz w:val="18"/>
          <w:szCs w:val="18"/>
          <w:color w:val="auto"/>
        </w:rPr>
        <w:t>TUESDAY, MARCH 17, 2026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 p.m. Central Daylight Time</w:t>
      </w:r>
    </w:p>
    <w:p>
      <w:pPr>
        <w:spacing w:after="0" w:line="151"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color w:val="auto"/>
        </w:rPr>
        <w:t>The Toro Company Board of Directors is using this proxy statement to solicit your proxy for use at The Toro Company 2026 Annual Meeting of Stockholders. We intend to send a Notice Regarding the Availability of Proxy Materials for the annual meeting and make proxy</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materials available to stockholders (or for certain stockholders and for those who request, a paper version of this proxy statement and the form of proxy) on or about February 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1"/>
          <w:szCs w:val="21"/>
          <w:b w:val="1"/>
          <w:bCs w:val="1"/>
          <w:color w:val="FFFFFF"/>
        </w:rPr>
        <w:t>PROPOSAL ONE—ELECTION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4225" cy="186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866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Board Size and Structure</w:t>
      </w:r>
    </w:p>
    <w:p>
      <w:pPr>
        <w:spacing w:after="0" w:line="84"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7"/>
          <w:szCs w:val="17"/>
          <w:color w:val="auto"/>
        </w:rPr>
        <w:t>Our Restated Certificate of Incorporation provides that our Board of Directors may be comprised of between eight and twelve directors. Currently, our Board is comprised of nine directors until the Board determines to change the number. As provided in our Restated Certificate of</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Incorporation, our Board is divided into three staggered classes of directors of the same or nearly the same number, with each class elected in a different year for a term of three years. Our current directors and their respective current terms are as follows:</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260"/>
        </w:trPr>
        <w:tc>
          <w:tcPr>
            <w:tcW w:w="36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Current Term Ending at</w:t>
            </w:r>
          </w:p>
        </w:tc>
        <w:tc>
          <w:tcPr>
            <w:tcW w:w="368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Current Term Ending at</w:t>
            </w:r>
          </w:p>
        </w:tc>
        <w:tc>
          <w:tcPr>
            <w:tcW w:w="368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Current Term Ending at</w:t>
            </w:r>
          </w:p>
        </w:tc>
      </w:tr>
      <w:tr>
        <w:trPr>
          <w:trHeight w:val="254"/>
        </w:trPr>
        <w:tc>
          <w:tcPr>
            <w:tcW w:w="3660" w:type="dxa"/>
            <w:vAlign w:val="bottom"/>
            <w:tcBorders>
              <w:bottom w:val="single" w:sz="8" w:color="BF2115"/>
            </w:tcBorders>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2026 Annual Meeting</w:t>
            </w:r>
          </w:p>
        </w:tc>
        <w:tc>
          <w:tcPr>
            <w:tcW w:w="3680" w:type="dxa"/>
            <w:vAlign w:val="bottom"/>
            <w:tcBorders>
              <w:bottom w:val="single" w:sz="8" w:color="BF2115"/>
            </w:tcBorders>
            <w:shd w:val="clear" w:color="auto" w:fill="BF2115"/>
          </w:tcPr>
          <w:p>
            <w:pPr>
              <w:jc w:val="center"/>
              <w:spacing w:after="0"/>
              <w:rPr>
                <w:sz w:val="20"/>
                <w:szCs w:val="20"/>
                <w:color w:val="auto"/>
              </w:rPr>
            </w:pPr>
            <w:r>
              <w:rPr>
                <w:rFonts w:ascii="Arial" w:cs="Arial" w:eastAsia="Arial" w:hAnsi="Arial"/>
                <w:sz w:val="16"/>
                <w:szCs w:val="16"/>
                <w:b w:val="1"/>
                <w:bCs w:val="1"/>
                <w:color w:val="FFFFFF"/>
              </w:rPr>
              <w:t>2027 Annual Meeting</w:t>
            </w:r>
          </w:p>
        </w:tc>
        <w:tc>
          <w:tcPr>
            <w:tcW w:w="3680" w:type="dxa"/>
            <w:vAlign w:val="bottom"/>
            <w:tcBorders>
              <w:bottom w:val="single" w:sz="8" w:color="BF2115"/>
            </w:tcBorders>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2028 Annual Meeting</w:t>
            </w:r>
          </w:p>
        </w:tc>
      </w:tr>
      <w:tr>
        <w:trPr>
          <w:trHeight w:val="254"/>
        </w:trPr>
        <w:tc>
          <w:tcPr>
            <w:tcW w:w="36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Dianne C. Craig</w:t>
            </w:r>
          </w:p>
        </w:tc>
        <w:tc>
          <w:tcPr>
            <w:tcW w:w="36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Gary L. Ellis</w:t>
            </w:r>
          </w:p>
        </w:tc>
        <w:tc>
          <w:tcPr>
            <w:tcW w:w="36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Jeffrey L. Harmening</w:t>
            </w:r>
          </w:p>
        </w:tc>
      </w:tr>
      <w:tr>
        <w:trPr>
          <w:trHeight w:val="248"/>
        </w:trPr>
        <w:tc>
          <w:tcPr>
            <w:tcW w:w="3660" w:type="dxa"/>
            <w:vAlign w:val="bottom"/>
          </w:tcPr>
          <w:p>
            <w:pPr>
              <w:jc w:val="center"/>
              <w:spacing w:after="0"/>
              <w:rPr>
                <w:sz w:val="20"/>
                <w:szCs w:val="20"/>
                <w:color w:val="auto"/>
              </w:rPr>
            </w:pPr>
            <w:r>
              <w:rPr>
                <w:rFonts w:ascii="Arial" w:cs="Arial" w:eastAsia="Arial" w:hAnsi="Arial"/>
                <w:sz w:val="18"/>
                <w:szCs w:val="18"/>
                <w:color w:val="auto"/>
                <w:w w:val="97"/>
              </w:rPr>
              <w:t>Eric P. Hansotia</w:t>
            </w:r>
          </w:p>
        </w:tc>
        <w:tc>
          <w:tcPr>
            <w:tcW w:w="3680" w:type="dxa"/>
            <w:vAlign w:val="bottom"/>
          </w:tcPr>
          <w:p>
            <w:pPr>
              <w:jc w:val="center"/>
              <w:spacing w:after="0"/>
              <w:rPr>
                <w:sz w:val="20"/>
                <w:szCs w:val="20"/>
                <w:color w:val="auto"/>
              </w:rPr>
            </w:pPr>
            <w:r>
              <w:rPr>
                <w:rFonts w:ascii="Arial" w:cs="Arial" w:eastAsia="Arial" w:hAnsi="Arial"/>
                <w:sz w:val="18"/>
                <w:szCs w:val="18"/>
                <w:color w:val="auto"/>
                <w:w w:val="97"/>
              </w:rPr>
              <w:t>Richard M. Olson</w:t>
            </w:r>
          </w:p>
        </w:tc>
        <w:tc>
          <w:tcPr>
            <w:tcW w:w="3680" w:type="dxa"/>
            <w:vAlign w:val="bottom"/>
          </w:tcPr>
          <w:p>
            <w:pPr>
              <w:jc w:val="center"/>
              <w:spacing w:after="0"/>
              <w:rPr>
                <w:sz w:val="20"/>
                <w:szCs w:val="20"/>
                <w:color w:val="auto"/>
              </w:rPr>
            </w:pPr>
            <w:r>
              <w:rPr>
                <w:rFonts w:ascii="Arial" w:cs="Arial" w:eastAsia="Arial" w:hAnsi="Arial"/>
                <w:sz w:val="18"/>
                <w:szCs w:val="18"/>
                <w:color w:val="auto"/>
                <w:w w:val="99"/>
              </w:rPr>
              <w:t>Joyce A. Mullen</w:t>
            </w:r>
          </w:p>
        </w:tc>
      </w:tr>
      <w:tr>
        <w:trPr>
          <w:trHeight w:val="259"/>
        </w:trPr>
        <w:tc>
          <w:tcPr>
            <w:tcW w:w="36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D. Christian Koch</w:t>
            </w:r>
          </w:p>
        </w:tc>
        <w:tc>
          <w:tcPr>
            <w:tcW w:w="36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7"/>
              </w:rPr>
              <w:t>Jill M. Pemberton</w:t>
            </w:r>
          </w:p>
        </w:tc>
        <w:tc>
          <w:tcPr>
            <w:tcW w:w="36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James C. O'Rourke</w:t>
            </w:r>
          </w:p>
        </w:tc>
      </w:tr>
    </w:tbl>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Nominees for Director</w:t>
      </w:r>
    </w:p>
    <w:p>
      <w:pPr>
        <w:spacing w:after="0" w:line="84"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The Board has nominated Dianne C. Craig, Eric P. Hansotia and D. Christian Koch to serve three-year terms expiring at the 2029 annual meeting. Each director nominee is a current member of the Board and has consented to serve if elected. Proxies only can be voted for the number of persons named as nominees in this proxy statement, which is three.</w:t>
      </w:r>
    </w:p>
    <w:p>
      <w:pPr>
        <w:spacing w:after="0" w:line="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prior to the annual meeting the Board learns that any nominee will be unable to serve for any reason, the proxies that otherwise</w:t>
      </w:r>
    </w:p>
    <w:p>
      <w:pPr>
        <w:spacing w:after="0" w:line="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would have been voted for that nominee will be voted for a substitute nominee as selected by the Board. Alternatively, at the Board's discretion, the proxies may be voted for that fewer number of nominees as results from the inability of any nominee to serve. The Board has no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reason to believe that any of the three nominees will be unable to serve.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500"/>
        </w:trPr>
        <w:tc>
          <w:tcPr>
            <w:tcW w:w="9800" w:type="dxa"/>
            <w:vAlign w:val="bottom"/>
            <w:vMerge w:val="restart"/>
            <w:shd w:val="clear" w:color="auto" w:fill="BF2115"/>
          </w:tcPr>
          <w:p>
            <w:pPr>
              <w:ind w:left="1320"/>
              <w:spacing w:after="0"/>
              <w:rPr>
                <w:sz w:val="20"/>
                <w:szCs w:val="20"/>
                <w:color w:val="auto"/>
              </w:rPr>
            </w:pPr>
            <w:r>
              <w:rPr>
                <w:rFonts w:ascii="Arial" w:cs="Arial" w:eastAsia="Arial" w:hAnsi="Arial"/>
                <w:sz w:val="21"/>
                <w:szCs w:val="21"/>
                <w:b w:val="1"/>
                <w:bCs w:val="1"/>
                <w:color w:val="FFFFFF"/>
              </w:rPr>
              <w:t>The Board of Directors Recommends a Vote FOR Each Nominee for Director</w:t>
            </w:r>
          </w:p>
        </w:tc>
        <w:tc>
          <w:tcPr>
            <w:tcW w:w="1440" w:type="dxa"/>
            <w:vAlign w:val="bottom"/>
            <w:shd w:val="clear" w:color="auto" w:fill="BF2115"/>
          </w:tcPr>
          <w:p>
            <w:pPr>
              <w:ind w:left="760"/>
              <w:spacing w:after="0" w:line="501" w:lineRule="exact"/>
              <w:rPr>
                <w:sz w:val="20"/>
                <w:szCs w:val="20"/>
                <w:color w:val="auto"/>
              </w:rPr>
            </w:pPr>
            <w:r>
              <w:rPr>
                <w:rFonts w:ascii="MS PGothic" w:cs="MS PGothic" w:eastAsia="MS PGothic" w:hAnsi="MS PGothic"/>
                <w:sz w:val="50"/>
                <w:szCs w:val="50"/>
                <w:color w:val="auto"/>
                <w:highlight w:val="white"/>
              </w:rPr>
              <w:t>☑</w:t>
            </w:r>
          </w:p>
        </w:tc>
        <w:tc>
          <w:tcPr>
            <w:tcW w:w="0" w:type="dxa"/>
            <w:vAlign w:val="bottom"/>
          </w:tcPr>
          <w:p>
            <w:pPr>
              <w:spacing w:after="0"/>
              <w:rPr>
                <w:sz w:val="1"/>
                <w:szCs w:val="1"/>
                <w:color w:val="auto"/>
              </w:rPr>
            </w:pPr>
          </w:p>
        </w:tc>
      </w:tr>
      <w:tr>
        <w:trPr>
          <w:trHeight w:val="80"/>
        </w:trPr>
        <w:tc>
          <w:tcPr>
            <w:tcW w:w="9800" w:type="dxa"/>
            <w:vAlign w:val="bottom"/>
            <w:vMerge w:val="continue"/>
            <w:shd w:val="clear" w:color="auto" w:fill="BF2115"/>
          </w:tcPr>
          <w:p>
            <w:pPr>
              <w:spacing w:after="0"/>
              <w:rPr>
                <w:sz w:val="6"/>
                <w:szCs w:val="6"/>
                <w:color w:val="auto"/>
              </w:rPr>
            </w:pPr>
          </w:p>
        </w:tc>
        <w:tc>
          <w:tcPr>
            <w:tcW w:w="1440" w:type="dxa"/>
            <w:vAlign w:val="bottom"/>
            <w:shd w:val="clear" w:color="auto" w:fill="BF2115"/>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9800" w:type="dxa"/>
            <w:vAlign w:val="bottom"/>
            <w:shd w:val="clear" w:color="auto" w:fill="BF2115"/>
          </w:tcPr>
          <w:p>
            <w:pPr>
              <w:spacing w:after="0"/>
              <w:rPr>
                <w:sz w:val="15"/>
                <w:szCs w:val="15"/>
                <w:color w:val="auto"/>
              </w:rPr>
            </w:pPr>
          </w:p>
        </w:tc>
        <w:tc>
          <w:tcPr>
            <w:tcW w:w="1440" w:type="dxa"/>
            <w:vAlign w:val="bottom"/>
            <w:shd w:val="clear" w:color="auto" w:fill="BF2115"/>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5" w:name="page16"/>
    <w:bookmarkEnd w:id="15"/>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Information About Director Nominees and Continuing Directors</w:t>
      </w:r>
    </w:p>
    <w:p>
      <w:pPr>
        <w:spacing w:after="0" w:line="84" w:lineRule="exact"/>
        <w:rPr>
          <w:sz w:val="20"/>
          <w:szCs w:val="20"/>
          <w:color w:val="auto"/>
        </w:rPr>
      </w:pPr>
    </w:p>
    <w:p>
      <w:pPr>
        <w:ind w:firstLine="640"/>
        <w:spacing w:after="0" w:line="262" w:lineRule="auto"/>
        <w:rPr>
          <w:sz w:val="20"/>
          <w:szCs w:val="20"/>
          <w:color w:val="auto"/>
        </w:rPr>
      </w:pPr>
      <w:r>
        <w:rPr>
          <w:rFonts w:ascii="Arial" w:cs="Arial" w:eastAsia="Arial" w:hAnsi="Arial"/>
          <w:sz w:val="18"/>
          <w:szCs w:val="18"/>
          <w:color w:val="auto"/>
        </w:rPr>
        <w:t>The following pages provide information about the nominees for election to the Board at the annual meeting, each of whom is a current Board member, and each of the other continuing members of the Board.</w:t>
      </w:r>
    </w:p>
    <w:p>
      <w:pPr>
        <w:spacing w:after="0" w:line="42" w:lineRule="exact"/>
        <w:rPr>
          <w:sz w:val="20"/>
          <w:szCs w:val="20"/>
          <w:color w:val="auto"/>
        </w:rPr>
      </w:pPr>
    </w:p>
    <w:p>
      <w:pPr>
        <w:ind w:firstLine="640"/>
        <w:spacing w:after="0" w:line="255" w:lineRule="auto"/>
        <w:rPr>
          <w:sz w:val="20"/>
          <w:szCs w:val="20"/>
          <w:color w:val="auto"/>
        </w:rPr>
      </w:pPr>
      <w:r>
        <w:rPr>
          <w:rFonts w:ascii="Arial" w:cs="Arial" w:eastAsia="Arial" w:hAnsi="Arial"/>
          <w:sz w:val="17"/>
          <w:szCs w:val="17"/>
          <w:color w:val="auto"/>
        </w:rPr>
        <w:t>All of our director nominees and continuing directors bring to our Board a wealth of executive leadership experience as well as personal and professional integrity; appropriate levels of education and business experience; strong business acumen; an appropriate level of</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understanding of our business, industries and other relevant industries; the ability and willingness to devote adequate time to the work of our Board and its committees; a fit of skills and personality with those of our other directors that helps build a Board that is effective, collegial and</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responsive to the needs of our Company; strategic thinking acumen and a willingness to share ideas; a diversity of experiences, expertise, cultures and backgrounds; and the ability to represent the interests of all our stockholders.</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Board considers the following skills and experience to be integral to the success of our Company:</w:t>
      </w:r>
    </w:p>
    <w:p>
      <w:pPr>
        <w:sectPr>
          <w:pgSz w:w="11900" w:h="16838" w:orient="portrait"/>
          <w:cols w:equalWidth="0" w:num="1">
            <w:col w:w="11240"/>
          </w:cols>
          <w:pgMar w:left="320" w:top="1440" w:right="339" w:bottom="1440" w:gutter="0" w:footer="0" w:header="0"/>
        </w:sectPr>
      </w:pP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C00000"/>
        </w:rPr>
        <w:t xml:space="preserve">Current/Former CEO. </w:t>
      </w:r>
      <w:r>
        <w:rPr>
          <w:rFonts w:ascii="Arial" w:cs="Arial" w:eastAsia="Arial" w:hAnsi="Arial"/>
          <w:sz w:val="18"/>
          <w:szCs w:val="18"/>
          <w:color w:val="000000"/>
        </w:rPr>
        <w:t>Current  or  former  experience  as  a  chief</w:t>
      </w:r>
    </w:p>
    <w:p>
      <w:pPr>
        <w:spacing w:after="0" w:line="11" w:lineRule="exact"/>
        <w:rPr>
          <w:sz w:val="20"/>
          <w:szCs w:val="20"/>
          <w:color w:val="auto"/>
        </w:rPr>
      </w:pPr>
    </w:p>
    <w:p>
      <w:pPr>
        <w:ind w:left="20"/>
        <w:spacing w:after="0" w:line="237" w:lineRule="auto"/>
        <w:rPr>
          <w:sz w:val="20"/>
          <w:szCs w:val="20"/>
          <w:color w:val="auto"/>
        </w:rPr>
      </w:pPr>
      <w:r>
        <w:rPr>
          <w:rFonts w:ascii="Arial" w:cs="Arial" w:eastAsia="Arial" w:hAnsi="Arial"/>
          <w:sz w:val="17"/>
          <w:szCs w:val="17"/>
          <w:color w:val="auto"/>
        </w:rPr>
        <w:t>executive officer is important for providing unique insights on complex global organizations, strategy, risk management, and how to drive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and growth.</w:t>
      </w:r>
    </w:p>
    <w:p>
      <w:pPr>
        <w:spacing w:after="0" w:line="29" w:lineRule="exact"/>
        <w:rPr>
          <w:sz w:val="20"/>
          <w:szCs w:val="20"/>
          <w:color w:val="auto"/>
        </w:rPr>
      </w:pPr>
    </w:p>
    <w:p>
      <w:pPr>
        <w:ind w:left="20" w:right="20"/>
        <w:spacing w:after="0" w:line="234" w:lineRule="auto"/>
        <w:rPr>
          <w:sz w:val="20"/>
          <w:szCs w:val="20"/>
          <w:color w:val="auto"/>
        </w:rPr>
      </w:pPr>
      <w:r>
        <w:rPr>
          <w:rFonts w:ascii="Arial" w:cs="Arial" w:eastAsia="Arial" w:hAnsi="Arial"/>
          <w:sz w:val="18"/>
          <w:szCs w:val="18"/>
          <w:b w:val="1"/>
          <w:bCs w:val="1"/>
          <w:color w:val="C00000"/>
        </w:rPr>
        <w:t xml:space="preserve">Finance/Financial Oversight. </w:t>
      </w:r>
      <w:r>
        <w:rPr>
          <w:rFonts w:ascii="Arial" w:cs="Arial" w:eastAsia="Arial" w:hAnsi="Arial"/>
          <w:sz w:val="18"/>
          <w:szCs w:val="18"/>
          <w:color w:val="000000"/>
        </w:rPr>
        <w:t>A strong understanding of accounting</w:t>
      </w:r>
      <w:r>
        <w:rPr>
          <w:rFonts w:ascii="Arial" w:cs="Arial" w:eastAsia="Arial" w:hAnsi="Arial"/>
          <w:sz w:val="18"/>
          <w:szCs w:val="18"/>
          <w:b w:val="1"/>
          <w:bCs w:val="1"/>
          <w:color w:val="C00000"/>
        </w:rPr>
        <w:t xml:space="preserve"> </w:t>
      </w:r>
      <w:r>
        <w:rPr>
          <w:rFonts w:ascii="Arial" w:cs="Arial" w:eastAsia="Arial" w:hAnsi="Arial"/>
          <w:sz w:val="18"/>
          <w:szCs w:val="18"/>
          <w:color w:val="000000"/>
        </w:rPr>
        <w:t>and finance is important in critically evaluating our performance and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overseeing the integrity of our financial reporting.</w:t>
      </w:r>
    </w:p>
    <w:p>
      <w:pPr>
        <w:spacing w:after="0" w:line="29" w:lineRule="exact"/>
        <w:rPr>
          <w:sz w:val="20"/>
          <w:szCs w:val="20"/>
          <w:color w:val="auto"/>
        </w:rPr>
      </w:pPr>
    </w:p>
    <w:p>
      <w:pPr>
        <w:ind w:left="20" w:right="20"/>
        <w:spacing w:after="0" w:line="234" w:lineRule="auto"/>
        <w:rPr>
          <w:sz w:val="20"/>
          <w:szCs w:val="20"/>
          <w:color w:val="auto"/>
        </w:rPr>
      </w:pPr>
      <w:r>
        <w:rPr>
          <w:rFonts w:ascii="Arial" w:cs="Arial" w:eastAsia="Arial" w:hAnsi="Arial"/>
          <w:sz w:val="18"/>
          <w:szCs w:val="18"/>
          <w:b w:val="1"/>
          <w:bCs w:val="1"/>
          <w:color w:val="C00000"/>
        </w:rPr>
        <w:t xml:space="preserve">Corporate Governance. </w:t>
      </w:r>
      <w:r>
        <w:rPr>
          <w:rFonts w:ascii="Arial" w:cs="Arial" w:eastAsia="Arial" w:hAnsi="Arial"/>
          <w:sz w:val="18"/>
          <w:szCs w:val="18"/>
          <w:color w:val="000000"/>
        </w:rPr>
        <w:t>Experience with corporate governance,</w:t>
      </w:r>
      <w:r>
        <w:rPr>
          <w:rFonts w:ascii="Arial" w:cs="Arial" w:eastAsia="Arial" w:hAnsi="Arial"/>
          <w:sz w:val="18"/>
          <w:szCs w:val="18"/>
          <w:b w:val="1"/>
          <w:bCs w:val="1"/>
          <w:color w:val="C00000"/>
        </w:rPr>
        <w:t xml:space="preserve"> </w:t>
      </w:r>
      <w:r>
        <w:rPr>
          <w:rFonts w:ascii="Arial" w:cs="Arial" w:eastAsia="Arial" w:hAnsi="Arial"/>
          <w:sz w:val="18"/>
          <w:szCs w:val="18"/>
          <w:color w:val="000000"/>
        </w:rPr>
        <w:t>including with public company boards, fosters a deep understanding</w:t>
      </w:r>
    </w:p>
    <w:p>
      <w:pPr>
        <w:ind w:left="20"/>
        <w:spacing w:after="0" w:line="233" w:lineRule="auto"/>
        <w:rPr>
          <w:sz w:val="20"/>
          <w:szCs w:val="20"/>
          <w:color w:val="auto"/>
        </w:rPr>
      </w:pPr>
      <w:r>
        <w:rPr>
          <w:rFonts w:ascii="Arial" w:cs="Arial" w:eastAsia="Arial" w:hAnsi="Arial"/>
          <w:sz w:val="18"/>
          <w:szCs w:val="18"/>
          <w:color w:val="auto"/>
        </w:rPr>
        <w:t>of the duties and responsibilities of a public company board of</w:t>
      </w:r>
    </w:p>
    <w:p>
      <w:pPr>
        <w:spacing w:after="0" w:line="1" w:lineRule="exact"/>
        <w:rPr>
          <w:sz w:val="20"/>
          <w:szCs w:val="20"/>
          <w:color w:val="auto"/>
        </w:rPr>
      </w:pPr>
    </w:p>
    <w:p>
      <w:pPr>
        <w:ind w:left="20" w:right="20"/>
        <w:spacing w:after="0" w:line="224" w:lineRule="auto"/>
        <w:rPr>
          <w:sz w:val="20"/>
          <w:szCs w:val="20"/>
          <w:color w:val="auto"/>
        </w:rPr>
      </w:pPr>
      <w:r>
        <w:rPr>
          <w:rFonts w:ascii="Arial" w:cs="Arial" w:eastAsia="Arial" w:hAnsi="Arial"/>
          <w:sz w:val="18"/>
          <w:szCs w:val="18"/>
          <w:color w:val="auto"/>
        </w:rPr>
        <w:t>directors, promotes efficient and effective board processes, and enhances board effectiveness, which ultimately supports our goals of</w:t>
      </w:r>
    </w:p>
    <w:p>
      <w:pPr>
        <w:spacing w:after="0" w:line="1" w:lineRule="exact"/>
        <w:rPr>
          <w:sz w:val="20"/>
          <w:szCs w:val="20"/>
          <w:color w:val="auto"/>
        </w:rPr>
      </w:pPr>
    </w:p>
    <w:p>
      <w:pPr>
        <w:ind w:left="20" w:right="20"/>
        <w:spacing w:after="0" w:line="243" w:lineRule="auto"/>
        <w:rPr>
          <w:sz w:val="20"/>
          <w:szCs w:val="20"/>
          <w:color w:val="auto"/>
        </w:rPr>
      </w:pPr>
      <w:r>
        <w:rPr>
          <w:rFonts w:ascii="Arial" w:cs="Arial" w:eastAsia="Arial" w:hAnsi="Arial"/>
          <w:sz w:val="18"/>
          <w:szCs w:val="18"/>
          <w:color w:val="auto"/>
        </w:rPr>
        <w:t>independent oversight, strong Board and management accountability, transparency, and long-term stockholder value.</w:t>
      </w:r>
    </w:p>
    <w:p>
      <w:pPr>
        <w:spacing w:after="0" w:line="3" w:lineRule="exact"/>
        <w:rPr>
          <w:sz w:val="20"/>
          <w:szCs w:val="20"/>
          <w:color w:val="auto"/>
        </w:rPr>
      </w:pPr>
    </w:p>
    <w:p>
      <w:pPr>
        <w:ind w:left="20"/>
        <w:spacing w:after="0"/>
        <w:tabs>
          <w:tab w:leader="none" w:pos="2220" w:val="left"/>
          <w:tab w:leader="none" w:pos="4120" w:val="left"/>
          <w:tab w:leader="none" w:pos="5380" w:val="left"/>
        </w:tabs>
        <w:rPr>
          <w:sz w:val="20"/>
          <w:szCs w:val="20"/>
          <w:color w:val="auto"/>
        </w:rPr>
      </w:pPr>
      <w:r>
        <w:rPr>
          <w:rFonts w:ascii="Arial" w:cs="Arial" w:eastAsia="Arial" w:hAnsi="Arial"/>
          <w:sz w:val="18"/>
          <w:szCs w:val="18"/>
          <w:b w:val="1"/>
          <w:bCs w:val="1"/>
          <w:color w:val="C00000"/>
        </w:rPr>
        <w:t>Manufacturing/Supply</w:t>
      </w:r>
      <w:r>
        <w:rPr>
          <w:sz w:val="20"/>
          <w:szCs w:val="20"/>
          <w:color w:val="auto"/>
        </w:rPr>
        <w:tab/>
      </w:r>
      <w:r>
        <w:rPr>
          <w:rFonts w:ascii="Arial" w:cs="Arial" w:eastAsia="Arial" w:hAnsi="Arial"/>
          <w:sz w:val="18"/>
          <w:szCs w:val="18"/>
          <w:b w:val="1"/>
          <w:bCs w:val="1"/>
          <w:color w:val="C00000"/>
        </w:rPr>
        <w:t>Chain/Operations.</w:t>
      </w:r>
      <w:r>
        <w:rPr>
          <w:sz w:val="20"/>
          <w:szCs w:val="20"/>
          <w:color w:val="auto"/>
        </w:rPr>
        <w:tab/>
      </w:r>
      <w:r>
        <w:rPr>
          <w:rFonts w:ascii="Arial" w:cs="Arial" w:eastAsia="Arial" w:hAnsi="Arial"/>
          <w:sz w:val="18"/>
          <w:szCs w:val="18"/>
          <w:color w:val="auto"/>
        </w:rPr>
        <w:t>Experience</w:t>
      </w:r>
      <w:r>
        <w:rPr>
          <w:sz w:val="20"/>
          <w:szCs w:val="20"/>
          <w:color w:val="auto"/>
        </w:rPr>
        <w:tab/>
      </w:r>
      <w:r>
        <w:rPr>
          <w:rFonts w:ascii="Arial" w:cs="Arial" w:eastAsia="Arial" w:hAnsi="Arial"/>
          <w:sz w:val="17"/>
          <w:szCs w:val="17"/>
          <w:color w:val="auto"/>
        </w:rPr>
        <w:t>in</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manufacturing, supply chain and operations is important for providing</w:t>
      </w:r>
    </w:p>
    <w:p>
      <w:pPr>
        <w:ind w:left="20" w:right="20"/>
        <w:spacing w:after="0" w:line="234" w:lineRule="auto"/>
        <w:rPr>
          <w:sz w:val="20"/>
          <w:szCs w:val="20"/>
          <w:color w:val="auto"/>
        </w:rPr>
      </w:pPr>
      <w:r>
        <w:rPr>
          <w:rFonts w:ascii="Arial" w:cs="Arial" w:eastAsia="Arial" w:hAnsi="Arial"/>
          <w:sz w:val="18"/>
          <w:szCs w:val="18"/>
          <w:color w:val="auto"/>
        </w:rPr>
        <w:t>oversight of optimal manufacturing processes, supplier relationships and the capital needs of the Company.</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C00000"/>
        </w:rPr>
        <w:t xml:space="preserve">Distribution Channel. </w:t>
      </w:r>
      <w:r>
        <w:rPr>
          <w:rFonts w:ascii="Arial" w:cs="Arial" w:eastAsia="Arial" w:hAnsi="Arial"/>
          <w:sz w:val="18"/>
          <w:szCs w:val="18"/>
          <w:color w:val="000000"/>
        </w:rPr>
        <w:t>Understanding our distribution channel is key</w:t>
      </w:r>
    </w:p>
    <w:p>
      <w:pPr>
        <w:spacing w:after="0" w:line="11" w:lineRule="exact"/>
        <w:rPr>
          <w:sz w:val="20"/>
          <w:szCs w:val="20"/>
          <w:color w:val="auto"/>
        </w:rPr>
      </w:pPr>
    </w:p>
    <w:p>
      <w:pPr>
        <w:ind w:left="20" w:right="20"/>
        <w:spacing w:after="0" w:line="234" w:lineRule="auto"/>
        <w:rPr>
          <w:sz w:val="20"/>
          <w:szCs w:val="20"/>
          <w:color w:val="auto"/>
        </w:rPr>
      </w:pPr>
      <w:r>
        <w:rPr>
          <w:rFonts w:ascii="Arial" w:cs="Arial" w:eastAsia="Arial" w:hAnsi="Arial"/>
          <w:sz w:val="18"/>
          <w:szCs w:val="18"/>
          <w:color w:val="auto"/>
        </w:rPr>
        <w:t>to providing important perspectives on our relationships with our distribution partners.</w:t>
      </w:r>
    </w:p>
    <w:p>
      <w:pPr>
        <w:spacing w:after="0" w:line="19" w:lineRule="exact"/>
        <w:rPr>
          <w:sz w:val="20"/>
          <w:szCs w:val="20"/>
          <w:color w:val="auto"/>
        </w:rPr>
      </w:pPr>
    </w:p>
    <w:p>
      <w:pPr>
        <w:ind w:left="20" w:right="20"/>
        <w:spacing w:after="0" w:line="234" w:lineRule="auto"/>
        <w:rPr>
          <w:sz w:val="20"/>
          <w:szCs w:val="20"/>
          <w:color w:val="auto"/>
        </w:rPr>
      </w:pPr>
      <w:r>
        <w:rPr>
          <w:rFonts w:ascii="Arial" w:cs="Arial" w:eastAsia="Arial" w:hAnsi="Arial"/>
          <w:sz w:val="18"/>
          <w:szCs w:val="18"/>
          <w:b w:val="1"/>
          <w:bCs w:val="1"/>
          <w:color w:val="C00000"/>
        </w:rPr>
        <w:t xml:space="preserve">Strategic Planning and Business Development. </w:t>
      </w:r>
      <w:r>
        <w:rPr>
          <w:rFonts w:ascii="Arial" w:cs="Arial" w:eastAsia="Arial" w:hAnsi="Arial"/>
          <w:sz w:val="18"/>
          <w:szCs w:val="18"/>
          <w:color w:val="000000"/>
        </w:rPr>
        <w:t>Strong strategic</w:t>
      </w:r>
      <w:r>
        <w:rPr>
          <w:rFonts w:ascii="Arial" w:cs="Arial" w:eastAsia="Arial" w:hAnsi="Arial"/>
          <w:sz w:val="18"/>
          <w:szCs w:val="18"/>
          <w:b w:val="1"/>
          <w:bCs w:val="1"/>
          <w:color w:val="C00000"/>
        </w:rPr>
        <w:t xml:space="preserve"> </w:t>
      </w:r>
      <w:r>
        <w:rPr>
          <w:rFonts w:ascii="Arial" w:cs="Arial" w:eastAsia="Arial" w:hAnsi="Arial"/>
          <w:sz w:val="18"/>
          <w:szCs w:val="18"/>
          <w:color w:val="000000"/>
        </w:rPr>
        <w:t>planning experience, including technology, is vital to assisting us with</w:t>
      </w:r>
    </w:p>
    <w:p>
      <w:pPr>
        <w:ind w:left="20"/>
        <w:spacing w:after="0"/>
        <w:tabs>
          <w:tab w:leader="none" w:pos="400" w:val="left"/>
          <w:tab w:leader="none" w:pos="1000" w:val="left"/>
          <w:tab w:leader="none" w:pos="1460" w:val="left"/>
          <w:tab w:leader="none" w:pos="2340" w:val="left"/>
          <w:tab w:leader="none" w:pos="3160" w:val="left"/>
          <w:tab w:leader="none" w:pos="3980" w:val="left"/>
          <w:tab w:leader="none" w:pos="4420" w:val="left"/>
          <w:tab w:leader="none" w:pos="4860" w:val="left"/>
        </w:tabs>
        <w:rPr>
          <w:sz w:val="20"/>
          <w:szCs w:val="20"/>
          <w:color w:val="auto"/>
        </w:rPr>
      </w:pPr>
      <w:r>
        <w:rPr>
          <w:rFonts w:ascii="Arial" w:cs="Arial" w:eastAsia="Arial" w:hAnsi="Arial"/>
          <w:sz w:val="18"/>
          <w:szCs w:val="18"/>
          <w:color w:val="auto"/>
        </w:rPr>
        <w:t>our</w:t>
        <w:tab/>
        <w:t>short-</w:t>
        <w:tab/>
        <w:t>and</w:t>
        <w:tab/>
        <w:t>long-term</w:t>
        <w:tab/>
        <w:t>strategic</w:t>
        <w:tab/>
        <w:t>planning</w:t>
        <w:tab/>
        <w:t>and</w:t>
        <w:tab/>
        <w:t>key</w:t>
      </w:r>
      <w:r>
        <w:rPr>
          <w:sz w:val="20"/>
          <w:szCs w:val="20"/>
          <w:color w:val="auto"/>
        </w:rPr>
        <w:tab/>
      </w:r>
      <w:r>
        <w:rPr>
          <w:rFonts w:ascii="Arial" w:cs="Arial" w:eastAsia="Arial" w:hAnsi="Arial"/>
          <w:sz w:val="17"/>
          <w:szCs w:val="17"/>
          <w:color w:val="auto"/>
        </w:rPr>
        <w:t>strategic</w:t>
      </w:r>
    </w:p>
    <w:p>
      <w:pPr>
        <w:spacing w:after="0" w:line="1" w:lineRule="exact"/>
        <w:rPr>
          <w:sz w:val="20"/>
          <w:szCs w:val="20"/>
          <w:color w:val="auto"/>
        </w:rPr>
      </w:pPr>
    </w:p>
    <w:p>
      <w:pPr>
        <w:ind w:left="20" w:right="20"/>
        <w:spacing w:after="0" w:line="224" w:lineRule="auto"/>
        <w:rPr>
          <w:sz w:val="20"/>
          <w:szCs w:val="20"/>
          <w:color w:val="auto"/>
        </w:rPr>
      </w:pPr>
      <w:r>
        <w:rPr>
          <w:rFonts w:ascii="Arial" w:cs="Arial" w:eastAsia="Arial" w:hAnsi="Arial"/>
          <w:sz w:val="18"/>
          <w:szCs w:val="18"/>
          <w:color w:val="auto"/>
        </w:rPr>
        <w:t>decisions, including identifying growth opportunities, expanding market presence, building strategic partnerships and executing high-</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impact initiatives.</w:t>
      </w:r>
    </w:p>
    <w:p>
      <w:pPr>
        <w:spacing w:after="0" w:line="29" w:lineRule="exact"/>
        <w:rPr>
          <w:sz w:val="20"/>
          <w:szCs w:val="20"/>
          <w:color w:val="auto"/>
        </w:rPr>
      </w:pPr>
    </w:p>
    <w:p>
      <w:pPr>
        <w:ind w:left="20" w:right="20"/>
        <w:spacing w:after="0" w:line="248" w:lineRule="auto"/>
        <w:rPr>
          <w:sz w:val="20"/>
          <w:szCs w:val="20"/>
          <w:color w:val="auto"/>
        </w:rPr>
      </w:pPr>
      <w:r>
        <w:rPr>
          <w:rFonts w:ascii="Arial" w:cs="Arial" w:eastAsia="Arial" w:hAnsi="Arial"/>
          <w:sz w:val="17"/>
          <w:szCs w:val="17"/>
          <w:b w:val="1"/>
          <w:bCs w:val="1"/>
          <w:color w:val="C00000"/>
        </w:rPr>
        <w:t xml:space="preserve">Regulatory/Government. </w:t>
      </w:r>
      <w:r>
        <w:rPr>
          <w:rFonts w:ascii="Arial" w:cs="Arial" w:eastAsia="Arial" w:hAnsi="Arial"/>
          <w:sz w:val="17"/>
          <w:szCs w:val="17"/>
          <w:color w:val="000000"/>
        </w:rPr>
        <w:t>Significant governmental and policymaking</w:t>
      </w:r>
      <w:r>
        <w:rPr>
          <w:rFonts w:ascii="Arial" w:cs="Arial" w:eastAsia="Arial" w:hAnsi="Arial"/>
          <w:sz w:val="17"/>
          <w:szCs w:val="17"/>
          <w:b w:val="1"/>
          <w:bCs w:val="1"/>
          <w:color w:val="C00000"/>
        </w:rPr>
        <w:t xml:space="preserve"> </w:t>
      </w:r>
      <w:r>
        <w:rPr>
          <w:rFonts w:ascii="Arial" w:cs="Arial" w:eastAsia="Arial" w:hAnsi="Arial"/>
          <w:sz w:val="17"/>
          <w:szCs w:val="17"/>
          <w:color w:val="000000"/>
        </w:rPr>
        <w:t>experience play an increasingly important role on our Board as our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products become more heavily regulated.</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 xml:space="preserve">Risk Management. </w:t>
      </w:r>
      <w:r>
        <w:rPr>
          <w:rFonts w:ascii="Arial" w:cs="Arial" w:eastAsia="Arial" w:hAnsi="Arial"/>
          <w:sz w:val="18"/>
          <w:szCs w:val="18"/>
          <w:color w:val="000000"/>
        </w:rPr>
        <w:t>Experience with risk management and</w:t>
      </w:r>
    </w:p>
    <w:p>
      <w:pPr>
        <w:spacing w:after="0" w:line="11" w:lineRule="exact"/>
        <w:rPr>
          <w:sz w:val="20"/>
          <w:szCs w:val="20"/>
          <w:color w:val="auto"/>
        </w:rPr>
      </w:pPr>
    </w:p>
    <w:p>
      <w:pPr>
        <w:jc w:val="both"/>
        <w:ind w:right="440"/>
        <w:spacing w:after="0" w:line="224" w:lineRule="auto"/>
        <w:rPr>
          <w:sz w:val="20"/>
          <w:szCs w:val="20"/>
          <w:color w:val="auto"/>
        </w:rPr>
      </w:pPr>
      <w:r>
        <w:rPr>
          <w:rFonts w:ascii="Arial" w:cs="Arial" w:eastAsia="Arial" w:hAnsi="Arial"/>
          <w:sz w:val="18"/>
          <w:szCs w:val="18"/>
          <w:color w:val="auto"/>
        </w:rPr>
        <w:t>compliance develops a director’s ability to appreciate, anticipate and effectively oversee risks, which is critical to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Board’s role in overseeing the risks facing the Company.</w:t>
      </w:r>
    </w:p>
    <w:p>
      <w:pPr>
        <w:spacing w:after="0" w:line="29" w:lineRule="exact"/>
        <w:rPr>
          <w:sz w:val="20"/>
          <w:szCs w:val="20"/>
          <w:color w:val="auto"/>
        </w:rPr>
      </w:pPr>
    </w:p>
    <w:p>
      <w:pPr>
        <w:jc w:val="both"/>
        <w:ind w:right="440"/>
        <w:spacing w:after="0" w:line="234" w:lineRule="auto"/>
        <w:rPr>
          <w:sz w:val="20"/>
          <w:szCs w:val="20"/>
          <w:color w:val="auto"/>
        </w:rPr>
      </w:pPr>
      <w:r>
        <w:rPr>
          <w:rFonts w:ascii="Arial" w:cs="Arial" w:eastAsia="Arial" w:hAnsi="Arial"/>
          <w:sz w:val="18"/>
          <w:szCs w:val="18"/>
          <w:b w:val="1"/>
          <w:bCs w:val="1"/>
          <w:color w:val="C00000"/>
        </w:rPr>
        <w:t xml:space="preserve">Health and Safety. </w:t>
      </w:r>
      <w:r>
        <w:rPr>
          <w:rFonts w:ascii="Arial" w:cs="Arial" w:eastAsia="Arial" w:hAnsi="Arial"/>
          <w:sz w:val="18"/>
          <w:szCs w:val="18"/>
          <w:color w:val="000000"/>
        </w:rPr>
        <w:t>Ability to provide oversight of our</w:t>
      </w:r>
      <w:r>
        <w:rPr>
          <w:rFonts w:ascii="Arial" w:cs="Arial" w:eastAsia="Arial" w:hAnsi="Arial"/>
          <w:sz w:val="18"/>
          <w:szCs w:val="18"/>
          <w:b w:val="1"/>
          <w:bCs w:val="1"/>
          <w:color w:val="C00000"/>
        </w:rPr>
        <w:t xml:space="preserve"> </w:t>
      </w:r>
      <w:r>
        <w:rPr>
          <w:rFonts w:ascii="Arial" w:cs="Arial" w:eastAsia="Arial" w:hAnsi="Arial"/>
          <w:sz w:val="18"/>
          <w:szCs w:val="18"/>
          <w:color w:val="000000"/>
        </w:rPr>
        <w:t>manufacturing operations and employee programs supports</w:t>
      </w:r>
    </w:p>
    <w:p>
      <w:pPr>
        <w:spacing w:after="0" w:line="1" w:lineRule="exact"/>
        <w:rPr>
          <w:sz w:val="20"/>
          <w:szCs w:val="20"/>
          <w:color w:val="auto"/>
        </w:rPr>
      </w:pPr>
    </w:p>
    <w:p>
      <w:pPr>
        <w:jc w:val="both"/>
        <w:ind w:right="440"/>
        <w:spacing w:after="0" w:line="243" w:lineRule="auto"/>
        <w:rPr>
          <w:sz w:val="20"/>
          <w:szCs w:val="20"/>
          <w:color w:val="auto"/>
        </w:rPr>
      </w:pPr>
      <w:r>
        <w:rPr>
          <w:rFonts w:ascii="Arial" w:cs="Arial" w:eastAsia="Arial" w:hAnsi="Arial"/>
          <w:sz w:val="18"/>
          <w:szCs w:val="18"/>
          <w:color w:val="auto"/>
        </w:rPr>
        <w:t>our focus on a culture of wellness and safety in our manufacturing facilities and office environments.</w:t>
      </w:r>
    </w:p>
    <w:p>
      <w:pPr>
        <w:spacing w:after="0" w:line="3" w:lineRule="exact"/>
        <w:rPr>
          <w:sz w:val="20"/>
          <w:szCs w:val="20"/>
          <w:color w:val="auto"/>
        </w:rPr>
      </w:pPr>
    </w:p>
    <w:p>
      <w:pPr>
        <w:jc w:val="both"/>
        <w:ind w:right="440"/>
        <w:spacing w:after="0" w:line="247" w:lineRule="auto"/>
        <w:rPr>
          <w:sz w:val="20"/>
          <w:szCs w:val="20"/>
          <w:color w:val="auto"/>
        </w:rPr>
      </w:pPr>
      <w:r>
        <w:rPr>
          <w:rFonts w:ascii="Arial" w:cs="Arial" w:eastAsia="Arial" w:hAnsi="Arial"/>
          <w:sz w:val="18"/>
          <w:szCs w:val="18"/>
          <w:b w:val="1"/>
          <w:bCs w:val="1"/>
          <w:color w:val="C00000"/>
        </w:rPr>
        <w:t xml:space="preserve">Sustainability/Climate. </w:t>
      </w:r>
      <w:r>
        <w:rPr>
          <w:rFonts w:ascii="Arial" w:cs="Arial" w:eastAsia="Arial" w:hAnsi="Arial"/>
          <w:sz w:val="18"/>
          <w:szCs w:val="18"/>
          <w:color w:val="000000"/>
        </w:rPr>
        <w:t>Our commitment to integrating</w:t>
      </w:r>
      <w:r>
        <w:rPr>
          <w:rFonts w:ascii="Arial" w:cs="Arial" w:eastAsia="Arial" w:hAnsi="Arial"/>
          <w:sz w:val="18"/>
          <w:szCs w:val="18"/>
          <w:b w:val="1"/>
          <w:bCs w:val="1"/>
          <w:color w:val="C00000"/>
        </w:rPr>
        <w:t xml:space="preserve"> </w:t>
      </w:r>
      <w:r>
        <w:rPr>
          <w:rFonts w:ascii="Arial" w:cs="Arial" w:eastAsia="Arial" w:hAnsi="Arial"/>
          <w:sz w:val="18"/>
          <w:szCs w:val="18"/>
          <w:color w:val="000000"/>
        </w:rPr>
        <w:t>sustainability considerations across our businesses is enhanced by the Board’s ability to support these efforts.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Mergers and Acquisitions (M&amp;A) and Other Transactions.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Experience with M&amp;A and other similar transactions, including</w:t>
      </w:r>
    </w:p>
    <w:p>
      <w:pPr>
        <w:jc w:val="both"/>
        <w:ind w:right="440"/>
        <w:spacing w:after="0" w:line="237" w:lineRule="auto"/>
        <w:rPr>
          <w:sz w:val="20"/>
          <w:szCs w:val="20"/>
          <w:color w:val="auto"/>
        </w:rPr>
      </w:pPr>
      <w:r>
        <w:rPr>
          <w:rFonts w:ascii="Arial" w:cs="Arial" w:eastAsia="Arial" w:hAnsi="Arial"/>
          <w:sz w:val="17"/>
          <w:szCs w:val="17"/>
          <w:color w:val="auto"/>
        </w:rPr>
        <w:t>divestitures, joint ventures and other partnerships, is critical to sound decisions for strategically pursuing acquisitions that are</w:t>
      </w:r>
    </w:p>
    <w:p>
      <w:pPr>
        <w:spacing w:after="0" w:line="1" w:lineRule="exact"/>
        <w:rPr>
          <w:sz w:val="20"/>
          <w:szCs w:val="20"/>
          <w:color w:val="auto"/>
        </w:rPr>
      </w:pPr>
    </w:p>
    <w:p>
      <w:pPr>
        <w:jc w:val="both"/>
        <w:ind w:right="440"/>
        <w:spacing w:after="0" w:line="243" w:lineRule="auto"/>
        <w:rPr>
          <w:sz w:val="20"/>
          <w:szCs w:val="20"/>
          <w:color w:val="auto"/>
        </w:rPr>
      </w:pPr>
      <w:r>
        <w:rPr>
          <w:rFonts w:ascii="Arial" w:cs="Arial" w:eastAsia="Arial" w:hAnsi="Arial"/>
          <w:sz w:val="18"/>
          <w:szCs w:val="18"/>
          <w:color w:val="auto"/>
        </w:rPr>
        <w:t>complementary to our businesses and growing our customer base and geographic penetration.</w:t>
      </w:r>
    </w:p>
    <w:p>
      <w:pPr>
        <w:spacing w:after="0" w:line="3" w:lineRule="exact"/>
        <w:rPr>
          <w:sz w:val="20"/>
          <w:szCs w:val="20"/>
          <w:color w:val="auto"/>
        </w:rPr>
      </w:pPr>
    </w:p>
    <w:p>
      <w:pPr>
        <w:jc w:val="both"/>
        <w:ind w:right="440"/>
        <w:spacing w:after="0" w:line="247" w:lineRule="auto"/>
        <w:rPr>
          <w:sz w:val="20"/>
          <w:szCs w:val="20"/>
          <w:color w:val="auto"/>
        </w:rPr>
      </w:pPr>
      <w:r>
        <w:rPr>
          <w:rFonts w:ascii="Arial" w:cs="Arial" w:eastAsia="Arial" w:hAnsi="Arial"/>
          <w:sz w:val="18"/>
          <w:szCs w:val="18"/>
          <w:b w:val="1"/>
          <w:bCs w:val="1"/>
          <w:color w:val="C00000"/>
        </w:rPr>
        <w:t xml:space="preserve">International Operations. </w:t>
      </w:r>
      <w:r>
        <w:rPr>
          <w:rFonts w:ascii="Arial" w:cs="Arial" w:eastAsia="Arial" w:hAnsi="Arial"/>
          <w:sz w:val="18"/>
          <w:szCs w:val="18"/>
          <w:color w:val="000000"/>
        </w:rPr>
        <w:t>Experience with international</w:t>
      </w:r>
      <w:r>
        <w:rPr>
          <w:rFonts w:ascii="Arial" w:cs="Arial" w:eastAsia="Arial" w:hAnsi="Arial"/>
          <w:sz w:val="18"/>
          <w:szCs w:val="18"/>
          <w:b w:val="1"/>
          <w:bCs w:val="1"/>
          <w:color w:val="C00000"/>
        </w:rPr>
        <w:t xml:space="preserve"> </w:t>
      </w:r>
      <w:r>
        <w:rPr>
          <w:rFonts w:ascii="Arial" w:cs="Arial" w:eastAsia="Arial" w:hAnsi="Arial"/>
          <w:sz w:val="18"/>
          <w:szCs w:val="18"/>
          <w:color w:val="000000"/>
        </w:rPr>
        <w:t>operations is important in light of our global footprint and desire to grow our international business.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Information Systems/Cybersecurity/Artificial Intelligence.</w:t>
      </w:r>
    </w:p>
    <w:p>
      <w:pPr>
        <w:spacing w:after="0" w:line="11" w:lineRule="exact"/>
        <w:rPr>
          <w:sz w:val="20"/>
          <w:szCs w:val="20"/>
          <w:color w:val="auto"/>
        </w:rPr>
      </w:pPr>
    </w:p>
    <w:p>
      <w:pPr>
        <w:jc w:val="both"/>
        <w:ind w:right="440"/>
        <w:spacing w:after="0" w:line="224" w:lineRule="auto"/>
        <w:rPr>
          <w:sz w:val="20"/>
          <w:szCs w:val="20"/>
          <w:color w:val="auto"/>
        </w:rPr>
      </w:pPr>
      <w:r>
        <w:rPr>
          <w:rFonts w:ascii="Arial" w:cs="Arial" w:eastAsia="Arial" w:hAnsi="Arial"/>
          <w:sz w:val="18"/>
          <w:szCs w:val="18"/>
          <w:color w:val="auto"/>
        </w:rPr>
        <w:t>Board oversight of our information systems, cybersecurity risk and use of artificial intelligence is critical in light of the</w:t>
      </w:r>
    </w:p>
    <w:p>
      <w:pPr>
        <w:spacing w:after="0" w:line="232" w:lineRule="auto"/>
        <w:rPr>
          <w:sz w:val="20"/>
          <w:szCs w:val="20"/>
          <w:color w:val="auto"/>
        </w:rPr>
      </w:pPr>
      <w:r>
        <w:rPr>
          <w:rFonts w:ascii="Arial" w:cs="Arial" w:eastAsia="Arial" w:hAnsi="Arial"/>
          <w:sz w:val="18"/>
          <w:szCs w:val="18"/>
          <w:color w:val="auto"/>
        </w:rPr>
        <w:t>increasing prevalence of cyber attacks, and evolving uses of</w:t>
      </w:r>
    </w:p>
    <w:p>
      <w:pPr>
        <w:spacing w:after="0" w:line="1" w:lineRule="exact"/>
        <w:rPr>
          <w:sz w:val="20"/>
          <w:szCs w:val="20"/>
          <w:color w:val="auto"/>
        </w:rPr>
      </w:pPr>
    </w:p>
    <w:p>
      <w:pPr>
        <w:jc w:val="both"/>
        <w:ind w:right="440"/>
        <w:spacing w:after="0" w:line="234" w:lineRule="auto"/>
        <w:rPr>
          <w:sz w:val="20"/>
          <w:szCs w:val="20"/>
          <w:color w:val="auto"/>
        </w:rPr>
      </w:pPr>
      <w:r>
        <w:rPr>
          <w:rFonts w:ascii="Arial" w:cs="Arial" w:eastAsia="Arial" w:hAnsi="Arial"/>
          <w:sz w:val="18"/>
          <w:szCs w:val="18"/>
          <w:color w:val="auto"/>
        </w:rPr>
        <w:t>artificial intelligence, that could result in reputational, legal, and operational issues for the Company.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 xml:space="preserve">Previously Resided Outside the United States. </w:t>
      </w:r>
      <w:r>
        <w:rPr>
          <w:rFonts w:ascii="Arial" w:cs="Arial" w:eastAsia="Arial" w:hAnsi="Arial"/>
          <w:sz w:val="18"/>
          <w:szCs w:val="18"/>
          <w:color w:val="000000"/>
        </w:rPr>
        <w:t>A solid</w:t>
      </w:r>
    </w:p>
    <w:p>
      <w:pPr>
        <w:spacing w:after="0" w:line="11" w:lineRule="exact"/>
        <w:rPr>
          <w:sz w:val="20"/>
          <w:szCs w:val="20"/>
          <w:color w:val="auto"/>
        </w:rPr>
      </w:pPr>
    </w:p>
    <w:p>
      <w:pPr>
        <w:jc w:val="both"/>
        <w:ind w:right="440"/>
        <w:spacing w:after="0" w:line="255" w:lineRule="auto"/>
        <w:rPr>
          <w:sz w:val="20"/>
          <w:szCs w:val="20"/>
          <w:color w:val="auto"/>
        </w:rPr>
      </w:pPr>
      <w:r>
        <w:rPr>
          <w:rFonts w:ascii="Arial" w:cs="Arial" w:eastAsia="Arial" w:hAnsi="Arial"/>
          <w:sz w:val="17"/>
          <w:szCs w:val="17"/>
          <w:color w:val="auto"/>
        </w:rPr>
        <w:t>understanding of our global workforce and customers assists the Company with further developing our international strategy.</w:t>
      </w:r>
    </w:p>
    <w:p>
      <w:pPr>
        <w:spacing w:after="0" w:line="325" w:lineRule="exact"/>
        <w:rPr>
          <w:sz w:val="20"/>
          <w:szCs w:val="20"/>
          <w:color w:val="auto"/>
        </w:rPr>
      </w:pPr>
    </w:p>
    <w:p>
      <w:pPr>
        <w:sectPr>
          <w:pgSz w:w="11900" w:h="16838" w:orient="portrait"/>
          <w:cols w:equalWidth="0" w:num="2">
            <w:col w:w="5560" w:space="300"/>
            <w:col w:w="53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 w:name="page17"/>
    <w:bookmarkEnd w:id="16"/>
    <w:p>
      <w:pPr>
        <w:jc w:val="both"/>
        <w:ind w:right="80" w:firstLine="640"/>
        <w:spacing w:after="0" w:line="247" w:lineRule="auto"/>
        <w:rPr>
          <w:sz w:val="20"/>
          <w:szCs w:val="20"/>
          <w:color w:val="auto"/>
        </w:rPr>
      </w:pPr>
      <w:r>
        <w:rPr>
          <w:rFonts w:ascii="Arial" w:cs="Arial" w:eastAsia="Arial" w:hAnsi="Arial"/>
          <w:sz w:val="18"/>
          <w:szCs w:val="18"/>
          <w:color w:val="auto"/>
        </w:rPr>
        <w:t>The chart below summarizes the key experience of each director nominee and continuing director in these critical areas, and provides certain demographic information. Each director also contributes other important skills, knowledge, experience, viewpoints, and perspectives to our Board that are not reflected in the chart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60" w:type="dxa"/>
            <w:vAlign w:val="bottom"/>
            <w:vMerge w:val="restart"/>
            <w:shd w:val="clear" w:color="auto" w:fill="BF2115"/>
          </w:tcPr>
          <w:p>
            <w:pPr>
              <w:ind w:left="20"/>
              <w:spacing w:after="0"/>
              <w:rPr>
                <w:sz w:val="20"/>
                <w:szCs w:val="20"/>
                <w:color w:val="auto"/>
              </w:rPr>
            </w:pPr>
            <w:r>
              <w:rPr>
                <w:rFonts w:ascii="Arial" w:cs="Arial" w:eastAsia="Arial" w:hAnsi="Arial"/>
                <w:sz w:val="16"/>
                <w:szCs w:val="16"/>
                <w:b w:val="1"/>
                <w:bCs w:val="1"/>
                <w:color w:val="FFFFFF"/>
              </w:rPr>
              <w:t>Experience as an Executive Leader in the</w:t>
            </w:r>
          </w:p>
        </w:tc>
        <w:tc>
          <w:tcPr>
            <w:tcW w:w="860" w:type="dxa"/>
            <w:vAlign w:val="bottom"/>
            <w:vMerge w:val="restart"/>
            <w:shd w:val="clear" w:color="auto" w:fill="BF2115"/>
          </w:tcPr>
          <w:p>
            <w:pPr>
              <w:jc w:val="center"/>
              <w:spacing w:after="0"/>
              <w:rPr>
                <w:sz w:val="20"/>
                <w:szCs w:val="20"/>
                <w:color w:val="auto"/>
              </w:rPr>
            </w:pPr>
            <w:r>
              <w:rPr>
                <w:rFonts w:ascii="Arial" w:cs="Arial" w:eastAsia="Arial" w:hAnsi="Arial"/>
                <w:sz w:val="14"/>
                <w:szCs w:val="14"/>
                <w:b w:val="1"/>
                <w:bCs w:val="1"/>
                <w:color w:val="FFFFFF"/>
              </w:rPr>
              <w:t>Dianne</w:t>
            </w:r>
          </w:p>
        </w:tc>
        <w:tc>
          <w:tcPr>
            <w:tcW w:w="720" w:type="dxa"/>
            <w:vAlign w:val="bottom"/>
            <w:vMerge w:val="restart"/>
            <w:shd w:val="clear" w:color="auto" w:fill="BF2115"/>
          </w:tcPr>
          <w:p>
            <w:pPr>
              <w:jc w:val="right"/>
              <w:ind w:right="81"/>
              <w:spacing w:after="0"/>
              <w:rPr>
                <w:sz w:val="20"/>
                <w:szCs w:val="20"/>
                <w:color w:val="auto"/>
              </w:rPr>
            </w:pPr>
            <w:r>
              <w:rPr>
                <w:rFonts w:ascii="Arial" w:cs="Arial" w:eastAsia="Arial" w:hAnsi="Arial"/>
                <w:sz w:val="14"/>
                <w:szCs w:val="14"/>
                <w:b w:val="1"/>
                <w:bCs w:val="1"/>
                <w:color w:val="FFFFFF"/>
              </w:rPr>
              <w:t>Gary</w:t>
            </w:r>
          </w:p>
        </w:tc>
        <w:tc>
          <w:tcPr>
            <w:tcW w:w="880" w:type="dxa"/>
            <w:vAlign w:val="bottom"/>
            <w:vMerge w:val="restart"/>
            <w:shd w:val="clear" w:color="auto" w:fill="BF2115"/>
          </w:tcPr>
          <w:p>
            <w:pPr>
              <w:jc w:val="center"/>
              <w:ind w:left="20"/>
              <w:spacing w:after="0"/>
              <w:rPr>
                <w:sz w:val="20"/>
                <w:szCs w:val="20"/>
                <w:color w:val="auto"/>
              </w:rPr>
            </w:pPr>
            <w:r>
              <w:rPr>
                <w:rFonts w:ascii="Arial" w:cs="Arial" w:eastAsia="Arial" w:hAnsi="Arial"/>
                <w:sz w:val="14"/>
                <w:szCs w:val="14"/>
                <w:b w:val="1"/>
                <w:bCs w:val="1"/>
                <w:color w:val="FFFFFF"/>
              </w:rPr>
              <w:t>Eric</w:t>
            </w:r>
          </w:p>
        </w:tc>
        <w:tc>
          <w:tcPr>
            <w:tcW w:w="900" w:type="dxa"/>
            <w:vAlign w:val="bottom"/>
            <w:vMerge w:val="restart"/>
            <w:shd w:val="clear" w:color="auto" w:fill="BF2115"/>
          </w:tcPr>
          <w:p>
            <w:pPr>
              <w:jc w:val="center"/>
              <w:spacing w:after="0"/>
              <w:rPr>
                <w:sz w:val="20"/>
                <w:szCs w:val="20"/>
                <w:color w:val="auto"/>
              </w:rPr>
            </w:pPr>
            <w:r>
              <w:rPr>
                <w:rFonts w:ascii="Arial" w:cs="Arial" w:eastAsia="Arial" w:hAnsi="Arial"/>
                <w:sz w:val="14"/>
                <w:szCs w:val="14"/>
                <w:b w:val="1"/>
                <w:bCs w:val="1"/>
                <w:color w:val="FFFFFF"/>
              </w:rPr>
              <w:t>Jeffrey</w:t>
            </w:r>
          </w:p>
        </w:tc>
        <w:tc>
          <w:tcPr>
            <w:tcW w:w="8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9"/>
              </w:rPr>
              <w:t>D.</w:t>
            </w:r>
          </w:p>
        </w:tc>
        <w:tc>
          <w:tcPr>
            <w:tcW w:w="780" w:type="dxa"/>
            <w:vAlign w:val="bottom"/>
            <w:vMerge w:val="restart"/>
            <w:shd w:val="clear" w:color="auto" w:fill="BF2115"/>
          </w:tcPr>
          <w:p>
            <w:pPr>
              <w:ind w:left="180"/>
              <w:spacing w:after="0"/>
              <w:rPr>
                <w:sz w:val="20"/>
                <w:szCs w:val="20"/>
                <w:color w:val="auto"/>
              </w:rPr>
            </w:pPr>
            <w:r>
              <w:rPr>
                <w:rFonts w:ascii="Arial" w:cs="Arial" w:eastAsia="Arial" w:hAnsi="Arial"/>
                <w:sz w:val="14"/>
                <w:szCs w:val="14"/>
                <w:b w:val="1"/>
                <w:bCs w:val="1"/>
                <w:color w:val="FFFFFF"/>
              </w:rPr>
              <w:t>Joyce</w:t>
            </w:r>
          </w:p>
        </w:tc>
        <w:tc>
          <w:tcPr>
            <w:tcW w:w="840" w:type="dxa"/>
            <w:vAlign w:val="bottom"/>
            <w:vMerge w:val="restart"/>
            <w:shd w:val="clear" w:color="auto" w:fill="BF2115"/>
          </w:tcPr>
          <w:p>
            <w:pPr>
              <w:jc w:val="right"/>
              <w:ind w:right="40"/>
              <w:spacing w:after="0"/>
              <w:rPr>
                <w:sz w:val="20"/>
                <w:szCs w:val="20"/>
                <w:color w:val="auto"/>
              </w:rPr>
            </w:pPr>
            <w:r>
              <w:rPr>
                <w:rFonts w:ascii="Arial" w:cs="Arial" w:eastAsia="Arial" w:hAnsi="Arial"/>
                <w:sz w:val="14"/>
                <w:szCs w:val="14"/>
                <w:b w:val="1"/>
                <w:bCs w:val="1"/>
                <w:color w:val="FFFFFF"/>
              </w:rPr>
              <w:t>Richard</w:t>
            </w:r>
          </w:p>
        </w:tc>
        <w:tc>
          <w:tcPr>
            <w:tcW w:w="840" w:type="dxa"/>
            <w:vAlign w:val="bottom"/>
            <w:vMerge w:val="restart"/>
            <w:shd w:val="clear" w:color="auto" w:fill="BF2115"/>
          </w:tcPr>
          <w:p>
            <w:pPr>
              <w:jc w:val="right"/>
              <w:ind w:right="80"/>
              <w:spacing w:after="0"/>
              <w:rPr>
                <w:sz w:val="20"/>
                <w:szCs w:val="20"/>
                <w:color w:val="auto"/>
              </w:rPr>
            </w:pPr>
            <w:r>
              <w:rPr>
                <w:rFonts w:ascii="Arial" w:cs="Arial" w:eastAsia="Arial" w:hAnsi="Arial"/>
                <w:sz w:val="14"/>
                <w:szCs w:val="14"/>
                <w:b w:val="1"/>
                <w:bCs w:val="1"/>
                <w:color w:val="FFFFFF"/>
              </w:rPr>
              <w:t>James</w:t>
            </w:r>
          </w:p>
        </w:tc>
        <w:tc>
          <w:tcPr>
            <w:tcW w:w="860" w:type="dxa"/>
            <w:vAlign w:val="bottom"/>
            <w:vMerge w:val="restart"/>
            <w:shd w:val="clear" w:color="auto" w:fill="BF2115"/>
          </w:tcPr>
          <w:p>
            <w:pPr>
              <w:jc w:val="center"/>
              <w:spacing w:after="0"/>
              <w:rPr>
                <w:sz w:val="20"/>
                <w:szCs w:val="20"/>
                <w:color w:val="auto"/>
              </w:rPr>
            </w:pPr>
            <w:r>
              <w:rPr>
                <w:rFonts w:ascii="Arial" w:cs="Arial" w:eastAsia="Arial" w:hAnsi="Arial"/>
                <w:sz w:val="14"/>
                <w:szCs w:val="14"/>
                <w:b w:val="1"/>
                <w:bCs w:val="1"/>
                <w:color w:val="FFFFFF"/>
              </w:rPr>
              <w:t>Jill</w:t>
            </w:r>
          </w:p>
        </w:tc>
        <w:tc>
          <w:tcPr>
            <w:tcW w:w="0" w:type="dxa"/>
            <w:vAlign w:val="bottom"/>
          </w:tcPr>
          <w:p>
            <w:pPr>
              <w:spacing w:after="0"/>
              <w:rPr>
                <w:sz w:val="1"/>
                <w:szCs w:val="1"/>
                <w:color w:val="auto"/>
              </w:rPr>
            </w:pPr>
          </w:p>
        </w:tc>
      </w:tr>
      <w:tr>
        <w:trPr>
          <w:trHeight w:val="143"/>
        </w:trPr>
        <w:tc>
          <w:tcPr>
            <w:tcW w:w="3660" w:type="dxa"/>
            <w:vAlign w:val="bottom"/>
            <w:vMerge w:val="continue"/>
            <w:shd w:val="clear" w:color="auto" w:fill="BF2115"/>
          </w:tcPr>
          <w:p>
            <w:pPr>
              <w:spacing w:after="0"/>
              <w:rPr>
                <w:sz w:val="12"/>
                <w:szCs w:val="12"/>
                <w:color w:val="auto"/>
              </w:rPr>
            </w:pPr>
          </w:p>
        </w:tc>
        <w:tc>
          <w:tcPr>
            <w:tcW w:w="860" w:type="dxa"/>
            <w:vAlign w:val="bottom"/>
            <w:vMerge w:val="continue"/>
            <w:shd w:val="clear" w:color="auto" w:fill="BF2115"/>
          </w:tcPr>
          <w:p>
            <w:pPr>
              <w:spacing w:after="0"/>
              <w:rPr>
                <w:sz w:val="12"/>
                <w:szCs w:val="12"/>
                <w:color w:val="auto"/>
              </w:rPr>
            </w:pPr>
          </w:p>
        </w:tc>
        <w:tc>
          <w:tcPr>
            <w:tcW w:w="720" w:type="dxa"/>
            <w:vAlign w:val="bottom"/>
            <w:vMerge w:val="continue"/>
            <w:shd w:val="clear" w:color="auto" w:fill="BF2115"/>
          </w:tcPr>
          <w:p>
            <w:pPr>
              <w:spacing w:after="0"/>
              <w:rPr>
                <w:sz w:val="12"/>
                <w:szCs w:val="12"/>
                <w:color w:val="auto"/>
              </w:rPr>
            </w:pPr>
          </w:p>
        </w:tc>
        <w:tc>
          <w:tcPr>
            <w:tcW w:w="880" w:type="dxa"/>
            <w:vAlign w:val="bottom"/>
            <w:vMerge w:val="continue"/>
            <w:shd w:val="clear" w:color="auto" w:fill="BF2115"/>
          </w:tcPr>
          <w:p>
            <w:pPr>
              <w:spacing w:after="0"/>
              <w:rPr>
                <w:sz w:val="12"/>
                <w:szCs w:val="12"/>
                <w:color w:val="auto"/>
              </w:rPr>
            </w:pPr>
          </w:p>
        </w:tc>
        <w:tc>
          <w:tcPr>
            <w:tcW w:w="900" w:type="dxa"/>
            <w:vAlign w:val="bottom"/>
            <w:vMerge w:val="continue"/>
            <w:shd w:val="clear" w:color="auto" w:fill="BF2115"/>
          </w:tcPr>
          <w:p>
            <w:pPr>
              <w:spacing w:after="0"/>
              <w:rPr>
                <w:sz w:val="12"/>
                <w:szCs w:val="12"/>
                <w:color w:val="auto"/>
              </w:rPr>
            </w:pPr>
          </w:p>
        </w:tc>
        <w:tc>
          <w:tcPr>
            <w:tcW w:w="860" w:type="dxa"/>
            <w:vAlign w:val="bottom"/>
            <w:shd w:val="clear" w:color="auto" w:fill="BF2115"/>
          </w:tcPr>
          <w:p>
            <w:pPr>
              <w:jc w:val="center"/>
              <w:spacing w:after="0" w:line="143" w:lineRule="exact"/>
              <w:rPr>
                <w:sz w:val="20"/>
                <w:szCs w:val="20"/>
                <w:color w:val="auto"/>
              </w:rPr>
            </w:pPr>
            <w:r>
              <w:rPr>
                <w:rFonts w:ascii="Arial" w:cs="Arial" w:eastAsia="Arial" w:hAnsi="Arial"/>
                <w:sz w:val="14"/>
                <w:szCs w:val="14"/>
                <w:b w:val="1"/>
                <w:bCs w:val="1"/>
                <w:color w:val="FFFFFF"/>
                <w:w w:val="98"/>
              </w:rPr>
              <w:t>Christian</w:t>
            </w:r>
          </w:p>
        </w:tc>
        <w:tc>
          <w:tcPr>
            <w:tcW w:w="780" w:type="dxa"/>
            <w:vAlign w:val="bottom"/>
            <w:vMerge w:val="continue"/>
            <w:shd w:val="clear" w:color="auto" w:fill="BF2115"/>
          </w:tcPr>
          <w:p>
            <w:pPr>
              <w:spacing w:after="0"/>
              <w:rPr>
                <w:sz w:val="12"/>
                <w:szCs w:val="12"/>
                <w:color w:val="auto"/>
              </w:rPr>
            </w:pPr>
          </w:p>
        </w:tc>
        <w:tc>
          <w:tcPr>
            <w:tcW w:w="840" w:type="dxa"/>
            <w:vAlign w:val="bottom"/>
            <w:vMerge w:val="continue"/>
            <w:shd w:val="clear" w:color="auto" w:fill="BF2115"/>
          </w:tcPr>
          <w:p>
            <w:pPr>
              <w:spacing w:after="0"/>
              <w:rPr>
                <w:sz w:val="12"/>
                <w:szCs w:val="12"/>
                <w:color w:val="auto"/>
              </w:rPr>
            </w:pPr>
          </w:p>
        </w:tc>
        <w:tc>
          <w:tcPr>
            <w:tcW w:w="840" w:type="dxa"/>
            <w:vAlign w:val="bottom"/>
            <w:vMerge w:val="continue"/>
            <w:shd w:val="clear" w:color="auto" w:fill="BF2115"/>
          </w:tcPr>
          <w:p>
            <w:pPr>
              <w:spacing w:after="0"/>
              <w:rPr>
                <w:sz w:val="12"/>
                <w:szCs w:val="12"/>
                <w:color w:val="auto"/>
              </w:rPr>
            </w:pPr>
          </w:p>
        </w:tc>
        <w:tc>
          <w:tcPr>
            <w:tcW w:w="860" w:type="dxa"/>
            <w:vAlign w:val="bottom"/>
            <w:vMerge w:val="continue"/>
            <w:shd w:val="clear" w:color="auto" w:fill="BF2115"/>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660" w:type="dxa"/>
            <w:vAlign w:val="bottom"/>
            <w:shd w:val="clear" w:color="auto" w:fill="BF2115"/>
          </w:tcPr>
          <w:p>
            <w:pPr>
              <w:ind w:left="20"/>
              <w:spacing w:after="0"/>
              <w:rPr>
                <w:sz w:val="20"/>
                <w:szCs w:val="20"/>
                <w:color w:val="auto"/>
              </w:rPr>
            </w:pPr>
            <w:r>
              <w:rPr>
                <w:rFonts w:ascii="Arial" w:cs="Arial" w:eastAsia="Arial" w:hAnsi="Arial"/>
                <w:sz w:val="16"/>
                <w:szCs w:val="16"/>
                <w:b w:val="1"/>
                <w:bCs w:val="1"/>
                <w:color w:val="FFFFFF"/>
              </w:rPr>
              <w:t>Following Areas</w:t>
            </w:r>
          </w:p>
        </w:tc>
        <w:tc>
          <w:tcPr>
            <w:tcW w:w="8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Craig</w:t>
            </w:r>
          </w:p>
        </w:tc>
        <w:tc>
          <w:tcPr>
            <w:tcW w:w="720" w:type="dxa"/>
            <w:vAlign w:val="bottom"/>
            <w:shd w:val="clear" w:color="auto" w:fill="BF2115"/>
          </w:tcPr>
          <w:p>
            <w:pPr>
              <w:jc w:val="right"/>
              <w:ind w:right="101"/>
              <w:spacing w:after="0"/>
              <w:rPr>
                <w:sz w:val="20"/>
                <w:szCs w:val="20"/>
                <w:color w:val="auto"/>
              </w:rPr>
            </w:pPr>
            <w:r>
              <w:rPr>
                <w:rFonts w:ascii="Arial" w:cs="Arial" w:eastAsia="Arial" w:hAnsi="Arial"/>
                <w:sz w:val="14"/>
                <w:szCs w:val="14"/>
                <w:b w:val="1"/>
                <w:bCs w:val="1"/>
                <w:color w:val="FFFFFF"/>
              </w:rPr>
              <w:t>Ellis</w:t>
            </w:r>
          </w:p>
        </w:tc>
        <w:tc>
          <w:tcPr>
            <w:tcW w:w="880" w:type="dxa"/>
            <w:vAlign w:val="bottom"/>
            <w:shd w:val="clear" w:color="auto" w:fill="BF2115"/>
          </w:tcPr>
          <w:p>
            <w:pPr>
              <w:jc w:val="center"/>
              <w:ind w:left="20"/>
              <w:spacing w:after="0"/>
              <w:rPr>
                <w:sz w:val="20"/>
                <w:szCs w:val="20"/>
                <w:color w:val="auto"/>
              </w:rPr>
            </w:pPr>
            <w:r>
              <w:rPr>
                <w:rFonts w:ascii="Arial" w:cs="Arial" w:eastAsia="Arial" w:hAnsi="Arial"/>
                <w:sz w:val="14"/>
                <w:szCs w:val="14"/>
                <w:b w:val="1"/>
                <w:bCs w:val="1"/>
                <w:color w:val="FFFFFF"/>
              </w:rPr>
              <w:t>Hansotia</w:t>
            </w:r>
          </w:p>
        </w:tc>
        <w:tc>
          <w:tcPr>
            <w:tcW w:w="90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Harmening</w:t>
            </w:r>
          </w:p>
        </w:tc>
        <w:tc>
          <w:tcPr>
            <w:tcW w:w="8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Koch</w:t>
            </w:r>
          </w:p>
        </w:tc>
        <w:tc>
          <w:tcPr>
            <w:tcW w:w="780" w:type="dxa"/>
            <w:vAlign w:val="bottom"/>
            <w:shd w:val="clear" w:color="auto" w:fill="BF2115"/>
          </w:tcPr>
          <w:p>
            <w:pPr>
              <w:ind w:left="160"/>
              <w:spacing w:after="0"/>
              <w:rPr>
                <w:sz w:val="20"/>
                <w:szCs w:val="20"/>
                <w:color w:val="auto"/>
              </w:rPr>
            </w:pPr>
            <w:r>
              <w:rPr>
                <w:rFonts w:ascii="Arial" w:cs="Arial" w:eastAsia="Arial" w:hAnsi="Arial"/>
                <w:sz w:val="14"/>
                <w:szCs w:val="14"/>
                <w:b w:val="1"/>
                <w:bCs w:val="1"/>
                <w:color w:val="FFFFFF"/>
              </w:rPr>
              <w:t>Mullen</w:t>
            </w:r>
          </w:p>
        </w:tc>
        <w:tc>
          <w:tcPr>
            <w:tcW w:w="840" w:type="dxa"/>
            <w:vAlign w:val="bottom"/>
            <w:shd w:val="clear" w:color="auto" w:fill="BF2115"/>
          </w:tcPr>
          <w:p>
            <w:pPr>
              <w:jc w:val="right"/>
              <w:ind w:right="100"/>
              <w:spacing w:after="0"/>
              <w:rPr>
                <w:sz w:val="20"/>
                <w:szCs w:val="20"/>
                <w:color w:val="auto"/>
              </w:rPr>
            </w:pPr>
            <w:r>
              <w:rPr>
                <w:rFonts w:ascii="Arial" w:cs="Arial" w:eastAsia="Arial" w:hAnsi="Arial"/>
                <w:sz w:val="14"/>
                <w:szCs w:val="14"/>
                <w:b w:val="1"/>
                <w:bCs w:val="1"/>
                <w:color w:val="FFFFFF"/>
              </w:rPr>
              <w:t>Olson</w:t>
            </w:r>
          </w:p>
        </w:tc>
        <w:tc>
          <w:tcPr>
            <w:tcW w:w="840" w:type="dxa"/>
            <w:vAlign w:val="bottom"/>
            <w:shd w:val="clear" w:color="auto" w:fill="BF2115"/>
          </w:tcPr>
          <w:p>
            <w:pPr>
              <w:jc w:val="right"/>
              <w:spacing w:after="0"/>
              <w:rPr>
                <w:sz w:val="20"/>
                <w:szCs w:val="20"/>
                <w:color w:val="auto"/>
              </w:rPr>
            </w:pPr>
            <w:r>
              <w:rPr>
                <w:rFonts w:ascii="Arial" w:cs="Arial" w:eastAsia="Arial" w:hAnsi="Arial"/>
                <w:sz w:val="14"/>
                <w:szCs w:val="14"/>
                <w:b w:val="1"/>
                <w:bCs w:val="1"/>
                <w:color w:val="FFFFFF"/>
              </w:rPr>
              <w:t>O'Rourke</w:t>
            </w:r>
          </w:p>
        </w:tc>
        <w:tc>
          <w:tcPr>
            <w:tcW w:w="8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Pemberton</w:t>
            </w:r>
          </w:p>
        </w:tc>
        <w:tc>
          <w:tcPr>
            <w:tcW w:w="0" w:type="dxa"/>
            <w:vAlign w:val="bottom"/>
          </w:tcPr>
          <w:p>
            <w:pPr>
              <w:spacing w:after="0"/>
              <w:rPr>
                <w:sz w:val="1"/>
                <w:szCs w:val="1"/>
                <w:color w:val="auto"/>
              </w:rPr>
            </w:pPr>
          </w:p>
        </w:tc>
      </w:tr>
      <w:tr>
        <w:trPr>
          <w:trHeight w:val="294"/>
        </w:trPr>
        <w:tc>
          <w:tcPr>
            <w:tcW w:w="3660" w:type="dxa"/>
            <w:vAlign w:val="bottom"/>
          </w:tcPr>
          <w:p>
            <w:pPr>
              <w:ind w:left="20"/>
              <w:spacing w:after="0"/>
              <w:rPr>
                <w:sz w:val="20"/>
                <w:szCs w:val="20"/>
                <w:color w:val="auto"/>
              </w:rPr>
            </w:pPr>
            <w:r>
              <w:rPr>
                <w:rFonts w:ascii="Arial" w:cs="Arial" w:eastAsia="Arial" w:hAnsi="Arial"/>
                <w:sz w:val="18"/>
                <w:szCs w:val="18"/>
                <w:color w:val="auto"/>
              </w:rPr>
              <w:t>Current/Former CEO</w:t>
            </w:r>
          </w:p>
        </w:tc>
        <w:tc>
          <w:tcPr>
            <w:tcW w:w="8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20" w:type="dxa"/>
            <w:vAlign w:val="bottom"/>
          </w:tcPr>
          <w:p>
            <w:pPr>
              <w:spacing w:after="0"/>
              <w:rPr>
                <w:sz w:val="24"/>
                <w:szCs w:val="24"/>
                <w:color w:val="auto"/>
              </w:rPr>
            </w:pPr>
          </w:p>
        </w:tc>
        <w:tc>
          <w:tcPr>
            <w:tcW w:w="880" w:type="dxa"/>
            <w:vAlign w:val="bottom"/>
          </w:tcPr>
          <w:p>
            <w:pPr>
              <w:jc w:val="center"/>
              <w:ind w:left="20"/>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0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tcPr>
          <w:p>
            <w:pPr>
              <w:jc w:val="right"/>
              <w:ind w:right="2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78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40" w:type="dxa"/>
            <w:vAlign w:val="bottom"/>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Finance/Financial Oversight</w:t>
            </w: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20" w:type="dxa"/>
            <w:vAlign w:val="bottom"/>
            <w:shd w:val="clear" w:color="auto" w:fill="DBDBDB"/>
          </w:tcPr>
          <w:p>
            <w:pPr>
              <w:jc w:val="right"/>
              <w:ind w:right="1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80" w:type="dxa"/>
            <w:vAlign w:val="bottom"/>
            <w:shd w:val="clear" w:color="auto" w:fill="DBDBDB"/>
          </w:tcPr>
          <w:p>
            <w:pPr>
              <w:jc w:val="center"/>
              <w:ind w:left="20"/>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0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shd w:val="clear" w:color="auto" w:fill="DBDBDB"/>
          </w:tcPr>
          <w:p>
            <w:pPr>
              <w:jc w:val="right"/>
              <w:ind w:right="2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78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shd w:val="clear" w:color="auto" w:fill="DBDBDB"/>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40" w:type="dxa"/>
            <w:vAlign w:val="bottom"/>
            <w:shd w:val="clear" w:color="auto" w:fill="DBDBDB"/>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0" w:type="dxa"/>
            <w:vAlign w:val="bottom"/>
          </w:tcPr>
          <w:p>
            <w:pPr>
              <w:spacing w:after="0"/>
              <w:rPr>
                <w:sz w:val="1"/>
                <w:szCs w:val="1"/>
                <w:color w:val="auto"/>
              </w:rPr>
            </w:pPr>
          </w:p>
        </w:tc>
      </w:tr>
      <w:tr>
        <w:trPr>
          <w:trHeight w:val="294"/>
        </w:trPr>
        <w:tc>
          <w:tcPr>
            <w:tcW w:w="3660" w:type="dxa"/>
            <w:vAlign w:val="bottom"/>
          </w:tcPr>
          <w:p>
            <w:pPr>
              <w:ind w:left="20"/>
              <w:spacing w:after="0"/>
              <w:rPr>
                <w:sz w:val="20"/>
                <w:szCs w:val="20"/>
                <w:color w:val="auto"/>
              </w:rPr>
            </w:pPr>
            <w:r>
              <w:rPr>
                <w:rFonts w:ascii="Arial" w:cs="Arial" w:eastAsia="Arial" w:hAnsi="Arial"/>
                <w:sz w:val="18"/>
                <w:szCs w:val="18"/>
                <w:color w:val="auto"/>
              </w:rPr>
              <w:t>Corporate Governance</w:t>
            </w:r>
          </w:p>
        </w:tc>
        <w:tc>
          <w:tcPr>
            <w:tcW w:w="860" w:type="dxa"/>
            <w:vAlign w:val="bottom"/>
          </w:tcPr>
          <w:p>
            <w:pPr>
              <w:spacing w:after="0"/>
              <w:rPr>
                <w:sz w:val="24"/>
                <w:szCs w:val="24"/>
                <w:color w:val="auto"/>
              </w:rPr>
            </w:pPr>
          </w:p>
        </w:tc>
        <w:tc>
          <w:tcPr>
            <w:tcW w:w="720" w:type="dxa"/>
            <w:vAlign w:val="bottom"/>
          </w:tcPr>
          <w:p>
            <w:pPr>
              <w:jc w:val="right"/>
              <w:ind w:right="1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80" w:type="dxa"/>
            <w:vAlign w:val="bottom"/>
          </w:tcPr>
          <w:p>
            <w:pPr>
              <w:jc w:val="center"/>
              <w:ind w:left="20"/>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0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tcPr>
          <w:p>
            <w:pPr>
              <w:jc w:val="right"/>
              <w:ind w:right="2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78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40" w:type="dxa"/>
            <w:vAlign w:val="bottom"/>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Manufacturing/Supply Chain/ Operations</w:t>
            </w: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20" w:type="dxa"/>
            <w:vAlign w:val="bottom"/>
            <w:shd w:val="clear" w:color="auto" w:fill="DBDBDB"/>
          </w:tcPr>
          <w:p>
            <w:pPr>
              <w:spacing w:after="0"/>
              <w:rPr>
                <w:sz w:val="24"/>
                <w:szCs w:val="24"/>
                <w:color w:val="auto"/>
              </w:rPr>
            </w:pPr>
          </w:p>
        </w:tc>
        <w:tc>
          <w:tcPr>
            <w:tcW w:w="880" w:type="dxa"/>
            <w:vAlign w:val="bottom"/>
            <w:shd w:val="clear" w:color="auto" w:fill="DBDBDB"/>
          </w:tcPr>
          <w:p>
            <w:pPr>
              <w:jc w:val="center"/>
              <w:ind w:left="20"/>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0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shd w:val="clear" w:color="auto" w:fill="DBDBDB"/>
          </w:tcPr>
          <w:p>
            <w:pPr>
              <w:jc w:val="right"/>
              <w:ind w:right="2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78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shd w:val="clear" w:color="auto" w:fill="DBDBDB"/>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40" w:type="dxa"/>
            <w:vAlign w:val="bottom"/>
            <w:shd w:val="clear" w:color="auto" w:fill="DBDBDB"/>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0" w:type="dxa"/>
            <w:vAlign w:val="bottom"/>
          </w:tcPr>
          <w:p>
            <w:pPr>
              <w:spacing w:after="0"/>
              <w:rPr>
                <w:sz w:val="1"/>
                <w:szCs w:val="1"/>
                <w:color w:val="auto"/>
              </w:rPr>
            </w:pPr>
          </w:p>
        </w:tc>
      </w:tr>
      <w:tr>
        <w:trPr>
          <w:trHeight w:val="294"/>
        </w:trPr>
        <w:tc>
          <w:tcPr>
            <w:tcW w:w="3660" w:type="dxa"/>
            <w:vAlign w:val="bottom"/>
          </w:tcPr>
          <w:p>
            <w:pPr>
              <w:ind w:left="20"/>
              <w:spacing w:after="0"/>
              <w:rPr>
                <w:sz w:val="20"/>
                <w:szCs w:val="20"/>
                <w:color w:val="auto"/>
              </w:rPr>
            </w:pPr>
            <w:r>
              <w:rPr>
                <w:rFonts w:ascii="Arial" w:cs="Arial" w:eastAsia="Arial" w:hAnsi="Arial"/>
                <w:sz w:val="18"/>
                <w:szCs w:val="18"/>
                <w:color w:val="auto"/>
              </w:rPr>
              <w:t>Distribution Channel</w:t>
            </w:r>
          </w:p>
        </w:tc>
        <w:tc>
          <w:tcPr>
            <w:tcW w:w="8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20" w:type="dxa"/>
            <w:vAlign w:val="bottom"/>
          </w:tcPr>
          <w:p>
            <w:pPr>
              <w:spacing w:after="0"/>
              <w:rPr>
                <w:sz w:val="24"/>
                <w:szCs w:val="24"/>
                <w:color w:val="auto"/>
              </w:rPr>
            </w:pPr>
          </w:p>
        </w:tc>
        <w:tc>
          <w:tcPr>
            <w:tcW w:w="880" w:type="dxa"/>
            <w:vAlign w:val="bottom"/>
          </w:tcPr>
          <w:p>
            <w:pPr>
              <w:jc w:val="center"/>
              <w:ind w:left="20"/>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0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tcPr>
          <w:p>
            <w:pPr>
              <w:jc w:val="right"/>
              <w:ind w:right="2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78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40" w:type="dxa"/>
            <w:vAlign w:val="bottom"/>
          </w:tcPr>
          <w:p>
            <w:pPr>
              <w:spacing w:after="0"/>
              <w:rPr>
                <w:sz w:val="24"/>
                <w:szCs w:val="24"/>
                <w:color w:val="auto"/>
              </w:rPr>
            </w:pPr>
          </w:p>
        </w:tc>
        <w:tc>
          <w:tcPr>
            <w:tcW w:w="8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0" w:type="dxa"/>
            <w:vAlign w:val="bottom"/>
          </w:tcPr>
          <w:p>
            <w:pPr>
              <w:spacing w:after="0"/>
              <w:rPr>
                <w:sz w:val="1"/>
                <w:szCs w:val="1"/>
                <w:color w:val="auto"/>
              </w:rPr>
            </w:pPr>
          </w:p>
        </w:tc>
      </w:tr>
      <w:tr>
        <w:trPr>
          <w:trHeight w:val="210"/>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Strategic Planning and Business</w:t>
            </w:r>
          </w:p>
        </w:tc>
        <w:tc>
          <w:tcPr>
            <w:tcW w:w="860" w:type="dxa"/>
            <w:vAlign w:val="bottom"/>
            <w:vMerge w:val="restart"/>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20" w:type="dxa"/>
            <w:vAlign w:val="bottom"/>
            <w:vMerge w:val="restart"/>
            <w:shd w:val="clear" w:color="auto" w:fill="DBDBDB"/>
          </w:tcPr>
          <w:p>
            <w:pPr>
              <w:jc w:val="right"/>
              <w:ind w:right="1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80" w:type="dxa"/>
            <w:vAlign w:val="bottom"/>
            <w:vMerge w:val="restart"/>
            <w:shd w:val="clear" w:color="auto" w:fill="DBDBDB"/>
          </w:tcPr>
          <w:p>
            <w:pPr>
              <w:jc w:val="center"/>
              <w:ind w:left="20"/>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00" w:type="dxa"/>
            <w:vAlign w:val="bottom"/>
            <w:vMerge w:val="restart"/>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vMerge w:val="restart"/>
            <w:shd w:val="clear" w:color="auto" w:fill="DBDBDB"/>
          </w:tcPr>
          <w:p>
            <w:pPr>
              <w:jc w:val="right"/>
              <w:ind w:right="2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780" w:type="dxa"/>
            <w:vAlign w:val="bottom"/>
            <w:vMerge w:val="restart"/>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vMerge w:val="restart"/>
            <w:shd w:val="clear" w:color="auto" w:fill="DBDBDB"/>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40" w:type="dxa"/>
            <w:vAlign w:val="bottom"/>
            <w:vMerge w:val="restart"/>
            <w:shd w:val="clear" w:color="auto" w:fill="DBDBDB"/>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60" w:type="dxa"/>
            <w:vAlign w:val="bottom"/>
            <w:vMerge w:val="restart"/>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0" w:type="dxa"/>
            <w:vAlign w:val="bottom"/>
          </w:tcPr>
          <w:p>
            <w:pPr>
              <w:spacing w:after="0"/>
              <w:rPr>
                <w:sz w:val="1"/>
                <w:szCs w:val="1"/>
                <w:color w:val="auto"/>
              </w:rPr>
            </w:pPr>
          </w:p>
        </w:tc>
      </w:tr>
      <w:tr>
        <w:trPr>
          <w:trHeight w:val="244"/>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Development</w:t>
            </w:r>
          </w:p>
        </w:tc>
        <w:tc>
          <w:tcPr>
            <w:tcW w:w="860" w:type="dxa"/>
            <w:vAlign w:val="bottom"/>
            <w:vMerge w:val="continue"/>
            <w:shd w:val="clear" w:color="auto" w:fill="DBDBDB"/>
          </w:tcPr>
          <w:p>
            <w:pPr>
              <w:spacing w:after="0"/>
              <w:rPr>
                <w:sz w:val="21"/>
                <w:szCs w:val="21"/>
                <w:color w:val="auto"/>
              </w:rPr>
            </w:pPr>
          </w:p>
        </w:tc>
        <w:tc>
          <w:tcPr>
            <w:tcW w:w="720" w:type="dxa"/>
            <w:vAlign w:val="bottom"/>
            <w:vMerge w:val="continue"/>
            <w:shd w:val="clear" w:color="auto" w:fill="DBDBDB"/>
          </w:tcPr>
          <w:p>
            <w:pPr>
              <w:spacing w:after="0"/>
              <w:rPr>
                <w:sz w:val="21"/>
                <w:szCs w:val="21"/>
                <w:color w:val="auto"/>
              </w:rPr>
            </w:pPr>
          </w:p>
        </w:tc>
        <w:tc>
          <w:tcPr>
            <w:tcW w:w="880" w:type="dxa"/>
            <w:vAlign w:val="bottom"/>
            <w:vMerge w:val="continue"/>
            <w:shd w:val="clear" w:color="auto" w:fill="DBDBDB"/>
          </w:tcPr>
          <w:p>
            <w:pPr>
              <w:spacing w:after="0"/>
              <w:rPr>
                <w:sz w:val="21"/>
                <w:szCs w:val="21"/>
                <w:color w:val="auto"/>
              </w:rPr>
            </w:pPr>
          </w:p>
        </w:tc>
        <w:tc>
          <w:tcPr>
            <w:tcW w:w="900" w:type="dxa"/>
            <w:vAlign w:val="bottom"/>
            <w:vMerge w:val="continue"/>
            <w:shd w:val="clear" w:color="auto" w:fill="DBDBDB"/>
          </w:tcPr>
          <w:p>
            <w:pPr>
              <w:spacing w:after="0"/>
              <w:rPr>
                <w:sz w:val="21"/>
                <w:szCs w:val="21"/>
                <w:color w:val="auto"/>
              </w:rPr>
            </w:pPr>
          </w:p>
        </w:tc>
        <w:tc>
          <w:tcPr>
            <w:tcW w:w="860" w:type="dxa"/>
            <w:vAlign w:val="bottom"/>
            <w:vMerge w:val="continue"/>
            <w:shd w:val="clear" w:color="auto" w:fill="DBDBDB"/>
          </w:tcPr>
          <w:p>
            <w:pPr>
              <w:spacing w:after="0"/>
              <w:rPr>
                <w:sz w:val="21"/>
                <w:szCs w:val="21"/>
                <w:color w:val="auto"/>
              </w:rPr>
            </w:pPr>
          </w:p>
        </w:tc>
        <w:tc>
          <w:tcPr>
            <w:tcW w:w="780" w:type="dxa"/>
            <w:vAlign w:val="bottom"/>
            <w:vMerge w:val="continue"/>
            <w:shd w:val="clear" w:color="auto" w:fill="DBDBDB"/>
          </w:tcPr>
          <w:p>
            <w:pPr>
              <w:spacing w:after="0"/>
              <w:rPr>
                <w:sz w:val="21"/>
                <w:szCs w:val="21"/>
                <w:color w:val="auto"/>
              </w:rPr>
            </w:pPr>
          </w:p>
        </w:tc>
        <w:tc>
          <w:tcPr>
            <w:tcW w:w="840" w:type="dxa"/>
            <w:vAlign w:val="bottom"/>
            <w:vMerge w:val="continue"/>
            <w:shd w:val="clear" w:color="auto" w:fill="DBDBDB"/>
          </w:tcPr>
          <w:p>
            <w:pPr>
              <w:spacing w:after="0"/>
              <w:rPr>
                <w:sz w:val="21"/>
                <w:szCs w:val="21"/>
                <w:color w:val="auto"/>
              </w:rPr>
            </w:pPr>
          </w:p>
        </w:tc>
        <w:tc>
          <w:tcPr>
            <w:tcW w:w="840" w:type="dxa"/>
            <w:vAlign w:val="bottom"/>
            <w:vMerge w:val="continue"/>
            <w:shd w:val="clear" w:color="auto" w:fill="DBDBDB"/>
          </w:tcPr>
          <w:p>
            <w:pPr>
              <w:spacing w:after="0"/>
              <w:rPr>
                <w:sz w:val="21"/>
                <w:szCs w:val="21"/>
                <w:color w:val="auto"/>
              </w:rPr>
            </w:pPr>
          </w:p>
        </w:tc>
        <w:tc>
          <w:tcPr>
            <w:tcW w:w="86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3660" w:type="dxa"/>
            <w:vAlign w:val="bottom"/>
          </w:tcPr>
          <w:p>
            <w:pPr>
              <w:ind w:left="20"/>
              <w:spacing w:after="0"/>
              <w:rPr>
                <w:sz w:val="20"/>
                <w:szCs w:val="20"/>
                <w:color w:val="auto"/>
              </w:rPr>
            </w:pPr>
            <w:r>
              <w:rPr>
                <w:rFonts w:ascii="Arial" w:cs="Arial" w:eastAsia="Arial" w:hAnsi="Arial"/>
                <w:sz w:val="18"/>
                <w:szCs w:val="18"/>
                <w:color w:val="auto"/>
              </w:rPr>
              <w:t>Regulatory/Government</w:t>
            </w:r>
          </w:p>
        </w:tc>
        <w:tc>
          <w:tcPr>
            <w:tcW w:w="8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20" w:type="dxa"/>
            <w:vAlign w:val="bottom"/>
          </w:tcPr>
          <w:p>
            <w:pPr>
              <w:jc w:val="right"/>
              <w:ind w:right="1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80" w:type="dxa"/>
            <w:vAlign w:val="bottom"/>
          </w:tcPr>
          <w:p>
            <w:pPr>
              <w:spacing w:after="0"/>
              <w:rPr>
                <w:sz w:val="24"/>
                <w:szCs w:val="24"/>
                <w:color w:val="auto"/>
              </w:rPr>
            </w:pPr>
          </w:p>
        </w:tc>
        <w:tc>
          <w:tcPr>
            <w:tcW w:w="90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BF2115"/>
              </w:rPr>
              <w:t>✓</w:t>
            </w:r>
          </w:p>
        </w:tc>
        <w:tc>
          <w:tcPr>
            <w:tcW w:w="78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40" w:type="dxa"/>
            <w:vAlign w:val="bottom"/>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Risk Management</w:t>
            </w:r>
          </w:p>
        </w:tc>
        <w:tc>
          <w:tcPr>
            <w:tcW w:w="860" w:type="dxa"/>
            <w:vAlign w:val="bottom"/>
            <w:shd w:val="clear" w:color="auto" w:fill="DBDBDB"/>
          </w:tcPr>
          <w:p>
            <w:pPr>
              <w:spacing w:after="0"/>
              <w:rPr>
                <w:sz w:val="24"/>
                <w:szCs w:val="24"/>
                <w:color w:val="auto"/>
              </w:rPr>
            </w:pPr>
          </w:p>
        </w:tc>
        <w:tc>
          <w:tcPr>
            <w:tcW w:w="720" w:type="dxa"/>
            <w:vAlign w:val="bottom"/>
            <w:shd w:val="clear" w:color="auto" w:fill="DBDBDB"/>
          </w:tcPr>
          <w:p>
            <w:pPr>
              <w:jc w:val="right"/>
              <w:ind w:right="1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80" w:type="dxa"/>
            <w:vAlign w:val="bottom"/>
            <w:shd w:val="clear" w:color="auto" w:fill="DBDBDB"/>
          </w:tcPr>
          <w:p>
            <w:pPr>
              <w:jc w:val="center"/>
              <w:ind w:left="20"/>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0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shd w:val="clear" w:color="auto" w:fill="DBDBDB"/>
          </w:tcPr>
          <w:p>
            <w:pPr>
              <w:jc w:val="right"/>
              <w:ind w:right="2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78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shd w:val="clear" w:color="auto" w:fill="DBDBDB"/>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40" w:type="dxa"/>
            <w:vAlign w:val="bottom"/>
            <w:shd w:val="clear" w:color="auto" w:fill="DBDBDB"/>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0" w:type="dxa"/>
            <w:vAlign w:val="bottom"/>
          </w:tcPr>
          <w:p>
            <w:pPr>
              <w:spacing w:after="0"/>
              <w:rPr>
                <w:sz w:val="1"/>
                <w:szCs w:val="1"/>
                <w:color w:val="auto"/>
              </w:rPr>
            </w:pPr>
          </w:p>
        </w:tc>
      </w:tr>
      <w:tr>
        <w:trPr>
          <w:trHeight w:val="294"/>
        </w:trPr>
        <w:tc>
          <w:tcPr>
            <w:tcW w:w="3660" w:type="dxa"/>
            <w:vAlign w:val="bottom"/>
          </w:tcPr>
          <w:p>
            <w:pPr>
              <w:ind w:left="20"/>
              <w:spacing w:after="0"/>
              <w:rPr>
                <w:sz w:val="20"/>
                <w:szCs w:val="20"/>
                <w:color w:val="auto"/>
              </w:rPr>
            </w:pPr>
            <w:r>
              <w:rPr>
                <w:rFonts w:ascii="Arial" w:cs="Arial" w:eastAsia="Arial" w:hAnsi="Arial"/>
                <w:sz w:val="18"/>
                <w:szCs w:val="18"/>
                <w:color w:val="auto"/>
              </w:rPr>
              <w:t>Health and Safety</w:t>
            </w:r>
          </w:p>
        </w:tc>
        <w:tc>
          <w:tcPr>
            <w:tcW w:w="8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tcPr>
          <w:p>
            <w:pPr>
              <w:jc w:val="right"/>
              <w:ind w:right="2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780" w:type="dxa"/>
            <w:vAlign w:val="bottom"/>
          </w:tcPr>
          <w:p>
            <w:pPr>
              <w:spacing w:after="0"/>
              <w:rPr>
                <w:sz w:val="24"/>
                <w:szCs w:val="24"/>
                <w:color w:val="auto"/>
              </w:rPr>
            </w:pPr>
          </w:p>
        </w:tc>
        <w:tc>
          <w:tcPr>
            <w:tcW w:w="840" w:type="dxa"/>
            <w:vAlign w:val="bottom"/>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40" w:type="dxa"/>
            <w:vAlign w:val="bottom"/>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Sustainability/Climate</w:t>
            </w:r>
          </w:p>
        </w:tc>
        <w:tc>
          <w:tcPr>
            <w:tcW w:w="860" w:type="dxa"/>
            <w:vAlign w:val="bottom"/>
            <w:shd w:val="clear" w:color="auto" w:fill="DBDBDB"/>
          </w:tcPr>
          <w:p>
            <w:pPr>
              <w:spacing w:after="0"/>
              <w:rPr>
                <w:sz w:val="24"/>
                <w:szCs w:val="24"/>
                <w:color w:val="auto"/>
              </w:rPr>
            </w:pPr>
          </w:p>
        </w:tc>
        <w:tc>
          <w:tcPr>
            <w:tcW w:w="720" w:type="dxa"/>
            <w:vAlign w:val="bottom"/>
            <w:shd w:val="clear" w:color="auto" w:fill="DBDBDB"/>
          </w:tcPr>
          <w:p>
            <w:pPr>
              <w:jc w:val="right"/>
              <w:ind w:right="1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80" w:type="dxa"/>
            <w:vAlign w:val="bottom"/>
            <w:shd w:val="clear" w:color="auto" w:fill="DBDBDB"/>
          </w:tcPr>
          <w:p>
            <w:pPr>
              <w:jc w:val="center"/>
              <w:ind w:left="20"/>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0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shd w:val="clear" w:color="auto" w:fill="DBDBDB"/>
          </w:tcPr>
          <w:p>
            <w:pPr>
              <w:spacing w:after="0"/>
              <w:rPr>
                <w:sz w:val="24"/>
                <w:szCs w:val="24"/>
                <w:color w:val="auto"/>
              </w:rPr>
            </w:pPr>
          </w:p>
        </w:tc>
        <w:tc>
          <w:tcPr>
            <w:tcW w:w="780" w:type="dxa"/>
            <w:vAlign w:val="bottom"/>
            <w:shd w:val="clear" w:color="auto" w:fill="DBDBDB"/>
          </w:tcPr>
          <w:p>
            <w:pPr>
              <w:spacing w:after="0"/>
              <w:rPr>
                <w:sz w:val="24"/>
                <w:szCs w:val="24"/>
                <w:color w:val="auto"/>
              </w:rPr>
            </w:pPr>
          </w:p>
        </w:tc>
        <w:tc>
          <w:tcPr>
            <w:tcW w:w="840" w:type="dxa"/>
            <w:vAlign w:val="bottom"/>
            <w:shd w:val="clear" w:color="auto" w:fill="DBDBDB"/>
          </w:tcPr>
          <w:p>
            <w:pPr>
              <w:spacing w:after="0"/>
              <w:rPr>
                <w:sz w:val="24"/>
                <w:szCs w:val="24"/>
                <w:color w:val="auto"/>
              </w:rPr>
            </w:pPr>
          </w:p>
        </w:tc>
        <w:tc>
          <w:tcPr>
            <w:tcW w:w="840" w:type="dxa"/>
            <w:vAlign w:val="bottom"/>
            <w:shd w:val="clear" w:color="auto" w:fill="DBDBDB"/>
          </w:tcPr>
          <w:p>
            <w:pPr>
              <w:spacing w:after="0"/>
              <w:rPr>
                <w:sz w:val="24"/>
                <w:szCs w:val="24"/>
                <w:color w:val="auto"/>
              </w:rPr>
            </w:pPr>
          </w:p>
        </w:tc>
        <w:tc>
          <w:tcPr>
            <w:tcW w:w="86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660" w:type="dxa"/>
            <w:vAlign w:val="bottom"/>
          </w:tcPr>
          <w:p>
            <w:pPr>
              <w:ind w:left="20"/>
              <w:spacing w:after="0"/>
              <w:rPr>
                <w:sz w:val="20"/>
                <w:szCs w:val="20"/>
                <w:color w:val="auto"/>
              </w:rPr>
            </w:pPr>
            <w:r>
              <w:rPr>
                <w:rFonts w:ascii="Arial" w:cs="Arial" w:eastAsia="Arial" w:hAnsi="Arial"/>
                <w:sz w:val="18"/>
                <w:szCs w:val="18"/>
                <w:color w:val="auto"/>
              </w:rPr>
              <w:t>M&amp;A and Other Transactions</w:t>
            </w:r>
          </w:p>
        </w:tc>
        <w:tc>
          <w:tcPr>
            <w:tcW w:w="860" w:type="dxa"/>
            <w:vAlign w:val="bottom"/>
          </w:tcPr>
          <w:p>
            <w:pPr>
              <w:spacing w:after="0"/>
              <w:rPr>
                <w:sz w:val="24"/>
                <w:szCs w:val="24"/>
                <w:color w:val="auto"/>
              </w:rPr>
            </w:pPr>
          </w:p>
        </w:tc>
        <w:tc>
          <w:tcPr>
            <w:tcW w:w="720" w:type="dxa"/>
            <w:vAlign w:val="bottom"/>
          </w:tcPr>
          <w:p>
            <w:pPr>
              <w:jc w:val="right"/>
              <w:ind w:right="1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80" w:type="dxa"/>
            <w:vAlign w:val="bottom"/>
          </w:tcPr>
          <w:p>
            <w:pPr>
              <w:jc w:val="center"/>
              <w:ind w:left="20"/>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0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tcPr>
          <w:p>
            <w:pPr>
              <w:jc w:val="right"/>
              <w:ind w:right="2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78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40" w:type="dxa"/>
            <w:vAlign w:val="bottom"/>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0" w:type="dxa"/>
            <w:vAlign w:val="bottom"/>
          </w:tcPr>
          <w:p>
            <w:pPr>
              <w:spacing w:after="0"/>
              <w:rPr>
                <w:sz w:val="1"/>
                <w:szCs w:val="1"/>
                <w:color w:val="auto"/>
              </w:rPr>
            </w:pPr>
          </w:p>
        </w:tc>
      </w:tr>
      <w:tr>
        <w:trPr>
          <w:trHeight w:val="294"/>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International Operations</w:t>
            </w: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20" w:type="dxa"/>
            <w:vAlign w:val="bottom"/>
            <w:shd w:val="clear" w:color="auto" w:fill="DBDBDB"/>
          </w:tcPr>
          <w:p>
            <w:pPr>
              <w:jc w:val="right"/>
              <w:ind w:right="1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80" w:type="dxa"/>
            <w:vAlign w:val="bottom"/>
            <w:shd w:val="clear" w:color="auto" w:fill="DBDBDB"/>
          </w:tcPr>
          <w:p>
            <w:pPr>
              <w:jc w:val="center"/>
              <w:ind w:left="20"/>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0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shd w:val="clear" w:color="auto" w:fill="DBDBDB"/>
          </w:tcPr>
          <w:p>
            <w:pPr>
              <w:jc w:val="right"/>
              <w:ind w:right="2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78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shd w:val="clear" w:color="auto" w:fill="DBDBDB"/>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40" w:type="dxa"/>
            <w:vAlign w:val="bottom"/>
            <w:shd w:val="clear" w:color="auto" w:fill="DBDBDB"/>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0" w:type="dxa"/>
            <w:vAlign w:val="bottom"/>
          </w:tcPr>
          <w:p>
            <w:pPr>
              <w:spacing w:after="0"/>
              <w:rPr>
                <w:sz w:val="1"/>
                <w:szCs w:val="1"/>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8"/>
                <w:szCs w:val="18"/>
                <w:color w:val="auto"/>
              </w:rPr>
              <w:t>Information Systems/ Cybersecurity/Artificial</w:t>
            </w:r>
          </w:p>
        </w:tc>
        <w:tc>
          <w:tcPr>
            <w:tcW w:w="860" w:type="dxa"/>
            <w:vAlign w:val="bottom"/>
          </w:tcPr>
          <w:p>
            <w:pPr>
              <w:spacing w:after="0"/>
              <w:rPr>
                <w:sz w:val="18"/>
                <w:szCs w:val="18"/>
                <w:color w:val="auto"/>
              </w:rPr>
            </w:pPr>
          </w:p>
        </w:tc>
        <w:tc>
          <w:tcPr>
            <w:tcW w:w="720" w:type="dxa"/>
            <w:vAlign w:val="bottom"/>
            <w:vMerge w:val="restart"/>
          </w:tcPr>
          <w:p>
            <w:pPr>
              <w:jc w:val="right"/>
              <w:ind w:right="1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80" w:type="dxa"/>
            <w:vAlign w:val="bottom"/>
            <w:vMerge w:val="restart"/>
          </w:tcPr>
          <w:p>
            <w:pPr>
              <w:jc w:val="center"/>
              <w:ind w:left="20"/>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00" w:type="dxa"/>
            <w:vAlign w:val="bottom"/>
            <w:vMerge w:val="restart"/>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vMerge w:val="restart"/>
          </w:tcPr>
          <w:p>
            <w:pPr>
              <w:jc w:val="right"/>
              <w:ind w:right="2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780" w:type="dxa"/>
            <w:vAlign w:val="bottom"/>
            <w:vMerge w:val="restart"/>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vMerge w:val="restart"/>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40" w:type="dxa"/>
            <w:vAlign w:val="bottom"/>
            <w:vMerge w:val="restart"/>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60" w:type="dxa"/>
            <w:vAlign w:val="bottom"/>
            <w:vMerge w:val="restart"/>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0" w:type="dxa"/>
            <w:vAlign w:val="bottom"/>
          </w:tcPr>
          <w:p>
            <w:pPr>
              <w:spacing w:after="0"/>
              <w:rPr>
                <w:sz w:val="1"/>
                <w:szCs w:val="1"/>
                <w:color w:val="auto"/>
              </w:rPr>
            </w:pPr>
          </w:p>
        </w:tc>
      </w:tr>
      <w:tr>
        <w:trPr>
          <w:trHeight w:val="238"/>
        </w:trPr>
        <w:tc>
          <w:tcPr>
            <w:tcW w:w="3660" w:type="dxa"/>
            <w:vAlign w:val="bottom"/>
          </w:tcPr>
          <w:p>
            <w:pPr>
              <w:ind w:left="20"/>
              <w:spacing w:after="0"/>
              <w:rPr>
                <w:sz w:val="20"/>
                <w:szCs w:val="20"/>
                <w:color w:val="auto"/>
              </w:rPr>
            </w:pPr>
            <w:r>
              <w:rPr>
                <w:rFonts w:ascii="Arial" w:cs="Arial" w:eastAsia="Arial" w:hAnsi="Arial"/>
                <w:sz w:val="18"/>
                <w:szCs w:val="18"/>
                <w:color w:val="auto"/>
              </w:rPr>
              <w:t>Intelligence</w:t>
            </w:r>
          </w:p>
        </w:tc>
        <w:tc>
          <w:tcPr>
            <w:tcW w:w="8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Previously Resided Outside the United</w:t>
            </w:r>
          </w:p>
        </w:tc>
        <w:tc>
          <w:tcPr>
            <w:tcW w:w="860" w:type="dxa"/>
            <w:vAlign w:val="bottom"/>
            <w:vMerge w:val="restart"/>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20" w:type="dxa"/>
            <w:vAlign w:val="bottom"/>
            <w:vMerge w:val="restart"/>
            <w:shd w:val="clear" w:color="auto" w:fill="DBDBDB"/>
          </w:tcPr>
          <w:p>
            <w:pPr>
              <w:jc w:val="right"/>
              <w:ind w:right="1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80" w:type="dxa"/>
            <w:vAlign w:val="bottom"/>
            <w:vMerge w:val="restart"/>
            <w:shd w:val="clear" w:color="auto" w:fill="DBDBDB"/>
          </w:tcPr>
          <w:p>
            <w:pPr>
              <w:jc w:val="center"/>
              <w:ind w:left="20"/>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00" w:type="dxa"/>
            <w:vAlign w:val="bottom"/>
            <w:vMerge w:val="restart"/>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vMerge w:val="restart"/>
            <w:shd w:val="clear" w:color="auto" w:fill="DBDBDB"/>
          </w:tcPr>
          <w:p>
            <w:pPr>
              <w:jc w:val="right"/>
              <w:ind w:right="2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780" w:type="dxa"/>
            <w:vAlign w:val="bottom"/>
            <w:vMerge w:val="restart"/>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shd w:val="clear" w:color="auto" w:fill="DBDBDB"/>
          </w:tcPr>
          <w:p>
            <w:pPr>
              <w:spacing w:after="0"/>
              <w:rPr>
                <w:sz w:val="18"/>
                <w:szCs w:val="18"/>
                <w:color w:val="auto"/>
              </w:rPr>
            </w:pPr>
          </w:p>
        </w:tc>
        <w:tc>
          <w:tcPr>
            <w:tcW w:w="840" w:type="dxa"/>
            <w:vAlign w:val="bottom"/>
            <w:vMerge w:val="restart"/>
            <w:shd w:val="clear" w:color="auto" w:fill="DBDBDB"/>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60" w:type="dxa"/>
            <w:vAlign w:val="bottom"/>
            <w:vMerge w:val="restart"/>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0" w:type="dxa"/>
            <w:vAlign w:val="bottom"/>
          </w:tcPr>
          <w:p>
            <w:pPr>
              <w:spacing w:after="0"/>
              <w:rPr>
                <w:sz w:val="1"/>
                <w:szCs w:val="1"/>
                <w:color w:val="auto"/>
              </w:rPr>
            </w:pPr>
          </w:p>
        </w:tc>
      </w:tr>
      <w:tr>
        <w:trPr>
          <w:trHeight w:val="238"/>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States</w:t>
            </w:r>
          </w:p>
        </w:tc>
        <w:tc>
          <w:tcPr>
            <w:tcW w:w="860" w:type="dxa"/>
            <w:vAlign w:val="bottom"/>
            <w:vMerge w:val="continue"/>
            <w:shd w:val="clear" w:color="auto" w:fill="DBDBDB"/>
          </w:tcPr>
          <w:p>
            <w:pPr>
              <w:spacing w:after="0"/>
              <w:rPr>
                <w:sz w:val="20"/>
                <w:szCs w:val="20"/>
                <w:color w:val="auto"/>
              </w:rPr>
            </w:pPr>
          </w:p>
        </w:tc>
        <w:tc>
          <w:tcPr>
            <w:tcW w:w="720" w:type="dxa"/>
            <w:vAlign w:val="bottom"/>
            <w:vMerge w:val="continue"/>
            <w:shd w:val="clear" w:color="auto" w:fill="DBDBDB"/>
          </w:tcPr>
          <w:p>
            <w:pPr>
              <w:spacing w:after="0"/>
              <w:rPr>
                <w:sz w:val="20"/>
                <w:szCs w:val="20"/>
                <w:color w:val="auto"/>
              </w:rPr>
            </w:pPr>
          </w:p>
        </w:tc>
        <w:tc>
          <w:tcPr>
            <w:tcW w:w="880" w:type="dxa"/>
            <w:vAlign w:val="bottom"/>
            <w:vMerge w:val="continue"/>
            <w:shd w:val="clear" w:color="auto" w:fill="DBDBDB"/>
          </w:tcPr>
          <w:p>
            <w:pPr>
              <w:spacing w:after="0"/>
              <w:rPr>
                <w:sz w:val="20"/>
                <w:szCs w:val="20"/>
                <w:color w:val="auto"/>
              </w:rPr>
            </w:pPr>
          </w:p>
        </w:tc>
        <w:tc>
          <w:tcPr>
            <w:tcW w:w="900" w:type="dxa"/>
            <w:vAlign w:val="bottom"/>
            <w:vMerge w:val="continue"/>
            <w:shd w:val="clear" w:color="auto" w:fill="DBDBDB"/>
          </w:tcPr>
          <w:p>
            <w:pPr>
              <w:spacing w:after="0"/>
              <w:rPr>
                <w:sz w:val="20"/>
                <w:szCs w:val="20"/>
                <w:color w:val="auto"/>
              </w:rPr>
            </w:pPr>
          </w:p>
        </w:tc>
        <w:tc>
          <w:tcPr>
            <w:tcW w:w="860" w:type="dxa"/>
            <w:vAlign w:val="bottom"/>
            <w:vMerge w:val="continue"/>
            <w:shd w:val="clear" w:color="auto" w:fill="DBDBDB"/>
          </w:tcPr>
          <w:p>
            <w:pPr>
              <w:spacing w:after="0"/>
              <w:rPr>
                <w:sz w:val="20"/>
                <w:szCs w:val="20"/>
                <w:color w:val="auto"/>
              </w:rPr>
            </w:pPr>
          </w:p>
        </w:tc>
        <w:tc>
          <w:tcPr>
            <w:tcW w:w="780" w:type="dxa"/>
            <w:vAlign w:val="bottom"/>
            <w:vMerge w:val="continue"/>
            <w:shd w:val="clear" w:color="auto" w:fill="DBDBDB"/>
          </w:tcPr>
          <w:p>
            <w:pPr>
              <w:spacing w:after="0"/>
              <w:rPr>
                <w:sz w:val="20"/>
                <w:szCs w:val="20"/>
                <w:color w:val="auto"/>
              </w:rPr>
            </w:pPr>
          </w:p>
        </w:tc>
        <w:tc>
          <w:tcPr>
            <w:tcW w:w="840" w:type="dxa"/>
            <w:vAlign w:val="bottom"/>
            <w:shd w:val="clear" w:color="auto" w:fill="DBDBDB"/>
          </w:tcPr>
          <w:p>
            <w:pPr>
              <w:spacing w:after="0"/>
              <w:rPr>
                <w:sz w:val="20"/>
                <w:szCs w:val="20"/>
                <w:color w:val="auto"/>
              </w:rPr>
            </w:pPr>
          </w:p>
        </w:tc>
        <w:tc>
          <w:tcPr>
            <w:tcW w:w="840" w:type="dxa"/>
            <w:vAlign w:val="bottom"/>
            <w:vMerge w:val="continue"/>
            <w:shd w:val="clear" w:color="auto" w:fill="DBDBDB"/>
          </w:tcPr>
          <w:p>
            <w:pPr>
              <w:spacing w:after="0"/>
              <w:rPr>
                <w:sz w:val="20"/>
                <w:szCs w:val="20"/>
                <w:color w:val="auto"/>
              </w:rPr>
            </w:pPr>
          </w:p>
        </w:tc>
        <w:tc>
          <w:tcPr>
            <w:tcW w:w="860" w:type="dxa"/>
            <w:vAlign w:val="bottom"/>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3660" w:type="dxa"/>
            <w:vAlign w:val="bottom"/>
            <w:tcBorders>
              <w:bottom w:val="single" w:sz="8" w:color="BF2115"/>
            </w:tcBorders>
            <w:shd w:val="clear" w:color="auto" w:fill="BF2115"/>
          </w:tcPr>
          <w:p>
            <w:pPr>
              <w:ind w:left="20"/>
              <w:spacing w:after="0"/>
              <w:rPr>
                <w:sz w:val="20"/>
                <w:szCs w:val="20"/>
                <w:color w:val="auto"/>
              </w:rPr>
            </w:pPr>
            <w:r>
              <w:rPr>
                <w:rFonts w:ascii="Arial" w:cs="Arial" w:eastAsia="Arial" w:hAnsi="Arial"/>
                <w:sz w:val="16"/>
                <w:szCs w:val="16"/>
                <w:b w:val="1"/>
                <w:bCs w:val="1"/>
                <w:color w:val="FFFFFF"/>
              </w:rPr>
              <w:t>Demographics</w:t>
            </w:r>
          </w:p>
        </w:tc>
        <w:tc>
          <w:tcPr>
            <w:tcW w:w="860" w:type="dxa"/>
            <w:vAlign w:val="bottom"/>
            <w:tcBorders>
              <w:bottom w:val="single" w:sz="8" w:color="BF2115"/>
            </w:tcBorders>
            <w:shd w:val="clear" w:color="auto" w:fill="BF2115"/>
          </w:tcPr>
          <w:p>
            <w:pPr>
              <w:spacing w:after="0"/>
              <w:rPr>
                <w:sz w:val="24"/>
                <w:szCs w:val="24"/>
                <w:color w:val="auto"/>
              </w:rPr>
            </w:pPr>
          </w:p>
        </w:tc>
        <w:tc>
          <w:tcPr>
            <w:tcW w:w="720" w:type="dxa"/>
            <w:vAlign w:val="bottom"/>
            <w:tcBorders>
              <w:bottom w:val="single" w:sz="8" w:color="BF2115"/>
            </w:tcBorders>
            <w:shd w:val="clear" w:color="auto" w:fill="BF2115"/>
          </w:tcPr>
          <w:p>
            <w:pPr>
              <w:spacing w:after="0"/>
              <w:rPr>
                <w:sz w:val="24"/>
                <w:szCs w:val="24"/>
                <w:color w:val="auto"/>
              </w:rPr>
            </w:pPr>
          </w:p>
        </w:tc>
        <w:tc>
          <w:tcPr>
            <w:tcW w:w="880" w:type="dxa"/>
            <w:vAlign w:val="bottom"/>
            <w:tcBorders>
              <w:bottom w:val="single" w:sz="8" w:color="BF2115"/>
            </w:tcBorders>
            <w:shd w:val="clear" w:color="auto" w:fill="BF2115"/>
          </w:tcPr>
          <w:p>
            <w:pPr>
              <w:spacing w:after="0"/>
              <w:rPr>
                <w:sz w:val="24"/>
                <w:szCs w:val="24"/>
                <w:color w:val="auto"/>
              </w:rPr>
            </w:pPr>
          </w:p>
        </w:tc>
        <w:tc>
          <w:tcPr>
            <w:tcW w:w="900" w:type="dxa"/>
            <w:vAlign w:val="bottom"/>
            <w:tcBorders>
              <w:bottom w:val="single" w:sz="8" w:color="BF2115"/>
            </w:tcBorders>
            <w:shd w:val="clear" w:color="auto" w:fill="BF2115"/>
          </w:tcPr>
          <w:p>
            <w:pPr>
              <w:spacing w:after="0"/>
              <w:rPr>
                <w:sz w:val="24"/>
                <w:szCs w:val="24"/>
                <w:color w:val="auto"/>
              </w:rPr>
            </w:pPr>
          </w:p>
        </w:tc>
        <w:tc>
          <w:tcPr>
            <w:tcW w:w="860" w:type="dxa"/>
            <w:vAlign w:val="bottom"/>
            <w:tcBorders>
              <w:bottom w:val="single" w:sz="8" w:color="BF2115"/>
            </w:tcBorders>
            <w:shd w:val="clear" w:color="auto" w:fill="BF2115"/>
          </w:tcPr>
          <w:p>
            <w:pPr>
              <w:spacing w:after="0"/>
              <w:rPr>
                <w:sz w:val="24"/>
                <w:szCs w:val="24"/>
                <w:color w:val="auto"/>
              </w:rPr>
            </w:pPr>
          </w:p>
        </w:tc>
        <w:tc>
          <w:tcPr>
            <w:tcW w:w="780" w:type="dxa"/>
            <w:vAlign w:val="bottom"/>
            <w:tcBorders>
              <w:bottom w:val="single" w:sz="8" w:color="BF2115"/>
            </w:tcBorders>
            <w:shd w:val="clear" w:color="auto" w:fill="BF2115"/>
          </w:tcPr>
          <w:p>
            <w:pPr>
              <w:spacing w:after="0"/>
              <w:rPr>
                <w:sz w:val="24"/>
                <w:szCs w:val="24"/>
                <w:color w:val="auto"/>
              </w:rPr>
            </w:pPr>
          </w:p>
        </w:tc>
        <w:tc>
          <w:tcPr>
            <w:tcW w:w="840" w:type="dxa"/>
            <w:vAlign w:val="bottom"/>
            <w:tcBorders>
              <w:bottom w:val="single" w:sz="8" w:color="BF2115"/>
            </w:tcBorders>
            <w:shd w:val="clear" w:color="auto" w:fill="BF2115"/>
          </w:tcPr>
          <w:p>
            <w:pPr>
              <w:spacing w:after="0"/>
              <w:rPr>
                <w:sz w:val="24"/>
                <w:szCs w:val="24"/>
                <w:color w:val="auto"/>
              </w:rPr>
            </w:pPr>
          </w:p>
        </w:tc>
        <w:tc>
          <w:tcPr>
            <w:tcW w:w="840" w:type="dxa"/>
            <w:vAlign w:val="bottom"/>
            <w:tcBorders>
              <w:bottom w:val="single" w:sz="8" w:color="BF2115"/>
            </w:tcBorders>
            <w:shd w:val="clear" w:color="auto" w:fill="BF2115"/>
          </w:tcPr>
          <w:p>
            <w:pPr>
              <w:spacing w:after="0"/>
              <w:rPr>
                <w:sz w:val="24"/>
                <w:szCs w:val="24"/>
                <w:color w:val="auto"/>
              </w:rPr>
            </w:pPr>
          </w:p>
        </w:tc>
        <w:tc>
          <w:tcPr>
            <w:tcW w:w="860" w:type="dxa"/>
            <w:vAlign w:val="bottom"/>
            <w:tcBorders>
              <w:bottom w:val="single" w:sz="8" w:color="BF2115"/>
            </w:tcBorders>
            <w:shd w:val="clear" w:color="auto" w:fill="BF2115"/>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660" w:type="dxa"/>
            <w:vAlign w:val="bottom"/>
          </w:tcPr>
          <w:p>
            <w:pPr>
              <w:ind w:left="20"/>
              <w:spacing w:after="0"/>
              <w:rPr>
                <w:sz w:val="20"/>
                <w:szCs w:val="20"/>
                <w:color w:val="auto"/>
              </w:rPr>
            </w:pPr>
            <w:r>
              <w:rPr>
                <w:rFonts w:ascii="Arial" w:cs="Arial" w:eastAsia="Arial" w:hAnsi="Arial"/>
                <w:sz w:val="18"/>
                <w:szCs w:val="18"/>
                <w:color w:val="auto"/>
              </w:rPr>
              <w:t>Race/Ethnicity Representation</w:t>
            </w: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jc w:val="center"/>
              <w:ind w:left="20"/>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0" w:type="dxa"/>
            <w:vAlign w:val="bottom"/>
          </w:tcPr>
          <w:p>
            <w:pPr>
              <w:spacing w:after="0"/>
              <w:rPr>
                <w:sz w:val="1"/>
                <w:szCs w:val="1"/>
                <w:color w:val="auto"/>
              </w:rPr>
            </w:pPr>
          </w:p>
        </w:tc>
      </w:tr>
      <w:tr>
        <w:trPr>
          <w:trHeight w:val="294"/>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Gender Representation</w:t>
            </w: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20" w:type="dxa"/>
            <w:vAlign w:val="bottom"/>
            <w:shd w:val="clear" w:color="auto" w:fill="DBDBDB"/>
          </w:tcPr>
          <w:p>
            <w:pPr>
              <w:spacing w:after="0"/>
              <w:rPr>
                <w:sz w:val="24"/>
                <w:szCs w:val="24"/>
                <w:color w:val="auto"/>
              </w:rPr>
            </w:pPr>
          </w:p>
        </w:tc>
        <w:tc>
          <w:tcPr>
            <w:tcW w:w="880" w:type="dxa"/>
            <w:vAlign w:val="bottom"/>
            <w:shd w:val="clear" w:color="auto" w:fill="DBDBDB"/>
          </w:tcPr>
          <w:p>
            <w:pPr>
              <w:spacing w:after="0"/>
              <w:rPr>
                <w:sz w:val="24"/>
                <w:szCs w:val="24"/>
                <w:color w:val="auto"/>
              </w:rPr>
            </w:pPr>
          </w:p>
        </w:tc>
        <w:tc>
          <w:tcPr>
            <w:tcW w:w="900" w:type="dxa"/>
            <w:vAlign w:val="bottom"/>
            <w:shd w:val="clear" w:color="auto" w:fill="DBDBDB"/>
          </w:tcPr>
          <w:p>
            <w:pPr>
              <w:spacing w:after="0"/>
              <w:rPr>
                <w:sz w:val="24"/>
                <w:szCs w:val="24"/>
                <w:color w:val="auto"/>
              </w:rPr>
            </w:pPr>
          </w:p>
        </w:tc>
        <w:tc>
          <w:tcPr>
            <w:tcW w:w="860" w:type="dxa"/>
            <w:vAlign w:val="bottom"/>
            <w:shd w:val="clear" w:color="auto" w:fill="DBDBDB"/>
          </w:tcPr>
          <w:p>
            <w:pPr>
              <w:spacing w:after="0"/>
              <w:rPr>
                <w:sz w:val="24"/>
                <w:szCs w:val="24"/>
                <w:color w:val="auto"/>
              </w:rPr>
            </w:pPr>
          </w:p>
        </w:tc>
        <w:tc>
          <w:tcPr>
            <w:tcW w:w="78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shd w:val="clear" w:color="auto" w:fill="DBDBDB"/>
          </w:tcPr>
          <w:p>
            <w:pPr>
              <w:spacing w:after="0"/>
              <w:rPr>
                <w:sz w:val="24"/>
                <w:szCs w:val="24"/>
                <w:color w:val="auto"/>
              </w:rPr>
            </w:pPr>
          </w:p>
        </w:tc>
        <w:tc>
          <w:tcPr>
            <w:tcW w:w="840" w:type="dxa"/>
            <w:vAlign w:val="bottom"/>
            <w:shd w:val="clear" w:color="auto" w:fill="DBDBDB"/>
          </w:tcPr>
          <w:p>
            <w:pPr>
              <w:spacing w:after="0"/>
              <w:rPr>
                <w:sz w:val="24"/>
                <w:szCs w:val="24"/>
                <w:color w:val="auto"/>
              </w:rPr>
            </w:pP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0" w:type="dxa"/>
            <w:vAlign w:val="bottom"/>
          </w:tcPr>
          <w:p>
            <w:pPr>
              <w:spacing w:after="0"/>
              <w:rPr>
                <w:sz w:val="1"/>
                <w:szCs w:val="1"/>
                <w:color w:val="auto"/>
              </w:rPr>
            </w:pPr>
          </w:p>
        </w:tc>
      </w:tr>
      <w:tr>
        <w:trPr>
          <w:trHeight w:val="248"/>
        </w:trPr>
        <w:tc>
          <w:tcPr>
            <w:tcW w:w="3660" w:type="dxa"/>
            <w:vAlign w:val="bottom"/>
          </w:tcPr>
          <w:p>
            <w:pPr>
              <w:ind w:left="20"/>
              <w:spacing w:after="0"/>
              <w:rPr>
                <w:sz w:val="20"/>
                <w:szCs w:val="20"/>
                <w:color w:val="auto"/>
              </w:rPr>
            </w:pPr>
            <w:r>
              <w:rPr>
                <w:rFonts w:ascii="Arial" w:cs="Arial" w:eastAsia="Arial" w:hAnsi="Arial"/>
                <w:sz w:val="18"/>
                <w:szCs w:val="18"/>
                <w:color w:val="auto"/>
              </w:rPr>
              <w:t>Age</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61</w:t>
            </w:r>
          </w:p>
        </w:tc>
        <w:tc>
          <w:tcPr>
            <w:tcW w:w="720" w:type="dxa"/>
            <w:vAlign w:val="bottom"/>
          </w:tcPr>
          <w:p>
            <w:pPr>
              <w:jc w:val="right"/>
              <w:ind w:right="141"/>
              <w:spacing w:after="0"/>
              <w:rPr>
                <w:sz w:val="20"/>
                <w:szCs w:val="20"/>
                <w:color w:val="auto"/>
              </w:rPr>
            </w:pPr>
            <w:r>
              <w:rPr>
                <w:rFonts w:ascii="Arial" w:cs="Arial" w:eastAsia="Arial" w:hAnsi="Arial"/>
                <w:sz w:val="18"/>
                <w:szCs w:val="18"/>
                <w:color w:val="auto"/>
              </w:rPr>
              <w:t>69</w:t>
            </w:r>
          </w:p>
        </w:tc>
        <w:tc>
          <w:tcPr>
            <w:tcW w:w="880" w:type="dxa"/>
            <w:vAlign w:val="bottom"/>
          </w:tcPr>
          <w:p>
            <w:pPr>
              <w:jc w:val="center"/>
              <w:ind w:left="20"/>
              <w:spacing w:after="0"/>
              <w:rPr>
                <w:sz w:val="20"/>
                <w:szCs w:val="20"/>
                <w:color w:val="auto"/>
              </w:rPr>
            </w:pPr>
            <w:r>
              <w:rPr>
                <w:rFonts w:ascii="Arial" w:cs="Arial" w:eastAsia="Arial" w:hAnsi="Arial"/>
                <w:sz w:val="18"/>
                <w:szCs w:val="18"/>
                <w:color w:val="auto"/>
                <w:w w:val="99"/>
              </w:rPr>
              <w:t>57</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59</w:t>
            </w:r>
          </w:p>
        </w:tc>
        <w:tc>
          <w:tcPr>
            <w:tcW w:w="860" w:type="dxa"/>
            <w:vAlign w:val="bottom"/>
          </w:tcPr>
          <w:p>
            <w:pPr>
              <w:jc w:val="right"/>
              <w:ind w:right="261"/>
              <w:spacing w:after="0"/>
              <w:rPr>
                <w:sz w:val="20"/>
                <w:szCs w:val="20"/>
                <w:color w:val="auto"/>
              </w:rPr>
            </w:pPr>
            <w:r>
              <w:rPr>
                <w:rFonts w:ascii="Arial" w:cs="Arial" w:eastAsia="Arial" w:hAnsi="Arial"/>
                <w:sz w:val="18"/>
                <w:szCs w:val="18"/>
                <w:color w:val="auto"/>
              </w:rPr>
              <w:t>61</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63</w:t>
            </w:r>
          </w:p>
        </w:tc>
        <w:tc>
          <w:tcPr>
            <w:tcW w:w="840" w:type="dxa"/>
            <w:vAlign w:val="bottom"/>
          </w:tcPr>
          <w:p>
            <w:pPr>
              <w:jc w:val="right"/>
              <w:ind w:right="200"/>
              <w:spacing w:after="0"/>
              <w:rPr>
                <w:sz w:val="20"/>
                <w:szCs w:val="20"/>
                <w:color w:val="auto"/>
              </w:rPr>
            </w:pPr>
            <w:r>
              <w:rPr>
                <w:rFonts w:ascii="Arial" w:cs="Arial" w:eastAsia="Arial" w:hAnsi="Arial"/>
                <w:sz w:val="18"/>
                <w:szCs w:val="18"/>
                <w:color w:val="auto"/>
              </w:rPr>
              <w:t>62</w:t>
            </w:r>
          </w:p>
        </w:tc>
        <w:tc>
          <w:tcPr>
            <w:tcW w:w="840" w:type="dxa"/>
            <w:vAlign w:val="bottom"/>
          </w:tcPr>
          <w:p>
            <w:pPr>
              <w:jc w:val="right"/>
              <w:ind w:right="200"/>
              <w:spacing w:after="0"/>
              <w:rPr>
                <w:sz w:val="20"/>
                <w:szCs w:val="20"/>
                <w:color w:val="auto"/>
              </w:rPr>
            </w:pPr>
            <w:r>
              <w:rPr>
                <w:rFonts w:ascii="Arial" w:cs="Arial" w:eastAsia="Arial" w:hAnsi="Arial"/>
                <w:sz w:val="18"/>
                <w:szCs w:val="18"/>
                <w:color w:val="auto"/>
              </w:rPr>
              <w:t>65</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259"/>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Tenure (Years)</w:t>
            </w:r>
          </w:p>
        </w:tc>
        <w:tc>
          <w:tcPr>
            <w:tcW w:w="8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2</w:t>
            </w:r>
          </w:p>
        </w:tc>
        <w:tc>
          <w:tcPr>
            <w:tcW w:w="720" w:type="dxa"/>
            <w:vAlign w:val="bottom"/>
            <w:shd w:val="clear" w:color="auto" w:fill="DBDBDB"/>
          </w:tcPr>
          <w:p>
            <w:pPr>
              <w:jc w:val="right"/>
              <w:ind w:right="141"/>
              <w:spacing w:after="0"/>
              <w:rPr>
                <w:sz w:val="20"/>
                <w:szCs w:val="20"/>
                <w:color w:val="auto"/>
              </w:rPr>
            </w:pPr>
            <w:r>
              <w:rPr>
                <w:rFonts w:ascii="Arial" w:cs="Arial" w:eastAsia="Arial" w:hAnsi="Arial"/>
                <w:sz w:val="18"/>
                <w:szCs w:val="18"/>
                <w:color w:val="auto"/>
              </w:rPr>
              <w:t>20</w:t>
            </w:r>
          </w:p>
        </w:tc>
        <w:tc>
          <w:tcPr>
            <w:tcW w:w="8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4</w:t>
            </w:r>
          </w:p>
        </w:tc>
        <w:tc>
          <w:tcPr>
            <w:tcW w:w="9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7</w:t>
            </w:r>
          </w:p>
        </w:tc>
        <w:tc>
          <w:tcPr>
            <w:tcW w:w="860" w:type="dxa"/>
            <w:vAlign w:val="bottom"/>
            <w:shd w:val="clear" w:color="auto" w:fill="DBDBDB"/>
          </w:tcPr>
          <w:p>
            <w:pPr>
              <w:jc w:val="right"/>
              <w:ind w:right="261"/>
              <w:spacing w:after="0"/>
              <w:rPr>
                <w:sz w:val="20"/>
                <w:szCs w:val="20"/>
                <w:color w:val="auto"/>
              </w:rPr>
            </w:pPr>
            <w:r>
              <w:rPr>
                <w:rFonts w:ascii="Arial" w:cs="Arial" w:eastAsia="Arial" w:hAnsi="Arial"/>
                <w:sz w:val="18"/>
                <w:szCs w:val="18"/>
                <w:color w:val="auto"/>
              </w:rPr>
              <w:t>10</w:t>
            </w:r>
          </w:p>
        </w:tc>
        <w:tc>
          <w:tcPr>
            <w:tcW w:w="7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7</w:t>
            </w:r>
          </w:p>
        </w:tc>
        <w:tc>
          <w:tcPr>
            <w:tcW w:w="840" w:type="dxa"/>
            <w:vAlign w:val="bottom"/>
            <w:shd w:val="clear" w:color="auto" w:fill="DBDBDB"/>
          </w:tcPr>
          <w:p>
            <w:pPr>
              <w:jc w:val="right"/>
              <w:ind w:right="20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DBDBDB"/>
          </w:tcPr>
          <w:p>
            <w:pPr>
              <w:jc w:val="right"/>
              <w:ind w:right="200"/>
              <w:spacing w:after="0"/>
              <w:rPr>
                <w:sz w:val="20"/>
                <w:szCs w:val="20"/>
                <w:color w:val="auto"/>
              </w:rPr>
            </w:pPr>
            <w:r>
              <w:rPr>
                <w:rFonts w:ascii="Arial" w:cs="Arial" w:eastAsia="Arial" w:hAnsi="Arial"/>
                <w:sz w:val="18"/>
                <w:szCs w:val="18"/>
                <w:color w:val="auto"/>
              </w:rPr>
              <w:t>14</w:t>
            </w:r>
          </w:p>
        </w:tc>
        <w:tc>
          <w:tcPr>
            <w:tcW w:w="8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7"/>
          <w:szCs w:val="17"/>
          <w:b w:val="1"/>
          <w:bCs w:val="1"/>
          <w:i w:val="1"/>
          <w:iCs w:val="1"/>
          <w:color w:val="auto"/>
        </w:rPr>
        <w:t xml:space="preserve">Director Retirement Policy. </w:t>
      </w:r>
      <w:r>
        <w:rPr>
          <w:rFonts w:ascii="Arial" w:cs="Arial" w:eastAsia="Arial" w:hAnsi="Arial"/>
          <w:sz w:val="17"/>
          <w:szCs w:val="17"/>
          <w:color w:val="auto"/>
        </w:rPr>
        <w:t>Pursuant to the Company's Corporate Governance Guidelines, directors are not expected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nominated for election or re-election to the Board after their seventieth (70th) birthday. However, upon the recommendation of the Nominating</w:t>
      </w:r>
    </w:p>
    <w:p>
      <w:pPr>
        <w:spacing w:after="0" w:line="1"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and Governance Committee, the Board may nominate director candidates who have reached their seventieth (70th) birthday, if it determines that doing so is in the best interest of the Company.</w:t>
      </w:r>
    </w:p>
    <w:p>
      <w:pPr>
        <w:spacing w:after="0" w:line="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Director Resignation Policy. </w:t>
      </w:r>
      <w:r>
        <w:rPr>
          <w:rFonts w:ascii="Arial" w:cs="Arial" w:eastAsia="Arial" w:hAnsi="Arial"/>
          <w:sz w:val="18"/>
          <w:szCs w:val="18"/>
          <w:color w:val="auto"/>
        </w:rPr>
        <w:t>Pursuant to the Company's current Amended and Restated Bylaws, any director nominee in an</w:t>
      </w:r>
    </w:p>
    <w:p>
      <w:pPr>
        <w:spacing w:after="0" w:line="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uncontested election as to whom a majority of the votes of the shares present in person or represented by proxy at the meeting and entitled to vote on the election of directors are designated to be “withheld” from or are voted “against” that director shall tender a resignation for</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consideration by the Nominating and Governance Committee. The Nominating and Governance Committee shall evaluate and recommend to the Board the action to be taken with respect to such tendered resignation.</w:t>
      </w:r>
    </w:p>
    <w:p>
      <w:pPr>
        <w:spacing w:after="0" w:line="59"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The information presented on the following pages regarding each director nominee or continuing director also sets forth specific experience, qualifications, attributes and skills that led our Board to conclude that such director should serve as a director in light of our business and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894080</wp:posOffset>
            </wp:positionV>
            <wp:extent cx="1135380" cy="11353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135380" cy="1135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BF2115"/>
        </w:rPr>
        <w:t>Dianne C. Craig</w:t>
      </w:r>
    </w:p>
    <w:p>
      <w:pPr>
        <w:spacing w:after="0" w:line="49" w:lineRule="exact"/>
        <w:rPr>
          <w:sz w:val="20"/>
          <w:szCs w:val="20"/>
          <w:color w:val="auto"/>
        </w:rPr>
      </w:pPr>
    </w:p>
    <w:p>
      <w:pPr>
        <w:ind w:left="2"/>
        <w:spacing w:after="0"/>
        <w:rPr>
          <w:sz w:val="20"/>
          <w:szCs w:val="20"/>
          <w:color w:val="auto"/>
        </w:rPr>
      </w:pPr>
      <w:r>
        <w:rPr>
          <w:rFonts w:ascii="Arial" w:cs="Arial" w:eastAsia="Arial" w:hAnsi="Arial"/>
          <w:sz w:val="18"/>
          <w:szCs w:val="18"/>
          <w:color w:val="auto"/>
        </w:rPr>
        <w:t>Age 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C00000"/>
        </w:rPr>
        <w:t>Director Nominees for Election to the Board for a Term Ending at the 2029 Annual Meeting</w:t>
      </w:r>
    </w:p>
    <w:p>
      <w:pPr>
        <w:spacing w:after="0" w:line="82"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15875</wp:posOffset>
            </wp:positionV>
            <wp:extent cx="55238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82" w:lineRule="exact"/>
        <w:rPr>
          <w:sz w:val="20"/>
          <w:szCs w:val="20"/>
          <w:color w:val="auto"/>
        </w:rPr>
      </w:pPr>
    </w:p>
    <w:p>
      <w:pPr>
        <w:jc w:val="both"/>
        <w:ind w:left="1100" w:right="420"/>
        <w:spacing w:after="0" w:line="276" w:lineRule="auto"/>
        <w:rPr>
          <w:sz w:val="20"/>
          <w:szCs w:val="20"/>
          <w:color w:val="auto"/>
        </w:rPr>
      </w:pPr>
      <w:r>
        <w:rPr>
          <w:rFonts w:ascii="Arial" w:cs="Arial" w:eastAsia="Arial" w:hAnsi="Arial"/>
          <w:sz w:val="17"/>
          <w:szCs w:val="17"/>
          <w:color w:val="auto"/>
        </w:rPr>
        <w:t>Dianne C. Craig was President of Lincoln, the luxury vehicle division of Ford Motor Company, Dearborn, Michigan (a designer, manufacturer and servicer of cars, trucks, sport utility vehicles and electric vehicles worldwide) until her retirement in April 2025. She held the following positions, all at Ford Motor:</w:t>
      </w:r>
    </w:p>
    <w:p>
      <w:pPr>
        <w:spacing w:after="0" w:line="233" w:lineRule="exact"/>
        <w:rPr>
          <w:sz w:val="20"/>
          <w:szCs w:val="20"/>
          <w:color w:val="auto"/>
        </w:rPr>
      </w:pPr>
    </w:p>
    <w:p>
      <w:pPr>
        <w:ind w:left="1900" w:hanging="153"/>
        <w:spacing w:after="0"/>
        <w:tabs>
          <w:tab w:leader="none" w:pos="190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8"/>
          <w:szCs w:val="18"/>
          <w:color w:val="auto"/>
        </w:rPr>
        <w:t>President, Lincoln (December 2022 - April 2025)</w:t>
      </w:r>
    </w:p>
    <w:p>
      <w:pPr>
        <w:spacing w:after="0" w:line="22" w:lineRule="exact"/>
        <w:rPr>
          <w:rFonts w:ascii="Times New Roman" w:cs="Times New Roman" w:eastAsia="Times New Roman" w:hAnsi="Times New Roman"/>
          <w:sz w:val="16"/>
          <w:szCs w:val="16"/>
          <w:color w:val="auto"/>
        </w:rPr>
      </w:pPr>
    </w:p>
    <w:p>
      <w:pPr>
        <w:ind w:left="1900" w:hanging="153"/>
        <w:spacing w:after="0" w:line="232" w:lineRule="auto"/>
        <w:tabs>
          <w:tab w:leader="none" w:pos="190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8"/>
          <w:szCs w:val="18"/>
          <w:color w:val="auto"/>
        </w:rPr>
        <w:t>President, International Markets, Thailand (January 2021 – November 2022)</w:t>
      </w:r>
    </w:p>
    <w:p>
      <w:pPr>
        <w:ind w:left="1900" w:hanging="153"/>
        <w:spacing w:after="0"/>
        <w:tabs>
          <w:tab w:leader="none" w:pos="190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8"/>
          <w:szCs w:val="18"/>
          <w:color w:val="auto"/>
        </w:rPr>
        <w:t>Chief Executive Officer, FordDirect (June 2018 – December 2020)</w:t>
      </w:r>
    </w:p>
    <w:p>
      <w:pPr>
        <w:spacing w:after="0" w:line="6" w:lineRule="exact"/>
        <w:rPr>
          <w:rFonts w:ascii="Times New Roman" w:cs="Times New Roman" w:eastAsia="Times New Roman" w:hAnsi="Times New Roman"/>
          <w:sz w:val="16"/>
          <w:szCs w:val="16"/>
          <w:color w:val="auto"/>
        </w:rPr>
      </w:pPr>
    </w:p>
    <w:p>
      <w:pPr>
        <w:ind w:left="1900" w:hanging="153"/>
        <w:spacing w:after="0"/>
        <w:tabs>
          <w:tab w:leader="none" w:pos="190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8"/>
          <w:szCs w:val="18"/>
          <w:color w:val="auto"/>
        </w:rPr>
        <w:t>Executive Director, U.S. Sales (December 2016 – May 2018)</w:t>
      </w:r>
    </w:p>
    <w:p>
      <w:pPr>
        <w:spacing w:after="0" w:line="6" w:lineRule="exact"/>
        <w:rPr>
          <w:rFonts w:ascii="Times New Roman" w:cs="Times New Roman" w:eastAsia="Times New Roman" w:hAnsi="Times New Roman"/>
          <w:sz w:val="16"/>
          <w:szCs w:val="16"/>
          <w:color w:val="auto"/>
        </w:rPr>
      </w:pPr>
    </w:p>
    <w:p>
      <w:pPr>
        <w:ind w:left="1900" w:hanging="153"/>
        <w:spacing w:after="0"/>
        <w:tabs>
          <w:tab w:leader="none" w:pos="190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8"/>
          <w:szCs w:val="18"/>
          <w:color w:val="auto"/>
        </w:rPr>
        <w:t>Chief Executive Officer, Ford Motor Company of Canada (November 2011 – November 2016</w:t>
      </w:r>
    </w:p>
    <w:p>
      <w:pPr>
        <w:spacing w:after="0" w:line="89" w:lineRule="exact"/>
        <w:rPr>
          <w:sz w:val="20"/>
          <w:szCs w:val="20"/>
          <w:color w:val="auto"/>
        </w:rPr>
      </w:pPr>
    </w:p>
    <w:p>
      <w:pPr>
        <w:sectPr>
          <w:pgSz w:w="11900" w:h="16838" w:orient="portrait"/>
          <w:cols w:equalWidth="0" w:num="2">
            <w:col w:w="1322" w:space="80"/>
            <w:col w:w="9780"/>
          </w:cols>
          <w:pgMar w:left="358" w:top="1103" w:right="359" w:bottom="1440" w:gutter="0" w:footer="0" w:header="0"/>
        </w:sectPr>
      </w:pPr>
    </w:p>
    <w:p>
      <w:pPr>
        <w:spacing w:after="0" w:line="21" w:lineRule="exact"/>
        <w:rPr>
          <w:sz w:val="20"/>
          <w:szCs w:val="20"/>
          <w:color w:val="auto"/>
        </w:rPr>
      </w:pPr>
    </w:p>
    <w:p>
      <w:pPr>
        <w:ind w:left="2" w:right="260"/>
        <w:spacing w:after="0" w:line="285" w:lineRule="auto"/>
        <w:rPr>
          <w:sz w:val="20"/>
          <w:szCs w:val="20"/>
          <w:color w:val="auto"/>
        </w:rPr>
      </w:pPr>
      <w:r>
        <w:rPr>
          <w:rFonts w:ascii="Arial" w:cs="Arial" w:eastAsia="Arial" w:hAnsi="Arial"/>
          <w:sz w:val="18"/>
          <w:szCs w:val="18"/>
          <w:color w:val="auto"/>
        </w:rPr>
        <w:t>Director since 2024 Independent</w:t>
      </w:r>
    </w:p>
    <w:p>
      <w:pPr>
        <w:ind w:left="2"/>
        <w:spacing w:after="0"/>
        <w:rPr>
          <w:sz w:val="20"/>
          <w:szCs w:val="20"/>
          <w:color w:val="auto"/>
        </w:rPr>
      </w:pPr>
      <w:r>
        <w:rPr>
          <w:rFonts w:ascii="Arial" w:cs="Arial" w:eastAsia="Arial" w:hAnsi="Arial"/>
          <w:sz w:val="18"/>
          <w:szCs w:val="18"/>
          <w:b w:val="1"/>
          <w:bCs w:val="1"/>
          <w:color w:val="BF2115"/>
        </w:rPr>
        <w:t>Committees</w:t>
      </w:r>
    </w:p>
    <w:p>
      <w:pPr>
        <w:ind w:left="162" w:hanging="162"/>
        <w:spacing w:after="0" w:line="229" w:lineRule="auto"/>
        <w:tabs>
          <w:tab w:leader="none" w:pos="16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Audit</w:t>
      </w:r>
    </w:p>
    <w:p>
      <w:pPr>
        <w:ind w:left="162" w:hanging="162"/>
        <w:spacing w:after="0"/>
        <w:tabs>
          <w:tab w:leader="none" w:pos="162"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1207770</wp:posOffset>
            </wp:positionV>
            <wp:extent cx="1135380" cy="11353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35380" cy="1135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BF2115"/>
        </w:rPr>
        <w:t>Eric P. Hansotia</w:t>
      </w:r>
    </w:p>
    <w:p>
      <w:pPr>
        <w:spacing w:after="0" w:line="49" w:lineRule="exact"/>
        <w:rPr>
          <w:sz w:val="20"/>
          <w:szCs w:val="20"/>
          <w:color w:val="auto"/>
        </w:rPr>
      </w:pPr>
    </w:p>
    <w:p>
      <w:pPr>
        <w:ind w:left="2"/>
        <w:spacing w:after="0"/>
        <w:rPr>
          <w:sz w:val="20"/>
          <w:szCs w:val="20"/>
          <w:color w:val="auto"/>
        </w:rPr>
      </w:pPr>
      <w:r>
        <w:rPr>
          <w:rFonts w:ascii="Arial" w:cs="Arial" w:eastAsia="Arial" w:hAnsi="Arial"/>
          <w:sz w:val="18"/>
          <w:szCs w:val="18"/>
          <w:color w:val="auto"/>
        </w:rPr>
        <w:t>Age 57</w:t>
      </w:r>
    </w:p>
    <w:p>
      <w:pPr>
        <w:spacing w:after="0" w:line="33" w:lineRule="exact"/>
        <w:rPr>
          <w:sz w:val="20"/>
          <w:szCs w:val="20"/>
          <w:color w:val="auto"/>
        </w:rPr>
      </w:pPr>
    </w:p>
    <w:p>
      <w:pPr>
        <w:ind w:left="2"/>
        <w:spacing w:after="0"/>
        <w:rPr>
          <w:sz w:val="20"/>
          <w:szCs w:val="20"/>
          <w:color w:val="auto"/>
        </w:rPr>
      </w:pPr>
      <w:r>
        <w:rPr>
          <w:rFonts w:ascii="Arial" w:cs="Arial" w:eastAsia="Arial" w:hAnsi="Arial"/>
          <w:sz w:val="17"/>
          <w:szCs w:val="17"/>
          <w:color w:val="auto"/>
        </w:rPr>
        <w:t>Director since 2022</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231140</wp:posOffset>
            </wp:positionV>
            <wp:extent cx="55238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Ms. Craig brings to our Board a deep and diverse range of executive leadership experience in an industry</w:t>
      </w:r>
    </w:p>
    <w:p>
      <w:pPr>
        <w:spacing w:after="0" w:line="9"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color w:val="auto"/>
        </w:rPr>
        <w:t>applicable to our Company. She contributes a strategic perspective on digital technologies, brand enhancements and international operations. Furthermore, her extensive background in channel strategy,</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building dealer relationships and delivering best-in-class marketing solutions brings expertise in areas critical to the ongoing success of our Company.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33020</wp:posOffset>
            </wp:positionV>
            <wp:extent cx="55238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53" w:lineRule="exact"/>
        <w:rPr>
          <w:sz w:val="20"/>
          <w:szCs w:val="20"/>
          <w:color w:val="auto"/>
        </w:rPr>
      </w:pPr>
    </w:p>
    <w:p>
      <w:pPr>
        <w:ind w:left="1840"/>
        <w:spacing w:after="0"/>
        <w:tabs>
          <w:tab w:leader="none" w:pos="596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49" w:lineRule="exact"/>
        <w:rPr>
          <w:sz w:val="20"/>
          <w:szCs w:val="20"/>
          <w:color w:val="auto"/>
        </w:rPr>
      </w:pPr>
    </w:p>
    <w:p>
      <w:pPr>
        <w:ind w:left="1960"/>
        <w:spacing w:after="0"/>
        <w:tabs>
          <w:tab w:leader="none" w:pos="6280" w:val="left"/>
        </w:tabs>
        <w:rPr>
          <w:sz w:val="20"/>
          <w:szCs w:val="20"/>
          <w:color w:val="auto"/>
        </w:rPr>
      </w:pPr>
      <w:r>
        <w:rPr>
          <w:rFonts w:ascii="Arial" w:cs="Arial" w:eastAsia="Arial" w:hAnsi="Arial"/>
          <w:sz w:val="18"/>
          <w:szCs w:val="18"/>
          <w:color w:val="auto"/>
        </w:rPr>
        <w:t>None</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15875</wp:posOffset>
            </wp:positionV>
            <wp:extent cx="55238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8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Eric P. Hansotia is the Chairman, President and Chief Executive Officer of AGCO Corporation, Duluth, Georgia (a global leader in the design, manufacture and distribution of agricultural solutions). He holds or held the following positions at AGCO:</w:t>
      </w:r>
    </w:p>
    <w:p>
      <w:pPr>
        <w:spacing w:after="0" w:line="268" w:lineRule="exact"/>
        <w:rPr>
          <w:sz w:val="20"/>
          <w:szCs w:val="20"/>
          <w:color w:val="auto"/>
        </w:rPr>
      </w:pPr>
    </w:p>
    <w:p>
      <w:pPr>
        <w:ind w:left="800" w:hanging="153"/>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Chairman, President and Chief Executive Officer (since January 2021)</w:t>
      </w:r>
    </w:p>
    <w:p>
      <w:pPr>
        <w:spacing w:after="0" w:line="9" w:lineRule="exact"/>
        <w:rPr>
          <w:rFonts w:ascii="Arial" w:cs="Arial" w:eastAsia="Arial" w:hAnsi="Arial"/>
          <w:sz w:val="18"/>
          <w:szCs w:val="18"/>
          <w:color w:val="auto"/>
        </w:rPr>
      </w:pPr>
    </w:p>
    <w:p>
      <w:pPr>
        <w:ind w:left="800" w:hanging="153"/>
        <w:spacing w:after="0" w:line="232"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Chief Operating Officer (January 2019 – December 2020)</w:t>
      </w:r>
    </w:p>
    <w:p>
      <w:pPr>
        <w:ind w:left="800" w:right="180" w:hanging="153"/>
        <w:spacing w:after="0" w:line="239" w:lineRule="auto"/>
        <w:tabs>
          <w:tab w:leader="none" w:pos="7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Senior Vice President, Global Crop Cycle and Fuse Connected Services (January 2015 – January 2019)</w:t>
      </w:r>
    </w:p>
    <w:p>
      <w:pPr>
        <w:spacing w:after="0" w:line="1" w:lineRule="exact"/>
        <w:rPr>
          <w:rFonts w:ascii="Arial" w:cs="Arial" w:eastAsia="Arial" w:hAnsi="Arial"/>
          <w:sz w:val="18"/>
          <w:szCs w:val="18"/>
          <w:color w:val="auto"/>
        </w:rPr>
      </w:pPr>
    </w:p>
    <w:p>
      <w:pPr>
        <w:ind w:left="800" w:right="40" w:hanging="153"/>
        <w:spacing w:after="0" w:line="243" w:lineRule="auto"/>
        <w:tabs>
          <w:tab w:leader="none" w:pos="7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Senior Vice President, Global Harvesting and Advanced Technology Solutions (July 2013 – January 2015)</w:t>
      </w:r>
    </w:p>
    <w:p>
      <w:pPr>
        <w:spacing w:after="0" w:line="165" w:lineRule="exact"/>
        <w:rPr>
          <w:sz w:val="20"/>
          <w:szCs w:val="20"/>
          <w:color w:val="auto"/>
        </w:rPr>
      </w:pPr>
    </w:p>
    <w:p>
      <w:pPr>
        <w:sectPr>
          <w:pgSz w:w="11900" w:h="16838" w:orient="portrait"/>
          <w:cols w:equalWidth="0" w:num="2">
            <w:col w:w="1782" w:space="720"/>
            <w:col w:w="8680"/>
          </w:cols>
          <w:pgMar w:left="358" w:top="1103" w:right="359" w:bottom="1440" w:gutter="0" w:footer="0" w:header="0"/>
          <w:type w:val="continuous"/>
        </w:sectPr>
      </w:pPr>
    </w:p>
    <w:p>
      <w:pPr>
        <w:ind w:left="2"/>
        <w:spacing w:after="0"/>
        <w:rPr>
          <w:sz w:val="20"/>
          <w:szCs w:val="20"/>
          <w:color w:val="auto"/>
        </w:rPr>
      </w:pPr>
      <w:r>
        <w:rPr>
          <w:rFonts w:ascii="Arial" w:cs="Arial" w:eastAsia="Arial" w:hAnsi="Arial"/>
          <w:sz w:val="18"/>
          <w:szCs w:val="18"/>
          <w:color w:val="auto"/>
        </w:rPr>
        <w:t>Independent</w:t>
      </w:r>
    </w:p>
    <w:p>
      <w:pPr>
        <w:spacing w:after="0" w:line="4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BF2115"/>
        </w:rPr>
        <w:t>Committees</w:t>
      </w:r>
    </w:p>
    <w:p>
      <w:pPr>
        <w:ind w:left="162" w:hanging="162"/>
        <w:spacing w:after="0" w:line="232" w:lineRule="auto"/>
        <w:tabs>
          <w:tab w:leader="none" w:pos="1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Compensation &amp; Human Resources</w:t>
      </w:r>
    </w:p>
    <w:p>
      <w:pPr>
        <w:ind w:left="162" w:right="700" w:hanging="162"/>
        <w:spacing w:after="0" w:line="255" w:lineRule="auto"/>
        <w:tabs>
          <w:tab w:leader="none" w:pos="158"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Nominating and Governance</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Prior to joining AGCO, Mr. Hansotia spent 20 years at Deere &amp; Company in various leadership positions, including at the senior vice president, vice president and general manager levels.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100965</wp:posOffset>
            </wp:positionV>
            <wp:extent cx="55238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both"/>
        <w:ind w:right="20"/>
        <w:spacing w:after="0" w:line="233" w:lineRule="auto"/>
        <w:rPr>
          <w:sz w:val="20"/>
          <w:szCs w:val="20"/>
          <w:color w:val="auto"/>
        </w:rPr>
      </w:pPr>
      <w:r>
        <w:rPr>
          <w:rFonts w:ascii="Arial" w:cs="Arial" w:eastAsia="Arial" w:hAnsi="Arial"/>
          <w:sz w:val="18"/>
          <w:szCs w:val="18"/>
          <w:color w:val="auto"/>
        </w:rPr>
        <w:t>Mr. Hansotia brings to our Board deep industry experience and a strong strategic perspective and extensive executive leadership experience in areas critical to our Company's success, including engineering, quality,</w:t>
      </w:r>
    </w:p>
    <w:p>
      <w:pPr>
        <w:spacing w:after="0" w:line="1"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technology transitions and opportunities, manufacturing, product management, mergers and acquisitions, channel development, and public company governance. He has significant international experience gained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from leading global manufacturing and supply chain functions.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33020</wp:posOffset>
            </wp:positionV>
            <wp:extent cx="55238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53" w:lineRule="exact"/>
        <w:rPr>
          <w:sz w:val="20"/>
          <w:szCs w:val="20"/>
          <w:color w:val="auto"/>
        </w:rPr>
      </w:pPr>
    </w:p>
    <w:p>
      <w:pPr>
        <w:ind w:left="1840"/>
        <w:spacing w:after="0"/>
        <w:tabs>
          <w:tab w:leader="none" w:pos="596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49" w:lineRule="exact"/>
        <w:rPr>
          <w:sz w:val="20"/>
          <w:szCs w:val="20"/>
          <w:color w:val="auto"/>
        </w:rPr>
      </w:pPr>
    </w:p>
    <w:p>
      <w:pPr>
        <w:ind w:left="1420"/>
        <w:spacing w:after="0"/>
        <w:tabs>
          <w:tab w:leader="none" w:pos="6280" w:val="left"/>
        </w:tabs>
        <w:rPr>
          <w:sz w:val="20"/>
          <w:szCs w:val="20"/>
          <w:color w:val="auto"/>
        </w:rPr>
      </w:pPr>
      <w:r>
        <w:rPr>
          <w:rFonts w:ascii="Arial" w:cs="Arial" w:eastAsia="Arial" w:hAnsi="Arial"/>
          <w:sz w:val="18"/>
          <w:szCs w:val="18"/>
          <w:color w:val="auto"/>
        </w:rPr>
        <w:t>AGCO Corporation</w:t>
      </w:r>
      <w:r>
        <w:rPr>
          <w:sz w:val="20"/>
          <w:szCs w:val="20"/>
          <w:color w:val="auto"/>
        </w:rPr>
        <w:tab/>
      </w:r>
      <w:r>
        <w:rPr>
          <w:rFonts w:ascii="Arial" w:cs="Arial" w:eastAsia="Arial" w:hAnsi="Arial"/>
          <w:sz w:val="17"/>
          <w:szCs w:val="17"/>
          <w:color w:val="auto"/>
        </w:rPr>
        <w:t>None</w:t>
      </w:r>
    </w:p>
    <w:p>
      <w:pPr>
        <w:spacing w:after="0" w:line="200" w:lineRule="exact"/>
        <w:rPr>
          <w:sz w:val="20"/>
          <w:szCs w:val="20"/>
          <w:color w:val="auto"/>
        </w:rPr>
      </w:pPr>
    </w:p>
    <w:p>
      <w:pPr>
        <w:sectPr>
          <w:pgSz w:w="11900" w:h="16838" w:orient="portrait"/>
          <w:cols w:equalWidth="0" w:num="2">
            <w:col w:w="2102" w:space="400"/>
            <w:col w:w="8680"/>
          </w:cols>
          <w:pgMar w:left="358" w:top="110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8"/>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71120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2"/>
          </w:cols>
          <w:pgMar w:left="358" w:top="1103" w:right="35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215900</wp:posOffset>
            </wp:positionH>
            <wp:positionV relativeFrom="page">
              <wp:posOffset>749935</wp:posOffset>
            </wp:positionV>
            <wp:extent cx="1135380" cy="11353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135380" cy="1135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D. Christian Koch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Age 61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2016</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Committees</w:t>
      </w:r>
    </w:p>
    <w:p>
      <w:pPr>
        <w:spacing w:after="0" w:line="11" w:lineRule="exact"/>
        <w:rPr>
          <w:sz w:val="20"/>
          <w:szCs w:val="20"/>
          <w:color w:val="auto"/>
        </w:rPr>
      </w:pPr>
    </w:p>
    <w:p>
      <w:pPr>
        <w:ind w:left="160" w:hanging="156"/>
        <w:spacing w:after="0" w:line="224" w:lineRule="auto"/>
        <w:tabs>
          <w:tab w:leader="none" w:pos="1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Compensation &amp; Human Resources</w:t>
      </w:r>
    </w:p>
    <w:p>
      <w:pPr>
        <w:ind w:left="160" w:right="380" w:hanging="156"/>
        <w:spacing w:after="0" w:line="272" w:lineRule="auto"/>
        <w:tabs>
          <w:tab w:leader="none" w:pos="1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Nominating and Governance (Chair)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15875</wp:posOffset>
            </wp:positionV>
            <wp:extent cx="55238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8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 Christian Koch is the Chair, President and Chief Executive Officer of Carlisle Companies Incorporated, Scottsdale, Arizona (a portfolio of building product businesses). He holds or held the following positions, all at Carlisle:</w:t>
      </w:r>
    </w:p>
    <w:p>
      <w:pPr>
        <w:spacing w:after="0" w:line="250" w:lineRule="exact"/>
        <w:rPr>
          <w:sz w:val="20"/>
          <w:szCs w:val="20"/>
          <w:color w:val="auto"/>
        </w:rPr>
      </w:pPr>
    </w:p>
    <w:p>
      <w:pPr>
        <w:ind w:left="780" w:hanging="147"/>
        <w:spacing w:after="0"/>
        <w:tabs>
          <w:tab w:leader="none" w:pos="78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8"/>
          <w:szCs w:val="18"/>
          <w:color w:val="auto"/>
        </w:rPr>
        <w:t>Chairman (since May 2020)</w:t>
      </w:r>
    </w:p>
    <w:p>
      <w:pPr>
        <w:spacing w:after="0" w:line="22" w:lineRule="exact"/>
        <w:rPr>
          <w:rFonts w:ascii="Times New Roman" w:cs="Times New Roman" w:eastAsia="Times New Roman" w:hAnsi="Times New Roman"/>
          <w:sz w:val="16"/>
          <w:szCs w:val="16"/>
          <w:color w:val="auto"/>
        </w:rPr>
      </w:pPr>
    </w:p>
    <w:p>
      <w:pPr>
        <w:ind w:left="780" w:hanging="147"/>
        <w:spacing w:after="0"/>
        <w:tabs>
          <w:tab w:leader="none" w:pos="78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8"/>
          <w:szCs w:val="18"/>
          <w:color w:val="auto"/>
        </w:rPr>
        <w:t>Chief Executive Officer (since January 2016)</w:t>
      </w:r>
    </w:p>
    <w:p>
      <w:pPr>
        <w:spacing w:after="0" w:line="6" w:lineRule="exact"/>
        <w:rPr>
          <w:rFonts w:ascii="Times New Roman" w:cs="Times New Roman" w:eastAsia="Times New Roman" w:hAnsi="Times New Roman"/>
          <w:sz w:val="16"/>
          <w:szCs w:val="16"/>
          <w:color w:val="auto"/>
        </w:rPr>
      </w:pPr>
    </w:p>
    <w:p>
      <w:pPr>
        <w:ind w:left="780" w:hanging="147"/>
        <w:spacing w:after="0" w:line="232"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President (since May 2014)</w:t>
      </w:r>
    </w:p>
    <w:p>
      <w:pPr>
        <w:ind w:left="780" w:hanging="147"/>
        <w:spacing w:after="0"/>
        <w:tabs>
          <w:tab w:leader="none" w:pos="78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8"/>
          <w:szCs w:val="18"/>
          <w:color w:val="auto"/>
        </w:rPr>
        <w:t>Chief Operating Officer (May 2014 – January 2016)</w:t>
      </w:r>
    </w:p>
    <w:p>
      <w:pPr>
        <w:spacing w:after="0" w:line="6" w:lineRule="exact"/>
        <w:rPr>
          <w:rFonts w:ascii="Times New Roman" w:cs="Times New Roman" w:eastAsia="Times New Roman" w:hAnsi="Times New Roman"/>
          <w:sz w:val="16"/>
          <w:szCs w:val="16"/>
          <w:color w:val="auto"/>
        </w:rPr>
      </w:pPr>
    </w:p>
    <w:p>
      <w:pPr>
        <w:ind w:left="780" w:hanging="147"/>
        <w:spacing w:after="0"/>
        <w:tabs>
          <w:tab w:leader="none" w:pos="78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8"/>
          <w:szCs w:val="18"/>
          <w:color w:val="auto"/>
        </w:rPr>
        <w:t>Group President, Carlisle Diversified Products (June 2012 – May 2014)</w:t>
      </w:r>
    </w:p>
    <w:p>
      <w:pPr>
        <w:spacing w:after="0" w:line="6" w:lineRule="exact"/>
        <w:rPr>
          <w:rFonts w:ascii="Times New Roman" w:cs="Times New Roman" w:eastAsia="Times New Roman" w:hAnsi="Times New Roman"/>
          <w:sz w:val="16"/>
          <w:szCs w:val="16"/>
          <w:color w:val="auto"/>
        </w:rPr>
      </w:pPr>
    </w:p>
    <w:p>
      <w:pPr>
        <w:ind w:left="780" w:hanging="147"/>
        <w:spacing w:after="0" w:line="232" w:lineRule="auto"/>
        <w:tabs>
          <w:tab w:leader="none" w:pos="78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8"/>
          <w:szCs w:val="18"/>
          <w:color w:val="auto"/>
        </w:rPr>
        <w:t>President, Carlisle Brake &amp; Friction (January 2009 – June 2012)</w:t>
      </w:r>
    </w:p>
    <w:p>
      <w:pPr>
        <w:ind w:left="780" w:hanging="147"/>
        <w:spacing w:after="0"/>
        <w:tabs>
          <w:tab w:leader="none" w:pos="78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8"/>
          <w:szCs w:val="18"/>
          <w:color w:val="auto"/>
        </w:rPr>
        <w:t>President, Carlisle Asia-Pacific (February 2008 – January 2009)</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33020</wp:posOffset>
            </wp:positionV>
            <wp:extent cx="55238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Mr. Koch brings to our Board his experience as a seasoned executive with strong business acumen and</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significant experience managing distribution, supply chain, manufacturing and sales operations around the world as well as with mergers and acquisitions and long-range planning. In addition, as a public company</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director and executive, Mr. Koch contributes a solid understanding of financial oversight, strategic planning, executive compensation, talent development and corporate governance.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33020</wp:posOffset>
            </wp:positionV>
            <wp:extent cx="55238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53" w:lineRule="exact"/>
        <w:rPr>
          <w:sz w:val="20"/>
          <w:szCs w:val="20"/>
          <w:color w:val="auto"/>
        </w:rPr>
      </w:pPr>
    </w:p>
    <w:p>
      <w:pPr>
        <w:ind w:left="1820"/>
        <w:spacing w:after="0"/>
        <w:tabs>
          <w:tab w:leader="none" w:pos="596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49" w:lineRule="exact"/>
        <w:rPr>
          <w:sz w:val="20"/>
          <w:szCs w:val="20"/>
          <w:color w:val="auto"/>
        </w:rPr>
      </w:pPr>
    </w:p>
    <w:p>
      <w:pPr>
        <w:ind w:left="1220"/>
        <w:spacing w:after="0"/>
        <w:tabs>
          <w:tab w:leader="none" w:pos="6260" w:val="left"/>
        </w:tabs>
        <w:rPr>
          <w:sz w:val="20"/>
          <w:szCs w:val="20"/>
          <w:color w:val="auto"/>
        </w:rPr>
      </w:pPr>
      <w:r>
        <w:rPr>
          <w:rFonts w:ascii="Arial" w:cs="Arial" w:eastAsia="Arial" w:hAnsi="Arial"/>
          <w:sz w:val="18"/>
          <w:szCs w:val="18"/>
          <w:color w:val="auto"/>
        </w:rPr>
        <w:t>Carlisle Companies Inc.</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ectPr>
          <w:pgSz w:w="11900" w:h="16838" w:orient="portrait"/>
          <w:cols w:equalWidth="0" w:num="2">
            <w:col w:w="2100" w:space="420"/>
            <w:col w:w="8660"/>
          </w:cols>
          <w:pgMar w:left="340" w:top="118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79375</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40" w:top="1188" w:right="379" w:bottom="1440" w:gutter="0" w:footer="0" w:header="0"/>
          <w:type w:val="continuous"/>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C00000"/>
        </w:rPr>
        <w:t>Continuing Members of the Board — Current Term Ending at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61595</wp:posOffset>
            </wp:positionV>
            <wp:extent cx="1050290" cy="1050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50290" cy="1050290"/>
                    </a:xfrm>
                    <a:prstGeom prst="rect">
                      <a:avLst/>
                    </a:prstGeom>
                    <a:noFill/>
                  </pic:spPr>
                </pic:pic>
              </a:graphicData>
            </a:graphic>
          </wp:anchor>
        </w:drawing>
      </w:r>
    </w:p>
    <w:p>
      <w:pPr>
        <w:spacing w:after="0" w:line="8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1593215</wp:posOffset>
            </wp:positionH>
            <wp:positionV relativeFrom="paragraph">
              <wp:posOffset>15875</wp:posOffset>
            </wp:positionV>
            <wp:extent cx="55238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ectPr>
          <w:pgSz w:w="11900" w:h="16838" w:orient="portrait"/>
          <w:cols w:equalWidth="0" w:num="1">
            <w:col w:w="11180"/>
          </w:cols>
          <w:pgMar w:left="340" w:top="110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BF2115"/>
        </w:rPr>
        <w:t>Gary L. Ellis</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Age 69</w:t>
      </w:r>
    </w:p>
    <w:p>
      <w:pPr>
        <w:spacing w:after="0" w:line="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Director since 2006</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Lead Independent Director</w:t>
      </w:r>
    </w:p>
    <w:p>
      <w:pPr>
        <w:spacing w:after="0" w:line="5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BF2115"/>
        </w:rPr>
        <w:t>Committees</w:t>
      </w:r>
    </w:p>
    <w:p>
      <w:pPr>
        <w:ind w:left="260" w:hanging="162"/>
        <w:spacing w:after="0" w:line="229" w:lineRule="auto"/>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w:t>
      </w:r>
    </w:p>
    <w:p>
      <w:pPr>
        <w:ind w:left="260" w:hanging="16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240"/>
        <w:spacing w:after="0" w:line="249" w:lineRule="auto"/>
        <w:rPr>
          <w:sz w:val="20"/>
          <w:szCs w:val="20"/>
          <w:color w:val="auto"/>
        </w:rPr>
      </w:pPr>
      <w:r>
        <w:rPr>
          <w:rFonts w:ascii="Arial" w:cs="Arial" w:eastAsia="Arial" w:hAnsi="Arial"/>
          <w:sz w:val="18"/>
          <w:szCs w:val="18"/>
          <w:color w:val="auto"/>
        </w:rPr>
        <w:t>Gary L. Ellis retired from Medtronic plc, Dublin, Ireland (a global medical technology company). He held the following positions, all at Medtronic:</w:t>
      </w:r>
    </w:p>
    <w:p>
      <w:pPr>
        <w:ind w:left="800" w:right="200" w:hanging="153"/>
        <w:spacing w:after="0" w:line="239" w:lineRule="auto"/>
        <w:tabs>
          <w:tab w:leader="none" w:pos="789"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8"/>
          <w:szCs w:val="18"/>
          <w:color w:val="auto"/>
        </w:rPr>
        <w:t>Executive Vice President, Global Operations, Information Technology and Facilities &amp; Real Estate (June 2016 – December 2016)</w:t>
      </w:r>
    </w:p>
    <w:p>
      <w:pPr>
        <w:spacing w:after="0" w:line="1" w:lineRule="exact"/>
        <w:rPr>
          <w:rFonts w:ascii="Times New Roman" w:cs="Times New Roman" w:eastAsia="Times New Roman" w:hAnsi="Times New Roman"/>
          <w:sz w:val="16"/>
          <w:szCs w:val="16"/>
          <w:color w:val="auto"/>
        </w:rPr>
      </w:pPr>
    </w:p>
    <w:p>
      <w:pPr>
        <w:ind w:left="800" w:hanging="153"/>
        <w:spacing w:after="0" w:line="232" w:lineRule="auto"/>
        <w:tabs>
          <w:tab w:leader="none" w:pos="8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8"/>
          <w:szCs w:val="18"/>
          <w:color w:val="auto"/>
        </w:rPr>
        <w:t>Executive Vice President and Chief Financial Officer (April 2014 – June 2016)</w:t>
      </w:r>
    </w:p>
    <w:p>
      <w:pPr>
        <w:ind w:left="800" w:hanging="153"/>
        <w:spacing w:after="0"/>
        <w:tabs>
          <w:tab w:leader="none" w:pos="8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8"/>
          <w:szCs w:val="18"/>
          <w:color w:val="auto"/>
        </w:rPr>
        <w:t>Senior Vice President and Chief Financial Officer (May 2005 – April 2014)</w:t>
      </w:r>
    </w:p>
    <w:p>
      <w:pPr>
        <w:spacing w:after="0" w:line="6" w:lineRule="exact"/>
        <w:rPr>
          <w:rFonts w:ascii="Times New Roman" w:cs="Times New Roman" w:eastAsia="Times New Roman" w:hAnsi="Times New Roman"/>
          <w:sz w:val="16"/>
          <w:szCs w:val="16"/>
          <w:color w:val="auto"/>
        </w:rPr>
      </w:pPr>
    </w:p>
    <w:p>
      <w:pPr>
        <w:ind w:left="800" w:hanging="153"/>
        <w:spacing w:after="0"/>
        <w:tabs>
          <w:tab w:leader="none" w:pos="8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8"/>
          <w:szCs w:val="18"/>
          <w:color w:val="auto"/>
        </w:rPr>
        <w:t>Vice President, Corporate Controller and Treasurer (October 1999 – May 2005)</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261620</wp:posOffset>
            </wp:positionV>
            <wp:extent cx="55238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Mr. Ellis brings extensive financial leadership experience to provide oversight regarding capital structure,</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financial condition and policies, long-range financial objectives, tax strategies, financing requirements and arrangements, capital budgets and expenditures, risk-management, insurance coverage and strategic</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planning matters. As our lead independent director, he provides balanced, collaborative and challenging support to both the Board and our Chairman and CEO. Mr. Ellis contributes enhanced knowledge of public</w:t>
      </w:r>
    </w:p>
    <w:p>
      <w:pPr>
        <w:spacing w:after="0" w:line="232" w:lineRule="auto"/>
        <w:rPr>
          <w:sz w:val="20"/>
          <w:szCs w:val="20"/>
          <w:color w:val="auto"/>
        </w:rPr>
      </w:pPr>
      <w:r>
        <w:rPr>
          <w:rFonts w:ascii="Arial" w:cs="Arial" w:eastAsia="Arial" w:hAnsi="Arial"/>
          <w:sz w:val="18"/>
          <w:szCs w:val="18"/>
          <w:color w:val="auto"/>
        </w:rPr>
        <w:t>company requirements and issues. Additionally, Mr. Ellis contributes his experience managing worldwide</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financial operations and analyzing financial implications of merger and acquisition transactions, as well as aligning business strategies and financial decisions.</w:t>
      </w:r>
    </w:p>
    <w:p>
      <w:pPr>
        <w:spacing w:after="0" w:line="72" w:lineRule="exact"/>
        <w:rPr>
          <w:sz w:val="20"/>
          <w:szCs w:val="20"/>
          <w:color w:val="auto"/>
        </w:rPr>
      </w:pPr>
    </w:p>
    <w:p>
      <w:pPr>
        <w:sectPr>
          <w:pgSz w:w="11900" w:h="16838" w:orient="portrait"/>
          <w:cols w:equalWidth="0" w:num="2">
            <w:col w:w="2200" w:space="320"/>
            <w:col w:w="8660"/>
          </w:cols>
          <w:pgMar w:left="340" w:top="1103" w:right="379" w:bottom="1440" w:gutter="0" w:footer="0" w:header="0"/>
          <w:type w:val="continuous"/>
        </w:sectPr>
      </w:pPr>
    </w:p>
    <w:p>
      <w:pPr>
        <w:ind w:left="2520"/>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1593215</wp:posOffset>
            </wp:positionH>
            <wp:positionV relativeFrom="paragraph">
              <wp:posOffset>33020</wp:posOffset>
            </wp:positionV>
            <wp:extent cx="55238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53" w:lineRule="exact"/>
        <w:rPr>
          <w:sz w:val="20"/>
          <w:szCs w:val="20"/>
          <w:color w:val="auto"/>
        </w:rPr>
      </w:pPr>
    </w:p>
    <w:p>
      <w:pPr>
        <w:ind w:left="4360"/>
        <w:spacing w:after="0"/>
        <w:tabs>
          <w:tab w:leader="none" w:pos="848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49" w:lineRule="exact"/>
        <w:rPr>
          <w:sz w:val="20"/>
          <w:szCs w:val="20"/>
          <w:color w:val="auto"/>
        </w:rPr>
      </w:pPr>
    </w:p>
    <w:p>
      <w:pPr>
        <w:jc w:val="right"/>
        <w:ind w:right="1240"/>
        <w:spacing w:after="0"/>
        <w:tabs>
          <w:tab w:leader="none" w:pos="1800" w:val="left"/>
        </w:tabs>
        <w:rPr>
          <w:sz w:val="20"/>
          <w:szCs w:val="20"/>
          <w:color w:val="auto"/>
        </w:rPr>
      </w:pPr>
      <w:r>
        <w:rPr>
          <w:rFonts w:ascii="Arial" w:cs="Arial" w:eastAsia="Arial" w:hAnsi="Arial"/>
          <w:sz w:val="18"/>
          <w:szCs w:val="18"/>
          <w:color w:val="auto"/>
        </w:rPr>
        <w:t>Inspire Medical Systems, Inc.</w:t>
      </w:r>
      <w:r>
        <w:rPr>
          <w:sz w:val="20"/>
          <w:szCs w:val="20"/>
          <w:color w:val="auto"/>
        </w:rPr>
        <w:tab/>
      </w:r>
      <w:r>
        <w:rPr>
          <w:rFonts w:ascii="Arial" w:cs="Arial" w:eastAsia="Arial" w:hAnsi="Arial"/>
          <w:sz w:val="17"/>
          <w:szCs w:val="17"/>
          <w:color w:val="auto"/>
        </w:rPr>
        <w:t>Hill-Rom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1135380" cy="11353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35380" cy="1135380"/>
                    </a:xfrm>
                    <a:prstGeom prst="rect">
                      <a:avLst/>
                    </a:prstGeom>
                    <a:noFill/>
                  </pic:spPr>
                </pic:pic>
              </a:graphicData>
            </a:graphic>
          </wp:anchor>
        </w:drawing>
      </w:r>
    </w:p>
    <w:p>
      <w:pPr>
        <w:sectPr>
          <w:pgSz w:w="11900" w:h="16838" w:orient="portrait"/>
          <w:cols w:equalWidth="0" w:num="1">
            <w:col w:w="11180"/>
          </w:cols>
          <w:pgMar w:left="340" w:top="1103"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Richard M. Olson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Age 62</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Director since 2016</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Committees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15875</wp:posOffset>
            </wp:positionV>
            <wp:extent cx="55238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82" w:lineRule="exact"/>
        <w:rPr>
          <w:sz w:val="20"/>
          <w:szCs w:val="20"/>
          <w:color w:val="auto"/>
        </w:rPr>
      </w:pPr>
    </w:p>
    <w:p>
      <w:pPr>
        <w:ind w:left="20" w:right="320"/>
        <w:spacing w:after="0" w:line="262" w:lineRule="auto"/>
        <w:rPr>
          <w:sz w:val="20"/>
          <w:szCs w:val="20"/>
          <w:color w:val="auto"/>
        </w:rPr>
      </w:pPr>
      <w:r>
        <w:rPr>
          <w:rFonts w:ascii="Arial" w:cs="Arial" w:eastAsia="Arial" w:hAnsi="Arial"/>
          <w:sz w:val="18"/>
          <w:szCs w:val="18"/>
          <w:color w:val="auto"/>
        </w:rPr>
        <w:t>Richard M. Olson is our Chairman of the Board and Chief Executive Officer. He holds or held the following positions, all at The Toro Company:</w:t>
      </w:r>
    </w:p>
    <w:p>
      <w:pPr>
        <w:spacing w:after="0" w:line="2" w:lineRule="exact"/>
        <w:rPr>
          <w:sz w:val="20"/>
          <w:szCs w:val="20"/>
          <w:color w:val="auto"/>
        </w:rPr>
      </w:pPr>
    </w:p>
    <w:p>
      <w:pPr>
        <w:ind w:left="780" w:hanging="147"/>
        <w:spacing w:after="0"/>
        <w:tabs>
          <w:tab w:leader="none" w:pos="7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Chairman (since November 2017)</w:t>
      </w:r>
    </w:p>
    <w:p>
      <w:pPr>
        <w:spacing w:after="0" w:line="21" w:lineRule="exact"/>
        <w:rPr>
          <w:rFonts w:ascii="Times New Roman" w:cs="Times New Roman" w:eastAsia="Times New Roman" w:hAnsi="Times New Roman"/>
          <w:sz w:val="18"/>
          <w:szCs w:val="18"/>
          <w:color w:val="auto"/>
        </w:rPr>
      </w:pPr>
    </w:p>
    <w:p>
      <w:pPr>
        <w:ind w:left="780" w:hanging="147"/>
        <w:spacing w:after="0" w:line="231" w:lineRule="auto"/>
        <w:tabs>
          <w:tab w:leader="none" w:pos="7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Chief Executive Officer (since November 2016)</w:t>
      </w:r>
    </w:p>
    <w:p>
      <w:pPr>
        <w:ind w:left="780" w:hanging="147"/>
        <w:spacing w:after="0" w:line="231" w:lineRule="auto"/>
        <w:tabs>
          <w:tab w:leader="none" w:pos="7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President (September 2015 - August 2025)</w:t>
      </w:r>
    </w:p>
    <w:p>
      <w:pPr>
        <w:ind w:left="780" w:hanging="147"/>
        <w:spacing w:after="0" w:line="231" w:lineRule="auto"/>
        <w:tabs>
          <w:tab w:leader="none" w:pos="7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Chief Operating Officer (September 2015 – October 2016)</w:t>
      </w:r>
    </w:p>
    <w:p>
      <w:pPr>
        <w:ind w:left="800" w:right="1080" w:hanging="167"/>
        <w:spacing w:after="0" w:line="239" w:lineRule="auto"/>
        <w:tabs>
          <w:tab w:leader="none" w:pos="795"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Group Vice President, International Business, Micro Irrigation Business and Distributor Development (June 2014 – September 2015)</w:t>
      </w:r>
    </w:p>
    <w:p>
      <w:pPr>
        <w:ind w:left="780" w:hanging="147"/>
        <w:spacing w:after="0" w:line="231" w:lineRule="auto"/>
        <w:tabs>
          <w:tab w:leader="none" w:pos="7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Vice President, International Business (March 2013 – June 2014)</w:t>
      </w:r>
    </w:p>
    <w:p>
      <w:pPr>
        <w:ind w:left="780" w:hanging="147"/>
        <w:spacing w:after="0"/>
        <w:tabs>
          <w:tab w:leader="none" w:pos="7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Vice President, Exmark (March 2012 – March 2013)</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33020</wp:posOffset>
            </wp:positionV>
            <wp:extent cx="55238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588" w:lineRule="exact"/>
        <w:rPr>
          <w:sz w:val="20"/>
          <w:szCs w:val="20"/>
          <w:color w:val="auto"/>
        </w:rPr>
      </w:pPr>
    </w:p>
    <w:p>
      <w:pPr>
        <w:sectPr>
          <w:pgSz w:w="11900" w:h="16838" w:orient="portrait"/>
          <w:cols w:equalWidth="0" w:num="2">
            <w:col w:w="1800" w:space="720"/>
            <w:col w:w="8660"/>
          </w:cols>
          <w:pgMar w:left="340" w:top="1103" w:right="379" w:bottom="1440" w:gutter="0" w:footer="0" w:header="0"/>
          <w:type w:val="continuous"/>
        </w:sectPr>
      </w:pPr>
    </w:p>
    <w:p>
      <w:pPr>
        <w:spacing w:after="0" w:line="100" w:lineRule="exact"/>
        <w:rPr>
          <w:sz w:val="20"/>
          <w:szCs w:val="20"/>
          <w:color w:val="auto"/>
        </w:rPr>
      </w:pPr>
    </w:p>
    <w:p>
      <w:pPr>
        <w:ind w:left="2520"/>
        <w:spacing w:after="0" w:line="247" w:lineRule="auto"/>
        <w:rPr>
          <w:sz w:val="20"/>
          <w:szCs w:val="20"/>
          <w:color w:val="auto"/>
        </w:rPr>
      </w:pPr>
      <w:r>
        <w:rPr>
          <w:rFonts w:ascii="Arial" w:cs="Arial" w:eastAsia="Arial" w:hAnsi="Arial"/>
          <w:sz w:val="17"/>
          <w:szCs w:val="17"/>
          <w:color w:val="auto"/>
        </w:rPr>
        <w:t>In his nearly 40 years with our Company, Mr. Olson has developed and brings to our Board rich knowledge of the Company, including, in particular, our global businesses and operations, manufacturing processes, supply</w:t>
      </w:r>
    </w:p>
    <w:p>
      <w:pPr>
        <w:spacing w:after="0" w:line="1" w:lineRule="exact"/>
        <w:rPr>
          <w:sz w:val="20"/>
          <w:szCs w:val="20"/>
          <w:color w:val="auto"/>
        </w:rPr>
      </w:pPr>
    </w:p>
    <w:p>
      <w:pPr>
        <w:ind w:left="2520"/>
        <w:spacing w:after="0" w:line="224" w:lineRule="auto"/>
        <w:rPr>
          <w:sz w:val="20"/>
          <w:szCs w:val="20"/>
          <w:color w:val="auto"/>
        </w:rPr>
      </w:pPr>
      <w:r>
        <w:rPr>
          <w:rFonts w:ascii="Arial" w:cs="Arial" w:eastAsia="Arial" w:hAnsi="Arial"/>
          <w:sz w:val="18"/>
          <w:szCs w:val="18"/>
          <w:color w:val="auto"/>
        </w:rPr>
        <w:t>chain, distribution and channel development, and product development strategies. In addition, the broad experience he has gained through his past leadership of various businesses and manufacturing operations</w:t>
      </w:r>
    </w:p>
    <w:p>
      <w:pPr>
        <w:spacing w:after="0" w:line="1" w:lineRule="exact"/>
        <w:rPr>
          <w:sz w:val="20"/>
          <w:szCs w:val="20"/>
          <w:color w:val="auto"/>
        </w:rPr>
      </w:pPr>
    </w:p>
    <w:p>
      <w:pPr>
        <w:ind w:left="2520"/>
        <w:spacing w:after="0"/>
        <w:rPr>
          <w:sz w:val="20"/>
          <w:szCs w:val="20"/>
          <w:color w:val="auto"/>
        </w:rPr>
      </w:pPr>
      <w:r>
        <w:rPr>
          <w:rFonts w:ascii="Arial" w:cs="Arial" w:eastAsia="Arial" w:hAnsi="Arial"/>
          <w:sz w:val="17"/>
          <w:szCs w:val="17"/>
          <w:color w:val="auto"/>
        </w:rPr>
        <w:t>provides him with a unique perspective regarding our growth initiatives and strategic direction. He contributes</w:t>
      </w:r>
    </w:p>
    <w:p>
      <w:pPr>
        <w:spacing w:after="0" w:line="5" w:lineRule="exact"/>
        <w:rPr>
          <w:sz w:val="20"/>
          <w:szCs w:val="20"/>
          <w:color w:val="auto"/>
        </w:rPr>
      </w:pPr>
    </w:p>
    <w:p>
      <w:pPr>
        <w:jc w:val="both"/>
        <w:ind w:left="2520"/>
        <w:spacing w:after="0" w:line="237" w:lineRule="auto"/>
        <w:rPr>
          <w:sz w:val="20"/>
          <w:szCs w:val="20"/>
          <w:color w:val="auto"/>
        </w:rPr>
      </w:pPr>
      <w:r>
        <w:rPr>
          <w:rFonts w:ascii="Arial" w:cs="Arial" w:eastAsia="Arial" w:hAnsi="Arial"/>
          <w:sz w:val="17"/>
          <w:szCs w:val="17"/>
          <w:color w:val="auto"/>
        </w:rPr>
        <w:t>a deep commitment to quality, technological advancements, innovation, sustainability, culture, ethical values and business conduct, and focus on customer service. As a result of his dual role as Chairman and CEO, Mr.</w:t>
      </w:r>
    </w:p>
    <w:p>
      <w:pPr>
        <w:spacing w:after="0" w:line="1" w:lineRule="exact"/>
        <w:rPr>
          <w:sz w:val="20"/>
          <w:szCs w:val="20"/>
          <w:color w:val="auto"/>
        </w:rPr>
      </w:pPr>
    </w:p>
    <w:p>
      <w:pPr>
        <w:ind w:left="2520"/>
        <w:spacing w:after="0" w:line="243" w:lineRule="auto"/>
        <w:rPr>
          <w:sz w:val="20"/>
          <w:szCs w:val="20"/>
          <w:color w:val="auto"/>
        </w:rPr>
      </w:pPr>
      <w:r>
        <w:rPr>
          <w:rFonts w:ascii="Arial" w:cs="Arial" w:eastAsia="Arial" w:hAnsi="Arial"/>
          <w:sz w:val="18"/>
          <w:szCs w:val="18"/>
          <w:color w:val="auto"/>
        </w:rPr>
        <w:t>Olson provides unique insight into our Company's future strategies, opportunities and challenges and serves as a unifying element between our Board and management.</w:t>
      </w:r>
    </w:p>
    <w:p>
      <w:pPr>
        <w:spacing w:after="0" w:line="57"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1584325</wp:posOffset>
            </wp:positionH>
            <wp:positionV relativeFrom="paragraph">
              <wp:posOffset>41275</wp:posOffset>
            </wp:positionV>
            <wp:extent cx="55238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67" w:lineRule="exact"/>
        <w:rPr>
          <w:sz w:val="20"/>
          <w:szCs w:val="20"/>
          <w:color w:val="auto"/>
        </w:rPr>
      </w:pPr>
    </w:p>
    <w:p>
      <w:pPr>
        <w:ind w:left="4340"/>
        <w:spacing w:after="0"/>
        <w:tabs>
          <w:tab w:leader="none" w:pos="848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49" w:lineRule="exact"/>
        <w:rPr>
          <w:sz w:val="20"/>
          <w:szCs w:val="20"/>
          <w:color w:val="auto"/>
        </w:rPr>
      </w:pPr>
    </w:p>
    <w:p>
      <w:pPr>
        <w:ind w:left="3660"/>
        <w:spacing w:after="0"/>
        <w:tabs>
          <w:tab w:leader="none" w:pos="8780" w:val="left"/>
        </w:tabs>
        <w:rPr>
          <w:sz w:val="20"/>
          <w:szCs w:val="20"/>
          <w:color w:val="auto"/>
        </w:rPr>
      </w:pPr>
      <w:r>
        <w:rPr>
          <w:rFonts w:ascii="Arial" w:cs="Arial" w:eastAsia="Arial" w:hAnsi="Arial"/>
          <w:sz w:val="18"/>
          <w:szCs w:val="18"/>
          <w:color w:val="auto"/>
        </w:rPr>
        <w:t>Donaldson Company, Inc.</w:t>
      </w:r>
      <w:r>
        <w:rPr>
          <w:sz w:val="20"/>
          <w:szCs w:val="20"/>
          <w:color w:val="auto"/>
        </w:rPr>
        <w:tab/>
      </w:r>
      <w:r>
        <w:rPr>
          <w:rFonts w:ascii="Arial" w:cs="Arial" w:eastAsia="Arial" w:hAnsi="Arial"/>
          <w:sz w:val="18"/>
          <w:szCs w:val="18"/>
          <w:color w:val="auto"/>
        </w:rPr>
        <w:t>None</w:t>
      </w:r>
    </w:p>
    <w:p>
      <w:pPr>
        <w:sectPr>
          <w:pgSz w:w="11900" w:h="16838" w:orient="portrait"/>
          <w:cols w:equalWidth="0" w:num="1">
            <w:col w:w="11180"/>
          </w:cols>
          <w:pgMar w:left="340" w:top="1103"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40" w:top="1103" w:right="37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215900</wp:posOffset>
            </wp:positionH>
            <wp:positionV relativeFrom="page">
              <wp:posOffset>902335</wp:posOffset>
            </wp:positionV>
            <wp:extent cx="1135380" cy="11353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135380" cy="1135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Jill M. Pemberton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Age 55</w:t>
      </w:r>
    </w:p>
    <w:p>
      <w:pPr>
        <w:spacing w:after="0" w:line="44"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color w:val="auto"/>
        </w:rPr>
        <w:t>Director since 2022 Independent</w:t>
      </w:r>
    </w:p>
    <w:p>
      <w:pPr>
        <w:spacing w:after="0"/>
        <w:rPr>
          <w:sz w:val="20"/>
          <w:szCs w:val="20"/>
          <w:color w:val="auto"/>
        </w:rPr>
      </w:pPr>
      <w:r>
        <w:rPr>
          <w:rFonts w:ascii="Arial" w:cs="Arial" w:eastAsia="Arial" w:hAnsi="Arial"/>
          <w:sz w:val="18"/>
          <w:szCs w:val="18"/>
          <w:b w:val="1"/>
          <w:bCs w:val="1"/>
          <w:color w:val="BF2115"/>
        </w:rPr>
        <w:t>Committees</w:t>
      </w:r>
    </w:p>
    <w:p>
      <w:pPr>
        <w:spacing w:after="0" w:line="4" w:lineRule="exact"/>
        <w:rPr>
          <w:sz w:val="20"/>
          <w:szCs w:val="20"/>
          <w:color w:val="auto"/>
        </w:rPr>
      </w:pPr>
    </w:p>
    <w:p>
      <w:pPr>
        <w:ind w:left="160" w:hanging="156"/>
        <w:spacing w:after="0"/>
        <w:tabs>
          <w:tab w:leader="none" w:pos="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Audit (Chair)</w:t>
      </w:r>
    </w:p>
    <w:p>
      <w:pPr>
        <w:ind w:left="160" w:hanging="156"/>
        <w:spacing w:after="0"/>
        <w:tabs>
          <w:tab w:leader="none" w:pos="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75565</wp:posOffset>
            </wp:positionV>
            <wp:extent cx="55746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74665" cy="8255"/>
                    </a:xfrm>
                    <a:prstGeom prst="rect">
                      <a:avLst/>
                    </a:prstGeom>
                    <a:noFill/>
                  </pic:spPr>
                </pic:pic>
              </a:graphicData>
            </a:graphic>
          </wp:anchor>
        </w:drawing>
      </w:r>
    </w:p>
    <w:p>
      <w:pPr>
        <w:spacing w:after="0" w:line="162" w:lineRule="exact"/>
        <w:rPr>
          <w:sz w:val="20"/>
          <w:szCs w:val="20"/>
          <w:color w:val="auto"/>
        </w:rPr>
      </w:pPr>
    </w:p>
    <w:p>
      <w:pPr>
        <w:ind w:left="80"/>
        <w:spacing w:after="0"/>
        <w:rPr>
          <w:sz w:val="20"/>
          <w:szCs w:val="20"/>
          <w:color w:val="auto"/>
        </w:rPr>
      </w:pPr>
      <w:r>
        <w:rPr>
          <w:rFonts w:ascii="Arial" w:cs="Arial" w:eastAsia="Arial" w:hAnsi="Arial"/>
          <w:sz w:val="18"/>
          <w:szCs w:val="18"/>
          <w:color w:val="auto"/>
        </w:rPr>
        <w:t>Jill M. Pemberton is the Chief Financial Officer, North America of LVMH Moët Hennessy Louis Vuitton, Paris,</w:t>
      </w:r>
    </w:p>
    <w:p>
      <w:pPr>
        <w:spacing w:after="0" w:line="9" w:lineRule="exact"/>
        <w:rPr>
          <w:sz w:val="20"/>
          <w:szCs w:val="20"/>
          <w:color w:val="auto"/>
        </w:rPr>
      </w:pPr>
    </w:p>
    <w:p>
      <w:pPr>
        <w:ind w:left="80"/>
        <w:spacing w:after="0" w:line="234" w:lineRule="auto"/>
        <w:rPr>
          <w:sz w:val="20"/>
          <w:szCs w:val="20"/>
          <w:color w:val="auto"/>
        </w:rPr>
      </w:pPr>
      <w:r>
        <w:rPr>
          <w:rFonts w:ascii="Arial" w:cs="Arial" w:eastAsia="Arial" w:hAnsi="Arial"/>
          <w:sz w:val="18"/>
          <w:szCs w:val="18"/>
          <w:color w:val="auto"/>
        </w:rPr>
        <w:t>France (a global luxury product company), a position she has held since July 2020. Prior to her current role, she held the following positions:</w:t>
      </w:r>
    </w:p>
    <w:p>
      <w:pPr>
        <w:spacing w:after="0" w:line="261" w:lineRule="exact"/>
        <w:rPr>
          <w:sz w:val="20"/>
          <w:szCs w:val="20"/>
          <w:color w:val="auto"/>
        </w:rPr>
      </w:pPr>
    </w:p>
    <w:p>
      <w:pPr>
        <w:ind w:left="400" w:hanging="240"/>
        <w:spacing w:after="0" w:line="233" w:lineRule="auto"/>
        <w:tabs>
          <w:tab w:leader="none" w:pos="3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Senior Vice President, Corporate Financial Planning &amp; Analysis, Viacom Inc. (now known as Paramount Global, a leading global media company) (July 2019 – January 2020)</w:t>
      </w:r>
    </w:p>
    <w:p>
      <w:pPr>
        <w:spacing w:after="0" w:line="1" w:lineRule="exact"/>
        <w:rPr>
          <w:rFonts w:ascii="Arial" w:cs="Arial" w:eastAsia="Arial" w:hAnsi="Arial"/>
          <w:sz w:val="18"/>
          <w:szCs w:val="18"/>
          <w:color w:val="auto"/>
        </w:rPr>
      </w:pPr>
    </w:p>
    <w:p>
      <w:pPr>
        <w:jc w:val="both"/>
        <w:ind w:left="400" w:hanging="240"/>
        <w:spacing w:after="0" w:line="238" w:lineRule="auto"/>
        <w:tabs>
          <w:tab w:leader="none" w:pos="3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Vice President, Finance, Source COE, Supply Chain (February 2017 – June 2019); Vice President, Finance, Global Franchise Organization, Consumer (March 2014 – February 2017; and Vice President, Finance (September 2013 – March 2014), all at Johnson &amp; Johnson (a global health care company)</w:t>
      </w:r>
    </w:p>
    <w:p>
      <w:pPr>
        <w:spacing w:after="0" w:line="195" w:lineRule="exact"/>
        <w:rPr>
          <w:sz w:val="20"/>
          <w:szCs w:val="20"/>
          <w:color w:val="auto"/>
        </w:rPr>
      </w:pPr>
    </w:p>
    <w:p>
      <w:pPr>
        <w:jc w:val="both"/>
        <w:ind w:left="80"/>
        <w:spacing w:after="0" w:line="247" w:lineRule="auto"/>
        <w:rPr>
          <w:sz w:val="20"/>
          <w:szCs w:val="20"/>
          <w:color w:val="auto"/>
        </w:rPr>
      </w:pPr>
      <w:r>
        <w:rPr>
          <w:rFonts w:ascii="Arial" w:cs="Arial" w:eastAsia="Arial" w:hAnsi="Arial"/>
          <w:sz w:val="18"/>
          <w:szCs w:val="18"/>
          <w:color w:val="auto"/>
        </w:rPr>
        <w:t>Prior to these roles, Ms. Pemberton served in various finance roles of increasing responsibility at the Kraft Heinz Company, Delta Air Lines, Inc. and ZF Group Inc. She holds a Directorship Certification from the National Association of Corporate Directors.</w:t>
      </w:r>
    </w:p>
    <w:p>
      <w:pPr>
        <w:spacing w:after="0" w:line="5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219710</wp:posOffset>
            </wp:positionV>
            <wp:extent cx="55746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74665" cy="825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Ms. Pemberton brings to our Board strong and broad financial experience and acumen, enterprise risk</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management knowledge including relating to cybersecurity and business continuity, investor perspective, strong brand experience and sourcing and supply chain oversight. In addition, she contributes a strategic</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perspective, with significant acquisition and integration experience, all of which assists our Board in providing guidance and oversight in these areas.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194310</wp:posOffset>
            </wp:positionV>
            <wp:extent cx="55746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74665" cy="8255"/>
                    </a:xfrm>
                    <a:prstGeom prst="rect">
                      <a:avLst/>
                    </a:prstGeom>
                    <a:noFill/>
                  </pic:spPr>
                </pic:pic>
              </a:graphicData>
            </a:graphic>
          </wp:anchor>
        </w:drawing>
      </w:r>
    </w:p>
    <w:p>
      <w:pPr>
        <w:spacing w:after="0" w:line="307" w:lineRule="exact"/>
        <w:rPr>
          <w:sz w:val="20"/>
          <w:szCs w:val="20"/>
          <w:color w:val="auto"/>
        </w:rPr>
      </w:pPr>
    </w:p>
    <w:p>
      <w:pPr>
        <w:ind w:left="1860"/>
        <w:spacing w:after="0"/>
        <w:tabs>
          <w:tab w:leader="none" w:pos="602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49" w:lineRule="exact"/>
        <w:rPr>
          <w:sz w:val="20"/>
          <w:szCs w:val="20"/>
          <w:color w:val="auto"/>
        </w:rPr>
      </w:pPr>
    </w:p>
    <w:p>
      <w:pPr>
        <w:ind w:left="1960"/>
        <w:spacing w:after="0"/>
        <w:tabs>
          <w:tab w:leader="none" w:pos="6340" w:val="left"/>
        </w:tabs>
        <w:rPr>
          <w:sz w:val="20"/>
          <w:szCs w:val="20"/>
          <w:color w:val="auto"/>
        </w:rPr>
      </w:pPr>
      <w:r>
        <w:rPr>
          <w:rFonts w:ascii="Arial" w:cs="Arial" w:eastAsia="Arial" w:hAnsi="Arial"/>
          <w:sz w:val="18"/>
          <w:szCs w:val="18"/>
          <w:color w:val="auto"/>
        </w:rPr>
        <w:t>None</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80"/>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79375</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2">
            <w:col w:w="1740" w:space="720"/>
            <w:col w:w="8740"/>
          </w:cols>
          <w:pgMar w:left="340" w:top="1388" w:right="3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C00000"/>
        </w:rPr>
        <w:t>Continuing Members of the Board — Current Term Ending at the 2028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1135380" cy="11353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35380" cy="1135380"/>
                    </a:xfrm>
                    <a:prstGeom prst="rect">
                      <a:avLst/>
                    </a:prstGeom>
                    <a:noFill/>
                  </pic:spPr>
                </pic:pic>
              </a:graphicData>
            </a:graphic>
          </wp:anchor>
        </w:drawing>
      </w:r>
    </w:p>
    <w:p>
      <w:pPr>
        <w:spacing w:after="0" w:line="8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1584325</wp:posOffset>
            </wp:positionH>
            <wp:positionV relativeFrom="paragraph">
              <wp:posOffset>15875</wp:posOffset>
            </wp:positionV>
            <wp:extent cx="55238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ectPr>
          <w:pgSz w:w="11900" w:h="16838" w:orient="portrait"/>
          <w:cols w:equalWidth="0" w:num="1">
            <w:col w:w="11180"/>
          </w:cols>
          <w:pgMar w:left="340" w:top="110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BF2115"/>
        </w:rPr>
        <w:t>Jeffrey L. Harmening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Age 59</w:t>
      </w:r>
    </w:p>
    <w:p>
      <w:pPr>
        <w:spacing w:after="0" w:line="44" w:lineRule="exact"/>
        <w:rPr>
          <w:sz w:val="20"/>
          <w:szCs w:val="20"/>
          <w:color w:val="auto"/>
        </w:rPr>
      </w:pPr>
    </w:p>
    <w:p>
      <w:pPr>
        <w:ind w:right="260"/>
        <w:spacing w:after="0" w:line="285" w:lineRule="auto"/>
        <w:rPr>
          <w:sz w:val="20"/>
          <w:szCs w:val="20"/>
          <w:color w:val="auto"/>
        </w:rPr>
      </w:pPr>
      <w:r>
        <w:rPr>
          <w:rFonts w:ascii="Arial" w:cs="Arial" w:eastAsia="Arial" w:hAnsi="Arial"/>
          <w:sz w:val="18"/>
          <w:szCs w:val="18"/>
          <w:color w:val="auto"/>
        </w:rPr>
        <w:t>Director since 2019 Independent</w:t>
      </w:r>
    </w:p>
    <w:p>
      <w:pPr>
        <w:spacing w:after="0"/>
        <w:rPr>
          <w:sz w:val="20"/>
          <w:szCs w:val="20"/>
          <w:color w:val="auto"/>
        </w:rPr>
      </w:pPr>
      <w:r>
        <w:rPr>
          <w:rFonts w:ascii="Arial" w:cs="Arial" w:eastAsia="Arial" w:hAnsi="Arial"/>
          <w:sz w:val="18"/>
          <w:szCs w:val="18"/>
          <w:b w:val="1"/>
          <w:bCs w:val="1"/>
          <w:color w:val="BF2115"/>
        </w:rPr>
        <w:t>Committees</w:t>
      </w:r>
    </w:p>
    <w:p>
      <w:pPr>
        <w:ind w:left="160" w:hanging="156"/>
        <w:spacing w:after="0" w:line="229" w:lineRule="auto"/>
        <w:tabs>
          <w:tab w:leader="none" w:pos="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Audit</w:t>
      </w:r>
    </w:p>
    <w:p>
      <w:pPr>
        <w:ind w:left="160" w:hanging="156"/>
        <w:spacing w:after="0"/>
        <w:tabs>
          <w:tab w:leader="none" w:pos="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1351915</wp:posOffset>
            </wp:positionV>
            <wp:extent cx="1135380" cy="11353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35380" cy="11353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Jeffrey L. Harmening is the Chairman and Chief Executive Officer of General Mills, Inc., Minneapolis, Minnesota (a global manufacturer, marketer and supplier of food products). He holds or held the following positions, all at General Mills:</w:t>
      </w:r>
    </w:p>
    <w:p>
      <w:pPr>
        <w:spacing w:after="0" w:line="237" w:lineRule="exact"/>
        <w:rPr>
          <w:sz w:val="20"/>
          <w:szCs w:val="20"/>
          <w:color w:val="auto"/>
        </w:rPr>
      </w:pPr>
    </w:p>
    <w:p>
      <w:pPr>
        <w:ind w:left="780" w:hanging="147"/>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Chairman (since January 2018)</w:t>
      </w:r>
    </w:p>
    <w:p>
      <w:pPr>
        <w:spacing w:after="0" w:line="9" w:lineRule="exact"/>
        <w:rPr>
          <w:rFonts w:ascii="Arial" w:cs="Arial" w:eastAsia="Arial" w:hAnsi="Arial"/>
          <w:sz w:val="18"/>
          <w:szCs w:val="18"/>
          <w:color w:val="auto"/>
        </w:rPr>
      </w:pPr>
    </w:p>
    <w:p>
      <w:pPr>
        <w:ind w:left="780" w:hanging="147"/>
        <w:spacing w:after="0" w:line="216"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Chief Executive Officer (since June 2017)</w:t>
      </w:r>
    </w:p>
    <w:p>
      <w:pPr>
        <w:ind w:left="780" w:hanging="147"/>
        <w:spacing w:after="0" w:line="232"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President and Chief Operating Officer (July 2016 – May 2017)</w:t>
      </w:r>
    </w:p>
    <w:p>
      <w:pPr>
        <w:ind w:left="780" w:hanging="147"/>
        <w:spacing w:after="0" w:line="216"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Executive Vice President, Chief Operating Officer, U.S. Retail (May 2014 – June 2016)</w:t>
      </w:r>
    </w:p>
    <w:p>
      <w:pPr>
        <w:ind w:left="780" w:hanging="147"/>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Senior Vice President, Chief Executive Officer, Cereal Partners Worldwide (July 2012 – April 2014)</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219710</wp:posOffset>
            </wp:positionV>
            <wp:extent cx="55238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Mr. Harmening brings to our Board extensive experience as a seasoned executive with strong business and</w:t>
      </w:r>
    </w:p>
    <w:p>
      <w:pPr>
        <w:spacing w:after="0" w:line="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financial acumen and experience implementing the strategic direction for a complex and publicly traded company with extensive distribution channels and supply chain operations. Furthermore, he brings experience</w:t>
      </w:r>
    </w:p>
    <w:p>
      <w:pPr>
        <w:spacing w:after="0" w:line="1"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in driving growth through customer-valued products and acquisitions and expertise in driving employee engagement through creating a culture of belonging. He demonstrates strong business discipline and</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commitment to best practices. In addition, he has significant experience managing operations around the world, including having lived in Europe for six years during his tenure at General Mills.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33020</wp:posOffset>
            </wp:positionV>
            <wp:extent cx="55238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53" w:lineRule="exact"/>
        <w:rPr>
          <w:sz w:val="20"/>
          <w:szCs w:val="20"/>
          <w:color w:val="auto"/>
        </w:rPr>
      </w:pPr>
    </w:p>
    <w:p>
      <w:pPr>
        <w:ind w:left="1820"/>
        <w:spacing w:after="0"/>
        <w:tabs>
          <w:tab w:leader="none" w:pos="596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49" w:lineRule="exact"/>
        <w:rPr>
          <w:sz w:val="20"/>
          <w:szCs w:val="20"/>
          <w:color w:val="auto"/>
        </w:rPr>
      </w:pPr>
    </w:p>
    <w:p>
      <w:pPr>
        <w:ind w:left="1440"/>
        <w:spacing w:after="0"/>
        <w:tabs>
          <w:tab w:leader="none" w:pos="6260" w:val="left"/>
        </w:tabs>
        <w:rPr>
          <w:sz w:val="20"/>
          <w:szCs w:val="20"/>
          <w:color w:val="auto"/>
        </w:rPr>
      </w:pPr>
      <w:r>
        <w:rPr>
          <w:rFonts w:ascii="Arial" w:cs="Arial" w:eastAsia="Arial" w:hAnsi="Arial"/>
          <w:sz w:val="18"/>
          <w:szCs w:val="18"/>
          <w:color w:val="auto"/>
        </w:rPr>
        <w:t>General Mills, Inc.</w:t>
      </w:r>
      <w:r>
        <w:rPr>
          <w:sz w:val="20"/>
          <w:szCs w:val="20"/>
          <w:color w:val="auto"/>
        </w:rPr>
        <w:tab/>
      </w:r>
      <w:r>
        <w:rPr>
          <w:rFonts w:ascii="Arial" w:cs="Arial" w:eastAsia="Arial" w:hAnsi="Arial"/>
          <w:sz w:val="18"/>
          <w:szCs w:val="18"/>
          <w:color w:val="auto"/>
        </w:rPr>
        <w:t>None</w:t>
      </w:r>
    </w:p>
    <w:p>
      <w:pPr>
        <w:spacing w:after="0" w:line="191" w:lineRule="exact"/>
        <w:rPr>
          <w:sz w:val="20"/>
          <w:szCs w:val="20"/>
          <w:color w:val="auto"/>
        </w:rPr>
      </w:pPr>
    </w:p>
    <w:p>
      <w:pPr>
        <w:sectPr>
          <w:pgSz w:w="11900" w:h="16838" w:orient="portrait"/>
          <w:cols w:equalWidth="0" w:num="2">
            <w:col w:w="1800" w:space="720"/>
            <w:col w:w="8660"/>
          </w:cols>
          <w:pgMar w:left="340" w:top="1103"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Joyce A. Mullen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Age 63</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2019</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Committees</w:t>
      </w:r>
    </w:p>
    <w:p>
      <w:pPr>
        <w:ind w:left="160" w:hanging="156"/>
        <w:spacing w:after="0" w:line="232" w:lineRule="auto"/>
        <w:tabs>
          <w:tab w:leader="none" w:pos="1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Compensation &amp; Human Resources</w:t>
      </w:r>
    </w:p>
    <w:p>
      <w:pPr>
        <w:ind w:left="160" w:right="700" w:hanging="156"/>
        <w:spacing w:after="0" w:line="255" w:lineRule="auto"/>
        <w:tabs>
          <w:tab w:leader="none" w:pos="1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Nominating and Governance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15875</wp:posOffset>
            </wp:positionV>
            <wp:extent cx="55238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29"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Joyce A. Mullen is the President and Chief Executive Officer of Insight Enterprises, Inc., Chandler, Arizona (an information technology company). She holds or has held the following positions at Insight:</w:t>
      </w:r>
    </w:p>
    <w:p>
      <w:pPr>
        <w:spacing w:after="0" w:line="1" w:lineRule="exact"/>
        <w:rPr>
          <w:sz w:val="20"/>
          <w:szCs w:val="20"/>
          <w:color w:val="auto"/>
        </w:rPr>
      </w:pPr>
    </w:p>
    <w:p>
      <w:pPr>
        <w:ind w:left="780" w:hanging="147"/>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President and Chief Executive Officer (since January 2022)</w:t>
      </w:r>
    </w:p>
    <w:p>
      <w:pPr>
        <w:spacing w:after="0" w:line="6" w:lineRule="exact"/>
        <w:rPr>
          <w:rFonts w:ascii="Arial" w:cs="Arial" w:eastAsia="Arial" w:hAnsi="Arial"/>
          <w:sz w:val="18"/>
          <w:szCs w:val="18"/>
          <w:color w:val="auto"/>
        </w:rPr>
      </w:pPr>
    </w:p>
    <w:p>
      <w:pPr>
        <w:ind w:left="780" w:hanging="147"/>
        <w:spacing w:after="0" w:line="232"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President of North American Businesses (October 2020 – December 2021)</w:t>
      </w:r>
    </w:p>
    <w:p>
      <w:pPr>
        <w:ind w:right="120"/>
        <w:spacing w:after="0" w:line="232" w:lineRule="auto"/>
        <w:rPr>
          <w:sz w:val="20"/>
          <w:szCs w:val="20"/>
          <w:color w:val="auto"/>
        </w:rPr>
      </w:pPr>
      <w:r>
        <w:rPr>
          <w:rFonts w:ascii="Arial" w:cs="Arial" w:eastAsia="Arial" w:hAnsi="Arial"/>
          <w:sz w:val="18"/>
          <w:szCs w:val="18"/>
          <w:color w:val="auto"/>
        </w:rPr>
        <w:t>Previously, Ms. Mullen held various positions over a 21-year career at Dell Technologies (a digital technology solutions company), including:</w:t>
      </w:r>
    </w:p>
    <w:p>
      <w:pPr>
        <w:ind w:left="780" w:hanging="147"/>
        <w:spacing w:after="0" w:line="232"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President, Global Channel, OEM and IoT (November 2017 – August 2020)</w:t>
      </w:r>
    </w:p>
    <w:p>
      <w:pPr>
        <w:ind w:left="800" w:right="480" w:hanging="167"/>
        <w:spacing w:after="0" w:line="232" w:lineRule="auto"/>
        <w:tabs>
          <w:tab w:leader="none" w:pos="7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Senior Vice President and General Manager, Global OEM and IoT Solutions (February 2015 – November 2017)</w:t>
      </w:r>
    </w:p>
    <w:p>
      <w:pPr>
        <w:ind w:left="-20" w:right="260" w:firstLine="653"/>
        <w:spacing w:after="0" w:line="245" w:lineRule="auto"/>
        <w:tabs>
          <w:tab w:leader="none" w:pos="779" w:val="left"/>
        </w:tabs>
        <w:numPr>
          <w:ilvl w:val="0"/>
          <w:numId w:val="27"/>
        </w:numPr>
        <w:rPr>
          <w:rFonts w:ascii="Arial" w:cs="Arial" w:eastAsia="Arial" w:hAnsi="Arial"/>
          <w:sz w:val="18"/>
          <w:szCs w:val="18"/>
          <w:color w:val="auto"/>
        </w:rPr>
      </w:pPr>
      <w:r>
        <w:rPr>
          <w:rFonts w:ascii="Arial" w:cs="Arial" w:eastAsia="Arial" w:hAnsi="Arial"/>
          <w:sz w:val="18"/>
          <w:szCs w:val="18"/>
          <w:color w:val="auto"/>
        </w:rPr>
        <w:t>Vice President and General Manager, Global OEM Solutions (February 2012 – February 2015) Ms. Mullen also spent 10 years in leadership positions at Cummins Engine Company, including distribution, manufacturing and international business development.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380365</wp:posOffset>
            </wp:positionV>
            <wp:extent cx="55238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Ms. Mullen brings to our Board significant executive leadership skills, technology and smart-connected products expertise, strategic and innovative thinking and strong international business experience. She also</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offers a valuable perspective with regard to evaluating and supporting talent. Additionally, she contributes substantial knowledge of worldwide manufacturing, distribution channels, cybersecurity, digital product</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development and supply chain strategies, including improving efficiencies in manufacturing operations using Six Sigma, Kaizen and Lean techniques.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55238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67" w:lineRule="exact"/>
        <w:rPr>
          <w:sz w:val="20"/>
          <w:szCs w:val="20"/>
          <w:color w:val="auto"/>
        </w:rPr>
      </w:pPr>
    </w:p>
    <w:p>
      <w:pPr>
        <w:ind w:left="1820"/>
        <w:spacing w:after="0"/>
        <w:tabs>
          <w:tab w:leader="none" w:pos="596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49" w:lineRule="exact"/>
        <w:rPr>
          <w:sz w:val="20"/>
          <w:szCs w:val="20"/>
          <w:color w:val="auto"/>
        </w:rPr>
      </w:pPr>
    </w:p>
    <w:p>
      <w:pPr>
        <w:ind w:left="1220"/>
        <w:spacing w:after="0"/>
        <w:tabs>
          <w:tab w:leader="none" w:pos="6260" w:val="left"/>
        </w:tabs>
        <w:rPr>
          <w:sz w:val="20"/>
          <w:szCs w:val="20"/>
          <w:color w:val="auto"/>
        </w:rPr>
      </w:pPr>
      <w:r>
        <w:rPr>
          <w:rFonts w:ascii="Arial" w:cs="Arial" w:eastAsia="Arial" w:hAnsi="Arial"/>
          <w:sz w:val="18"/>
          <w:szCs w:val="18"/>
          <w:color w:val="auto"/>
        </w:rPr>
        <w:t>Insight Enterprises, Inc.</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ectPr>
          <w:pgSz w:w="11900" w:h="16838" w:orient="portrait"/>
          <w:cols w:equalWidth="0" w:num="2">
            <w:col w:w="2100" w:space="420"/>
            <w:col w:w="8660"/>
          </w:cols>
          <w:pgMar w:left="340" w:top="1103"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40" w:top="1103" w:right="379"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215900</wp:posOffset>
            </wp:positionH>
            <wp:positionV relativeFrom="page">
              <wp:posOffset>902335</wp:posOffset>
            </wp:positionV>
            <wp:extent cx="1050290" cy="1050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050290" cy="1050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James C. O'Rourke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Age 65</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2012</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Committees</w:t>
      </w:r>
    </w:p>
    <w:p>
      <w:pPr>
        <w:ind w:left="160" w:hanging="156"/>
        <w:spacing w:after="0" w:line="245" w:lineRule="auto"/>
        <w:tabs>
          <w:tab w:leader="none" w:pos="1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Compensation &amp; Human Resources (Chair)</w:t>
      </w:r>
    </w:p>
    <w:p>
      <w:pPr>
        <w:spacing w:after="0" w:line="1" w:lineRule="exact"/>
        <w:rPr>
          <w:rFonts w:ascii="Arial" w:cs="Arial" w:eastAsia="Arial" w:hAnsi="Arial"/>
          <w:sz w:val="17"/>
          <w:szCs w:val="17"/>
          <w:color w:val="auto"/>
        </w:rPr>
      </w:pPr>
    </w:p>
    <w:p>
      <w:pPr>
        <w:ind w:left="160" w:right="700" w:hanging="156"/>
        <w:spacing w:after="0" w:line="255" w:lineRule="auto"/>
        <w:tabs>
          <w:tab w:leader="none" w:pos="1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Nominating and Governance</w:t>
      </w:r>
    </w:p>
    <w:p>
      <w:pPr>
        <w:spacing w:after="0" w:line="20" w:lineRule="exact"/>
        <w:rPr>
          <w:sz w:val="20"/>
          <w:szCs w:val="20"/>
          <w:color w:val="auto"/>
        </w:rPr>
      </w:pPr>
      <w:r>
        <w:rPr>
          <w:sz w:val="20"/>
          <w:szCs w:val="20"/>
          <w:color w:val="auto"/>
        </w:rPr>
        <w:br w:type="column"/>
      </w:r>
    </w:p>
    <w:p>
      <w:pPr>
        <w:ind w:left="7"/>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15875</wp:posOffset>
            </wp:positionV>
            <wp:extent cx="55238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82" w:lineRule="exact"/>
        <w:rPr>
          <w:sz w:val="20"/>
          <w:szCs w:val="20"/>
          <w:color w:val="auto"/>
        </w:rPr>
      </w:pPr>
    </w:p>
    <w:p>
      <w:pPr>
        <w:ind w:left="7" w:right="20"/>
        <w:spacing w:after="0" w:line="238" w:lineRule="auto"/>
        <w:rPr>
          <w:sz w:val="20"/>
          <w:szCs w:val="20"/>
          <w:color w:val="auto"/>
        </w:rPr>
      </w:pPr>
      <w:r>
        <w:rPr>
          <w:rFonts w:ascii="Arial" w:cs="Arial" w:eastAsia="Arial" w:hAnsi="Arial"/>
          <w:sz w:val="18"/>
          <w:szCs w:val="18"/>
          <w:color w:val="auto"/>
        </w:rPr>
        <w:t>James C. O’Rourke served as Senior Advisor to The Mosaic Company, Tampa, Florida (a global producer and marketer of combined concentrated phosphate and potash crop nutrients for the global agriculture industry) until his retirement in June 2024. He held the following positions, all at The Mosaic Company:</w:t>
      </w:r>
    </w:p>
    <w:p>
      <w:pPr>
        <w:ind w:left="147" w:hanging="147"/>
        <w:spacing w:after="0" w:line="232" w:lineRule="auto"/>
        <w:tabs>
          <w:tab w:leader="none" w:pos="1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Chief Executive Officer (August 2015 – December 2023)</w:t>
      </w:r>
    </w:p>
    <w:p>
      <w:pPr>
        <w:ind w:left="147" w:hanging="147"/>
        <w:spacing w:after="0" w:line="216" w:lineRule="auto"/>
        <w:tabs>
          <w:tab w:leader="none" w:pos="1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President (August 2015 – August 2023)</w:t>
      </w:r>
    </w:p>
    <w:p>
      <w:pPr>
        <w:ind w:left="147" w:hanging="147"/>
        <w:spacing w:after="0" w:line="232" w:lineRule="auto"/>
        <w:tabs>
          <w:tab w:leader="none" w:pos="1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Executive Vice President—Operations and Chief Operating Officer (August 2012 – August 2015)</w:t>
      </w:r>
    </w:p>
    <w:p>
      <w:pPr>
        <w:ind w:left="147" w:hanging="147"/>
        <w:spacing w:after="0"/>
        <w:tabs>
          <w:tab w:leader="none" w:pos="1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Executive Vice President—Operations (January 2009 – August 2012)</w:t>
      </w:r>
    </w:p>
    <w:p>
      <w:pPr>
        <w:spacing w:after="0" w:line="8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363220</wp:posOffset>
            </wp:positionV>
            <wp:extent cx="55238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
        <w:spacing w:after="0"/>
        <w:rPr>
          <w:sz w:val="20"/>
          <w:szCs w:val="20"/>
          <w:color w:val="auto"/>
        </w:rPr>
      </w:pPr>
      <w:r>
        <w:rPr>
          <w:rFonts w:ascii="Arial" w:cs="Arial" w:eastAsia="Arial" w:hAnsi="Arial"/>
          <w:sz w:val="18"/>
          <w:szCs w:val="18"/>
          <w:color w:val="auto"/>
        </w:rPr>
        <w:t>Mr. O</w:t>
      </w:r>
      <w:r>
        <w:rPr>
          <w:rFonts w:ascii="Arial" w:cs="Arial" w:eastAsia="Arial" w:hAnsi="Arial"/>
          <w:sz w:val="18"/>
          <w:szCs w:val="18"/>
          <w:b w:val="1"/>
          <w:bCs w:val="1"/>
          <w:color w:val="auto"/>
        </w:rPr>
        <w:t>'</w:t>
      </w:r>
      <w:r>
        <w:rPr>
          <w:rFonts w:ascii="Arial" w:cs="Arial" w:eastAsia="Arial" w:hAnsi="Arial"/>
          <w:sz w:val="18"/>
          <w:szCs w:val="18"/>
          <w:color w:val="auto"/>
        </w:rPr>
        <w:t>Rourke brings to our Board significant leadership skills, strategic and innovative thinking from a former</w:t>
      </w:r>
    </w:p>
    <w:p>
      <w:pPr>
        <w:spacing w:after="0" w:line="11" w:lineRule="exact"/>
        <w:rPr>
          <w:sz w:val="20"/>
          <w:szCs w:val="20"/>
          <w:color w:val="auto"/>
        </w:rPr>
      </w:pPr>
    </w:p>
    <w:p>
      <w:pPr>
        <w:ind w:left="7"/>
        <w:spacing w:after="0" w:line="237" w:lineRule="auto"/>
        <w:rPr>
          <w:sz w:val="20"/>
          <w:szCs w:val="20"/>
          <w:color w:val="auto"/>
        </w:rPr>
      </w:pPr>
      <w:r>
        <w:rPr>
          <w:rFonts w:ascii="Arial" w:cs="Arial" w:eastAsia="Arial" w:hAnsi="Arial"/>
          <w:sz w:val="17"/>
          <w:szCs w:val="17"/>
          <w:color w:val="auto"/>
        </w:rPr>
        <w:t>chief executive officer perspective and strong international business expertise. He also contributes substantial knowledge of worldwide manufacturing, distribution and supply chain strategies and environmental, health</w:t>
      </w:r>
    </w:p>
    <w:p>
      <w:pPr>
        <w:spacing w:after="0" w:line="1" w:lineRule="exact"/>
        <w:rPr>
          <w:sz w:val="20"/>
          <w:szCs w:val="20"/>
          <w:color w:val="auto"/>
        </w:rPr>
      </w:pPr>
    </w:p>
    <w:p>
      <w:pPr>
        <w:ind w:left="7"/>
        <w:spacing w:after="0" w:line="243" w:lineRule="auto"/>
        <w:rPr>
          <w:sz w:val="20"/>
          <w:szCs w:val="20"/>
          <w:color w:val="auto"/>
        </w:rPr>
      </w:pPr>
      <w:r>
        <w:rPr>
          <w:rFonts w:ascii="Arial" w:cs="Arial" w:eastAsia="Arial" w:hAnsi="Arial"/>
          <w:sz w:val="18"/>
          <w:szCs w:val="18"/>
          <w:color w:val="auto"/>
        </w:rPr>
        <w:t>and safety matters. In addition, as a public company director and executive, Mr. O'Rourke contributes a solid understanding of executive compensation and corporate governance matters.</w:t>
      </w:r>
    </w:p>
    <w:p>
      <w:pPr>
        <w:spacing w:after="0" w:line="5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55238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53" w:lineRule="exact"/>
        <w:rPr>
          <w:sz w:val="20"/>
          <w:szCs w:val="20"/>
          <w:color w:val="auto"/>
        </w:rPr>
      </w:pPr>
    </w:p>
    <w:p>
      <w:pPr>
        <w:ind w:left="1827"/>
        <w:spacing w:after="0"/>
        <w:tabs>
          <w:tab w:leader="none" w:pos="5967"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49" w:lineRule="exact"/>
        <w:rPr>
          <w:sz w:val="20"/>
          <w:szCs w:val="20"/>
          <w:color w:val="auto"/>
        </w:rPr>
      </w:pPr>
    </w:p>
    <w:p>
      <w:pPr>
        <w:ind w:left="1667"/>
        <w:spacing w:after="0"/>
        <w:tabs>
          <w:tab w:leader="none" w:pos="5627" w:val="left"/>
        </w:tabs>
        <w:rPr>
          <w:sz w:val="20"/>
          <w:szCs w:val="20"/>
          <w:color w:val="auto"/>
        </w:rPr>
      </w:pPr>
      <w:r>
        <w:rPr>
          <w:rFonts w:ascii="Arial" w:cs="Arial" w:eastAsia="Arial" w:hAnsi="Arial"/>
          <w:sz w:val="18"/>
          <w:szCs w:val="18"/>
          <w:color w:val="auto"/>
        </w:rPr>
        <w:t>Rio Tinto plc</w:t>
      </w:r>
      <w:r>
        <w:rPr>
          <w:sz w:val="20"/>
          <w:szCs w:val="20"/>
          <w:color w:val="auto"/>
        </w:rPr>
        <w:tab/>
      </w:r>
      <w:r>
        <w:rPr>
          <w:rFonts w:ascii="Arial" w:cs="Arial" w:eastAsia="Arial" w:hAnsi="Arial"/>
          <w:sz w:val="17"/>
          <w:szCs w:val="17"/>
          <w:color w:val="auto"/>
        </w:rPr>
        <w:t>The Mosaic Company</w:t>
      </w:r>
    </w:p>
    <w:p>
      <w:pPr>
        <w:spacing w:after="0" w:line="47" w:lineRule="exact"/>
        <w:rPr>
          <w:sz w:val="20"/>
          <w:szCs w:val="20"/>
          <w:color w:val="auto"/>
        </w:rPr>
      </w:pPr>
    </w:p>
    <w:p>
      <w:pPr>
        <w:ind w:left="1167"/>
        <w:spacing w:after="0"/>
        <w:rPr>
          <w:sz w:val="20"/>
          <w:szCs w:val="20"/>
          <w:color w:val="auto"/>
        </w:rPr>
      </w:pPr>
      <w:r>
        <w:rPr>
          <w:rFonts w:ascii="Arial" w:cs="Arial" w:eastAsia="Arial" w:hAnsi="Arial"/>
          <w:sz w:val="18"/>
          <w:szCs w:val="18"/>
          <w:color w:val="auto"/>
        </w:rPr>
        <w:t>Weyerhaeuser Company</w:t>
      </w:r>
    </w:p>
    <w:p>
      <w:pPr>
        <w:spacing w:after="0" w:line="200" w:lineRule="exact"/>
        <w:rPr>
          <w:sz w:val="20"/>
          <w:szCs w:val="20"/>
          <w:color w:val="auto"/>
        </w:rPr>
      </w:pPr>
    </w:p>
    <w:p>
      <w:pPr>
        <w:sectPr>
          <w:pgSz w:w="11900" w:h="16838" w:orient="portrait"/>
          <w:cols w:equalWidth="0" w:num="2">
            <w:col w:w="2100" w:space="413"/>
            <w:col w:w="8667"/>
          </w:cols>
          <w:pgMar w:left="340" w:top="142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79375</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40" w:top="1428" w:right="37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21"/>
          <w:szCs w:val="21"/>
          <w:b w:val="1"/>
          <w:bCs w:val="1"/>
          <w:color w:val="FFFFFF"/>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4225" cy="186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1866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Director Compensation Program for Fiscal 2025</w:t>
      </w:r>
    </w:p>
    <w:p>
      <w:pPr>
        <w:spacing w:after="0" w:line="82" w:lineRule="exact"/>
        <w:rPr>
          <w:sz w:val="20"/>
          <w:szCs w:val="20"/>
          <w:color w:val="auto"/>
        </w:rPr>
      </w:pPr>
    </w:p>
    <w:p>
      <w:pPr>
        <w:ind w:firstLine="640"/>
        <w:spacing w:after="0" w:line="234"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Our non-employee director compensation program is designed to attract and retain experienced and knowledgeable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 align the interests of our directors with those of our stockholders. In fiscal 2025, our non-employee director compensation was</w:t>
      </w:r>
    </w:p>
    <w:p>
      <w:pPr>
        <w:spacing w:after="0" w:line="233" w:lineRule="auto"/>
        <w:rPr>
          <w:sz w:val="20"/>
          <w:szCs w:val="20"/>
          <w:color w:val="auto"/>
        </w:rPr>
      </w:pPr>
      <w:r>
        <w:rPr>
          <w:rFonts w:ascii="Arial" w:cs="Arial" w:eastAsia="Arial" w:hAnsi="Arial"/>
          <w:sz w:val="18"/>
          <w:szCs w:val="18"/>
          <w:color w:val="auto"/>
        </w:rPr>
        <w:t>comprised of cash compensation, in the form of annual retainers, and equity compensation, in the form of annual stock awards and stock</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options. If desired, a director could elect to receive the cash compensation in the form of a stock award, causing a substantial portion of our non-employee director compensation to be linked to our stock performance. Each component of our non-employee director compensation is</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described in more detail below. All equity-based compensation paid to our non-employee directors is granted under our then current stockholder-approved plan. As an employee director, Mr. Olson does not receive any additional compensation for his service as a director.</w:t>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Process for Consideration and Determination of Director Compensation. </w:t>
      </w:r>
      <w:r>
        <w:rPr>
          <w:rFonts w:ascii="Arial" w:cs="Arial" w:eastAsia="Arial" w:hAnsi="Arial"/>
          <w:sz w:val="18"/>
          <w:szCs w:val="18"/>
          <w:color w:val="auto"/>
        </w:rPr>
        <w:t>The Board has delegated to the Compensation &amp;</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Human Resources Committee the responsibility, among other things, to review and recommend to the Board any proposed changes in non-</w:t>
      </w:r>
    </w:p>
    <w:p>
      <w:pPr>
        <w:spacing w:after="0" w:line="234" w:lineRule="auto"/>
        <w:rPr>
          <w:sz w:val="20"/>
          <w:szCs w:val="20"/>
          <w:color w:val="auto"/>
        </w:rPr>
      </w:pPr>
      <w:r>
        <w:rPr>
          <w:rFonts w:ascii="Arial" w:cs="Arial" w:eastAsia="Arial" w:hAnsi="Arial"/>
          <w:sz w:val="18"/>
          <w:szCs w:val="18"/>
          <w:color w:val="auto"/>
        </w:rPr>
        <w:t>employee director compensation. The Committee typically engages an independent external compensation consultant to assist the Committee in this regard.</w:t>
      </w:r>
    </w:p>
    <w:p>
      <w:pPr>
        <w:spacing w:after="0" w:line="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Compensation  &amp;  Human  Resources  Committee  engaged  Willis  Towers  Watson  to  review  our  non-employee  director</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compensation program for fiscal 2025. Willis Towers Watson's review consisted of, among other things, analysis of board and committee compensation trends, a competitive assessment based on a selected group of manufacturing companies operating in the United States that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are similar in size to us from a revenue and market capitalization perspective, and a separate analysis of lead director compensation. For fiscal</w:t>
      </w:r>
    </w:p>
    <w:p>
      <w:pPr>
        <w:spacing w:after="0" w:line="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2025, the Board, upon recommendation of the Compensation &amp; Human Resources Committee approved certain changes, including a $10,000 increase to the annual stock award and a $1,500 increase to each of the annual retainers for the Finance Committee and the Nominating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Governance Committee Chair.</w:t>
      </w:r>
    </w:p>
    <w:p>
      <w:pPr>
        <w:spacing w:after="0" w:line="82" w:lineRule="exact"/>
        <w:rPr>
          <w:sz w:val="20"/>
          <w:szCs w:val="20"/>
          <w:color w:val="auto"/>
        </w:rPr>
      </w:pPr>
    </w:p>
    <w:p>
      <w:pPr>
        <w:ind w:right="20" w:firstLine="640"/>
        <w:spacing w:after="0" w:line="249" w:lineRule="auto"/>
        <w:rPr>
          <w:sz w:val="20"/>
          <w:szCs w:val="20"/>
          <w:color w:val="auto"/>
        </w:rPr>
      </w:pPr>
      <w:r>
        <w:rPr>
          <w:rFonts w:ascii="Arial" w:cs="Arial" w:eastAsia="Arial" w:hAnsi="Arial"/>
          <w:sz w:val="18"/>
          <w:szCs w:val="18"/>
          <w:b w:val="1"/>
          <w:bCs w:val="1"/>
          <w:color w:val="auto"/>
        </w:rPr>
        <w:t xml:space="preserve">Elements of Our Non-Employee Director Compensation Program. </w:t>
      </w:r>
      <w:r>
        <w:rPr>
          <w:rFonts w:ascii="Arial" w:cs="Arial" w:eastAsia="Arial" w:hAnsi="Arial"/>
          <w:sz w:val="18"/>
          <w:szCs w:val="18"/>
          <w:color w:val="auto"/>
        </w:rPr>
        <w:t>The following table sets forth our fiscal 2025 non-employee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compensation program.</w:t>
      </w:r>
    </w:p>
    <w:p>
      <w:pPr>
        <w:spacing w:after="0" w:line="123" w:lineRule="exact"/>
        <w:rPr>
          <w:sz w:val="20"/>
          <w:szCs w:val="20"/>
          <w:color w:val="auto"/>
        </w:rPr>
      </w:pPr>
    </w:p>
    <w:tbl>
      <w:tblPr>
        <w:tblLayout w:type="fixed"/>
        <w:tblInd w:w="1560" w:type="dxa"/>
        <w:tblCellMar>
          <w:top w:w="0" w:type="dxa"/>
          <w:left w:w="0" w:type="dxa"/>
          <w:bottom w:w="0" w:type="dxa"/>
          <w:right w:w="0" w:type="dxa"/>
        </w:tblCellMar>
      </w:tblPr>
      <w:tr>
        <w:trPr>
          <w:trHeight w:val="254"/>
        </w:trPr>
        <w:tc>
          <w:tcPr>
            <w:tcW w:w="6520" w:type="dxa"/>
            <w:vAlign w:val="bottom"/>
            <w:shd w:val="clear" w:color="auto" w:fill="BF2115"/>
          </w:tcPr>
          <w:p>
            <w:pPr>
              <w:ind w:left="2120"/>
              <w:spacing w:after="0"/>
              <w:rPr>
                <w:sz w:val="20"/>
                <w:szCs w:val="20"/>
                <w:color w:val="auto"/>
              </w:rPr>
            </w:pPr>
            <w:r>
              <w:rPr>
                <w:rFonts w:ascii="Arial" w:cs="Arial" w:eastAsia="Arial" w:hAnsi="Arial"/>
                <w:sz w:val="16"/>
                <w:szCs w:val="16"/>
                <w:b w:val="1"/>
                <w:bCs w:val="1"/>
                <w:color w:val="FFFFFF"/>
              </w:rPr>
              <w:t>Non-Employee Director Compensation</w:t>
            </w:r>
          </w:p>
        </w:tc>
        <w:tc>
          <w:tcPr>
            <w:tcW w:w="1600" w:type="dxa"/>
            <w:vAlign w:val="bottom"/>
            <w:shd w:val="clear" w:color="auto" w:fill="BF2115"/>
          </w:tcPr>
          <w:p>
            <w:pPr>
              <w:jc w:val="right"/>
              <w:ind w:right="300"/>
              <w:spacing w:after="0"/>
              <w:rPr>
                <w:sz w:val="20"/>
                <w:szCs w:val="20"/>
                <w:color w:val="auto"/>
              </w:rPr>
            </w:pPr>
            <w:r>
              <w:rPr>
                <w:rFonts w:ascii="Arial" w:cs="Arial" w:eastAsia="Arial" w:hAnsi="Arial"/>
                <w:sz w:val="16"/>
                <w:szCs w:val="16"/>
                <w:b w:val="1"/>
                <w:bCs w:val="1"/>
                <w:color w:val="FFFFFF"/>
              </w:rPr>
              <w:t>($)</w:t>
            </w: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rPr>
              <w:t>Annual Stock Award Value</w:t>
            </w:r>
          </w:p>
        </w:tc>
        <w:tc>
          <w:tcPr>
            <w:tcW w:w="1600" w:type="dxa"/>
            <w:vAlign w:val="bottom"/>
          </w:tcPr>
          <w:p>
            <w:pPr>
              <w:jc w:val="right"/>
              <w:spacing w:after="0"/>
              <w:rPr>
                <w:sz w:val="20"/>
                <w:szCs w:val="20"/>
                <w:color w:val="auto"/>
              </w:rPr>
            </w:pPr>
            <w:r>
              <w:rPr>
                <w:rFonts w:ascii="Arial" w:cs="Arial" w:eastAsia="Arial" w:hAnsi="Arial"/>
                <w:sz w:val="16"/>
                <w:szCs w:val="16"/>
                <w:color w:val="auto"/>
              </w:rPr>
              <w:t>95,000</w:t>
            </w:r>
          </w:p>
        </w:tc>
      </w:tr>
      <w:tr>
        <w:trPr>
          <w:trHeight w:val="29"/>
        </w:trPr>
        <w:tc>
          <w:tcPr>
            <w:tcW w:w="65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0"/>
        </w:trPr>
        <w:tc>
          <w:tcPr>
            <w:tcW w:w="6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Annual Stock Option Award Value</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55,000</w:t>
            </w: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rPr>
              <w:t>Annual Board and Committee Member Retainers</w:t>
            </w:r>
          </w:p>
        </w:tc>
        <w:tc>
          <w:tcPr>
            <w:tcW w:w="1600" w:type="dxa"/>
            <w:vAlign w:val="bottom"/>
          </w:tcPr>
          <w:p>
            <w:pPr>
              <w:spacing w:after="0"/>
              <w:rPr>
                <w:sz w:val="18"/>
                <w:szCs w:val="18"/>
                <w:color w:val="auto"/>
              </w:rPr>
            </w:pPr>
          </w:p>
        </w:tc>
      </w:tr>
      <w:tr>
        <w:trPr>
          <w:trHeight w:val="29"/>
        </w:trPr>
        <w:tc>
          <w:tcPr>
            <w:tcW w:w="65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0"/>
        </w:trPr>
        <w:tc>
          <w:tcPr>
            <w:tcW w:w="65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Board</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95,000</w:t>
            </w:r>
          </w:p>
        </w:tc>
      </w:tr>
      <w:tr>
        <w:trPr>
          <w:trHeight w:val="211"/>
        </w:trPr>
        <w:tc>
          <w:tcPr>
            <w:tcW w:w="6520" w:type="dxa"/>
            <w:vAlign w:val="bottom"/>
          </w:tcPr>
          <w:p>
            <w:pPr>
              <w:ind w:left="220"/>
              <w:spacing w:after="0"/>
              <w:rPr>
                <w:sz w:val="20"/>
                <w:szCs w:val="20"/>
                <w:color w:val="auto"/>
              </w:rPr>
            </w:pPr>
            <w:r>
              <w:rPr>
                <w:rFonts w:ascii="Arial" w:cs="Arial" w:eastAsia="Arial" w:hAnsi="Arial"/>
                <w:sz w:val="16"/>
                <w:szCs w:val="16"/>
                <w:color w:val="auto"/>
              </w:rPr>
              <w:t>Audit Committee Member</w:t>
            </w:r>
          </w:p>
        </w:tc>
        <w:tc>
          <w:tcPr>
            <w:tcW w:w="1600" w:type="dxa"/>
            <w:vAlign w:val="bottom"/>
          </w:tcPr>
          <w:p>
            <w:pPr>
              <w:jc w:val="right"/>
              <w:spacing w:after="0"/>
              <w:rPr>
                <w:sz w:val="20"/>
                <w:szCs w:val="20"/>
                <w:color w:val="auto"/>
              </w:rPr>
            </w:pPr>
            <w:r>
              <w:rPr>
                <w:rFonts w:ascii="Arial" w:cs="Arial" w:eastAsia="Arial" w:hAnsi="Arial"/>
                <w:sz w:val="16"/>
                <w:szCs w:val="16"/>
                <w:color w:val="auto"/>
              </w:rPr>
              <w:t>12,500</w:t>
            </w:r>
          </w:p>
        </w:tc>
      </w:tr>
      <w:tr>
        <w:trPr>
          <w:trHeight w:val="29"/>
        </w:trPr>
        <w:tc>
          <w:tcPr>
            <w:tcW w:w="65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0"/>
        </w:trPr>
        <w:tc>
          <w:tcPr>
            <w:tcW w:w="65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Compensation &amp; Human Resources Committee Member</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7,000</w:t>
            </w:r>
          </w:p>
        </w:tc>
      </w:tr>
      <w:tr>
        <w:trPr>
          <w:trHeight w:val="211"/>
        </w:trPr>
        <w:tc>
          <w:tcPr>
            <w:tcW w:w="6520" w:type="dxa"/>
            <w:vAlign w:val="bottom"/>
          </w:tcPr>
          <w:p>
            <w:pPr>
              <w:ind w:left="220"/>
              <w:spacing w:after="0"/>
              <w:rPr>
                <w:sz w:val="20"/>
                <w:szCs w:val="20"/>
                <w:color w:val="auto"/>
              </w:rPr>
            </w:pPr>
            <w:r>
              <w:rPr>
                <w:rFonts w:ascii="Arial" w:cs="Arial" w:eastAsia="Arial" w:hAnsi="Arial"/>
                <w:sz w:val="16"/>
                <w:szCs w:val="16"/>
                <w:color w:val="auto"/>
              </w:rPr>
              <w:t>Nominating and Governance Committee Member</w:t>
            </w:r>
          </w:p>
        </w:tc>
        <w:tc>
          <w:tcPr>
            <w:tcW w:w="160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29"/>
        </w:trPr>
        <w:tc>
          <w:tcPr>
            <w:tcW w:w="65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0"/>
        </w:trPr>
        <w:tc>
          <w:tcPr>
            <w:tcW w:w="65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Finance Committee Member</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6,000</w:t>
            </w: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rPr>
              <w:t>Annual Lead Independent Director and Committee Chair Additional Retainers</w:t>
            </w:r>
          </w:p>
        </w:tc>
        <w:tc>
          <w:tcPr>
            <w:tcW w:w="1600" w:type="dxa"/>
            <w:vAlign w:val="bottom"/>
          </w:tcPr>
          <w:p>
            <w:pPr>
              <w:spacing w:after="0"/>
              <w:rPr>
                <w:sz w:val="18"/>
                <w:szCs w:val="18"/>
                <w:color w:val="auto"/>
              </w:rPr>
            </w:pPr>
          </w:p>
        </w:tc>
      </w:tr>
      <w:tr>
        <w:trPr>
          <w:trHeight w:val="29"/>
        </w:trPr>
        <w:tc>
          <w:tcPr>
            <w:tcW w:w="65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0"/>
        </w:trPr>
        <w:tc>
          <w:tcPr>
            <w:tcW w:w="65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Lead Independent Director</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30,000</w:t>
            </w:r>
          </w:p>
        </w:tc>
      </w:tr>
      <w:tr>
        <w:trPr>
          <w:trHeight w:val="211"/>
        </w:trPr>
        <w:tc>
          <w:tcPr>
            <w:tcW w:w="6520" w:type="dxa"/>
            <w:vAlign w:val="bottom"/>
          </w:tcPr>
          <w:p>
            <w:pPr>
              <w:ind w:left="220"/>
              <w:spacing w:after="0"/>
              <w:rPr>
                <w:sz w:val="20"/>
                <w:szCs w:val="20"/>
                <w:color w:val="auto"/>
              </w:rPr>
            </w:pPr>
            <w:r>
              <w:rPr>
                <w:rFonts w:ascii="Arial" w:cs="Arial" w:eastAsia="Arial" w:hAnsi="Arial"/>
                <w:sz w:val="16"/>
                <w:szCs w:val="16"/>
                <w:color w:val="auto"/>
              </w:rPr>
              <w:t>Audit Committee Chair</w:t>
            </w:r>
          </w:p>
        </w:tc>
        <w:tc>
          <w:tcPr>
            <w:tcW w:w="1600" w:type="dxa"/>
            <w:vAlign w:val="bottom"/>
          </w:tcPr>
          <w:p>
            <w:pPr>
              <w:jc w:val="right"/>
              <w:spacing w:after="0"/>
              <w:rPr>
                <w:sz w:val="20"/>
                <w:szCs w:val="20"/>
                <w:color w:val="auto"/>
              </w:rPr>
            </w:pPr>
            <w:r>
              <w:rPr>
                <w:rFonts w:ascii="Arial" w:cs="Arial" w:eastAsia="Arial" w:hAnsi="Arial"/>
                <w:sz w:val="16"/>
                <w:szCs w:val="16"/>
                <w:color w:val="auto"/>
              </w:rPr>
              <w:t>20,000</w:t>
            </w:r>
          </w:p>
        </w:tc>
      </w:tr>
      <w:tr>
        <w:trPr>
          <w:trHeight w:val="29"/>
        </w:trPr>
        <w:tc>
          <w:tcPr>
            <w:tcW w:w="65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0"/>
        </w:trPr>
        <w:tc>
          <w:tcPr>
            <w:tcW w:w="65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Compensation &amp; Human Resources Committee Chair</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15,000</w:t>
            </w:r>
          </w:p>
        </w:tc>
      </w:tr>
      <w:tr>
        <w:trPr>
          <w:trHeight w:val="211"/>
        </w:trPr>
        <w:tc>
          <w:tcPr>
            <w:tcW w:w="6520" w:type="dxa"/>
            <w:vAlign w:val="bottom"/>
          </w:tcPr>
          <w:p>
            <w:pPr>
              <w:ind w:left="220"/>
              <w:spacing w:after="0"/>
              <w:rPr>
                <w:sz w:val="20"/>
                <w:szCs w:val="20"/>
                <w:color w:val="auto"/>
              </w:rPr>
            </w:pPr>
            <w:r>
              <w:rPr>
                <w:rFonts w:ascii="Arial" w:cs="Arial" w:eastAsia="Arial" w:hAnsi="Arial"/>
                <w:sz w:val="16"/>
                <w:szCs w:val="16"/>
                <w:color w:val="auto"/>
              </w:rPr>
              <w:t>Nominating and Governance Committee Chair</w:t>
            </w:r>
          </w:p>
        </w:tc>
        <w:tc>
          <w:tcPr>
            <w:tcW w:w="1600" w:type="dxa"/>
            <w:vAlign w:val="bottom"/>
          </w:tcPr>
          <w:p>
            <w:pPr>
              <w:jc w:val="right"/>
              <w:spacing w:after="0"/>
              <w:rPr>
                <w:sz w:val="20"/>
                <w:szCs w:val="20"/>
                <w:color w:val="auto"/>
              </w:rPr>
            </w:pPr>
            <w:r>
              <w:rPr>
                <w:rFonts w:ascii="Arial" w:cs="Arial" w:eastAsia="Arial" w:hAnsi="Arial"/>
                <w:sz w:val="16"/>
                <w:szCs w:val="16"/>
                <w:color w:val="auto"/>
              </w:rPr>
              <w:t>9,000</w:t>
            </w:r>
          </w:p>
        </w:tc>
      </w:tr>
      <w:tr>
        <w:trPr>
          <w:trHeight w:val="29"/>
        </w:trPr>
        <w:tc>
          <w:tcPr>
            <w:tcW w:w="65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11"/>
        </w:trPr>
        <w:tc>
          <w:tcPr>
            <w:tcW w:w="65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Finance Committee Chair</w:t>
            </w: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9,000</w:t>
            </w:r>
          </w:p>
        </w:tc>
      </w:tr>
      <w:tr>
        <w:trPr>
          <w:trHeight w:val="29"/>
        </w:trPr>
        <w:tc>
          <w:tcPr>
            <w:tcW w:w="6520" w:type="dxa"/>
            <w:vAlign w:val="bottom"/>
            <w:shd w:val="clear" w:color="auto" w:fill="DBDBDB"/>
          </w:tcPr>
          <w:p>
            <w:pPr>
              <w:spacing w:after="0"/>
              <w:rPr>
                <w:sz w:val="2"/>
                <w:szCs w:val="2"/>
                <w:color w:val="auto"/>
              </w:rPr>
            </w:pPr>
          </w:p>
        </w:tc>
        <w:tc>
          <w:tcPr>
            <w:tcW w:w="160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24" w:name="page25"/>
    <w:bookmarkEnd w:id="24"/>
    <w:p>
      <w:pPr>
        <w:ind w:left="640"/>
        <w:spacing w:after="0"/>
        <w:rPr>
          <w:sz w:val="20"/>
          <w:szCs w:val="20"/>
          <w:color w:val="auto"/>
        </w:rPr>
      </w:pPr>
      <w:r>
        <w:rPr>
          <w:rFonts w:ascii="Arial" w:cs="Arial" w:eastAsia="Arial" w:hAnsi="Arial"/>
          <w:sz w:val="18"/>
          <w:szCs w:val="18"/>
          <w:color w:val="auto"/>
        </w:rPr>
        <w:t>The following summarizes our non-employee director compensation program:</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6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Element</w:t>
            </w:r>
          </w:p>
        </w:tc>
        <w:tc>
          <w:tcPr>
            <w:tcW w:w="9260" w:type="dxa"/>
            <w:vAlign w:val="bottom"/>
            <w:shd w:val="clear" w:color="auto" w:fill="BF2115"/>
          </w:tcPr>
          <w:p>
            <w:pPr>
              <w:ind w:left="4060"/>
              <w:spacing w:after="0"/>
              <w:rPr>
                <w:sz w:val="20"/>
                <w:szCs w:val="20"/>
                <w:color w:val="auto"/>
              </w:rPr>
            </w:pPr>
            <w:r>
              <w:rPr>
                <w:rFonts w:ascii="Arial" w:cs="Arial" w:eastAsia="Arial" w:hAnsi="Arial"/>
                <w:sz w:val="14"/>
                <w:szCs w:val="14"/>
                <w:b w:val="1"/>
                <w:bCs w:val="1"/>
                <w:color w:val="FFFFFF"/>
              </w:rPr>
              <w:t>Key Characteristics</w:t>
            </w:r>
          </w:p>
        </w:tc>
      </w:tr>
      <w:tr>
        <w:trPr>
          <w:trHeight w:val="173"/>
        </w:trPr>
        <w:tc>
          <w:tcPr>
            <w:tcW w:w="1760" w:type="dxa"/>
            <w:vAlign w:val="bottom"/>
          </w:tcPr>
          <w:p>
            <w:pPr>
              <w:ind w:left="20"/>
              <w:spacing w:after="0" w:line="173" w:lineRule="exact"/>
              <w:rPr>
                <w:sz w:val="20"/>
                <w:szCs w:val="20"/>
                <w:color w:val="auto"/>
              </w:rPr>
            </w:pPr>
            <w:r>
              <w:rPr>
                <w:rFonts w:ascii="Arial" w:cs="Arial" w:eastAsia="Arial" w:hAnsi="Arial"/>
                <w:sz w:val="16"/>
                <w:szCs w:val="16"/>
                <w:color w:val="auto"/>
              </w:rPr>
              <w:t>Annual Retainers</w:t>
            </w:r>
          </w:p>
        </w:tc>
        <w:tc>
          <w:tcPr>
            <w:tcW w:w="9260" w:type="dxa"/>
            <w:vAlign w:val="bottom"/>
          </w:tcPr>
          <w:p>
            <w:pPr>
              <w:ind w:left="220"/>
              <w:spacing w:after="0" w:line="173" w:lineRule="exact"/>
              <w:rPr>
                <w:sz w:val="20"/>
                <w:szCs w:val="20"/>
                <w:color w:val="auto"/>
              </w:rPr>
            </w:pPr>
            <w:r>
              <w:rPr>
                <w:rFonts w:ascii="Arial" w:cs="Arial" w:eastAsia="Arial" w:hAnsi="Arial"/>
                <w:sz w:val="16"/>
                <w:szCs w:val="16"/>
                <w:color w:val="auto"/>
              </w:rPr>
              <w:t>Annual cash retainers are paid quarterly for service on the Board and its committees and in Board leadership roles, such as a</w:t>
            </w:r>
          </w:p>
        </w:tc>
      </w:tr>
      <w:tr>
        <w:trPr>
          <w:trHeight w:val="219"/>
        </w:trPr>
        <w:tc>
          <w:tcPr>
            <w:tcW w:w="1760" w:type="dxa"/>
            <w:vAlign w:val="bottom"/>
          </w:tcPr>
          <w:p>
            <w:pPr>
              <w:spacing w:after="0"/>
              <w:rPr>
                <w:sz w:val="19"/>
                <w:szCs w:val="19"/>
                <w:color w:val="auto"/>
              </w:rPr>
            </w:pPr>
          </w:p>
        </w:tc>
        <w:tc>
          <w:tcPr>
            <w:tcW w:w="9260" w:type="dxa"/>
            <w:vAlign w:val="bottom"/>
          </w:tcPr>
          <w:p>
            <w:pPr>
              <w:ind w:left="220"/>
              <w:spacing w:after="0"/>
              <w:rPr>
                <w:sz w:val="20"/>
                <w:szCs w:val="20"/>
                <w:color w:val="auto"/>
              </w:rPr>
            </w:pPr>
            <w:r>
              <w:rPr>
                <w:rFonts w:ascii="Arial" w:cs="Arial" w:eastAsia="Arial" w:hAnsi="Arial"/>
                <w:sz w:val="16"/>
                <w:szCs w:val="16"/>
                <w:color w:val="auto"/>
              </w:rPr>
              <w:t>Board committee chair or Lead Independent Director.</w:t>
            </w:r>
          </w:p>
        </w:tc>
      </w:tr>
      <w:tr>
        <w:trPr>
          <w:trHeight w:val="181"/>
        </w:trPr>
        <w:tc>
          <w:tcPr>
            <w:tcW w:w="1760" w:type="dxa"/>
            <w:vAlign w:val="bottom"/>
            <w:shd w:val="clear" w:color="auto" w:fill="DBDBDB"/>
          </w:tcPr>
          <w:p>
            <w:pPr>
              <w:ind w:left="20"/>
              <w:spacing w:after="0" w:line="181" w:lineRule="exact"/>
              <w:rPr>
                <w:sz w:val="20"/>
                <w:szCs w:val="20"/>
                <w:color w:val="auto"/>
              </w:rPr>
            </w:pPr>
            <w:r>
              <w:rPr>
                <w:rFonts w:ascii="Arial" w:cs="Arial" w:eastAsia="Arial" w:hAnsi="Arial"/>
                <w:sz w:val="16"/>
                <w:szCs w:val="16"/>
                <w:color w:val="auto"/>
              </w:rPr>
              <w:t>Annual Stock Awards</w:t>
            </w:r>
          </w:p>
        </w:tc>
        <w:tc>
          <w:tcPr>
            <w:tcW w:w="9260" w:type="dxa"/>
            <w:vAlign w:val="bottom"/>
            <w:shd w:val="clear" w:color="auto" w:fill="DBDBDB"/>
          </w:tcPr>
          <w:p>
            <w:pPr>
              <w:ind w:left="220"/>
              <w:spacing w:after="0" w:line="181" w:lineRule="exact"/>
              <w:rPr>
                <w:sz w:val="20"/>
                <w:szCs w:val="20"/>
                <w:color w:val="auto"/>
              </w:rPr>
            </w:pPr>
            <w:r>
              <w:rPr>
                <w:rFonts w:ascii="Arial" w:cs="Arial" w:eastAsia="Arial" w:hAnsi="Arial"/>
                <w:sz w:val="16"/>
                <w:szCs w:val="16"/>
                <w:color w:val="auto"/>
              </w:rPr>
              <w:t>On the first business day of our fiscal year, a stock award is automatically granted under our then current stockholder-approved</w:t>
            </w:r>
          </w:p>
        </w:tc>
      </w:tr>
      <w:tr>
        <w:trPr>
          <w:trHeight w:val="187"/>
        </w:trPr>
        <w:tc>
          <w:tcPr>
            <w:tcW w:w="1760" w:type="dxa"/>
            <w:vAlign w:val="bottom"/>
            <w:shd w:val="clear" w:color="auto" w:fill="DBDBDB"/>
          </w:tcPr>
          <w:p>
            <w:pPr>
              <w:spacing w:after="0"/>
              <w:rPr>
                <w:sz w:val="16"/>
                <w:szCs w:val="16"/>
                <w:color w:val="auto"/>
              </w:rPr>
            </w:pPr>
          </w:p>
        </w:tc>
        <w:tc>
          <w:tcPr>
            <w:tcW w:w="926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plan. The number of shares is determined by dividing the stock award value by the average of the closing prices of our</w:t>
            </w:r>
          </w:p>
        </w:tc>
      </w:tr>
      <w:tr>
        <w:trPr>
          <w:trHeight w:val="221"/>
        </w:trPr>
        <w:tc>
          <w:tcPr>
            <w:tcW w:w="1760" w:type="dxa"/>
            <w:vAlign w:val="bottom"/>
            <w:tcBorders>
              <w:bottom w:val="single" w:sz="8" w:color="DBDBDB"/>
            </w:tcBorders>
            <w:shd w:val="clear" w:color="auto" w:fill="DBDBDB"/>
          </w:tcPr>
          <w:p>
            <w:pPr>
              <w:spacing w:after="0"/>
              <w:rPr>
                <w:sz w:val="19"/>
                <w:szCs w:val="19"/>
                <w:color w:val="auto"/>
              </w:rPr>
            </w:pPr>
          </w:p>
        </w:tc>
        <w:tc>
          <w:tcPr>
            <w:tcW w:w="92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common stock during the three months prior to the grant. The shares are fully vested at the time of grant.</w:t>
            </w:r>
          </w:p>
        </w:tc>
      </w:tr>
      <w:tr>
        <w:trPr>
          <w:trHeight w:val="173"/>
        </w:trPr>
        <w:tc>
          <w:tcPr>
            <w:tcW w:w="1760" w:type="dxa"/>
            <w:vAlign w:val="bottom"/>
          </w:tcPr>
          <w:p>
            <w:pPr>
              <w:ind w:left="20"/>
              <w:spacing w:after="0" w:line="173" w:lineRule="exact"/>
              <w:rPr>
                <w:sz w:val="20"/>
                <w:szCs w:val="20"/>
                <w:color w:val="auto"/>
              </w:rPr>
            </w:pPr>
            <w:r>
              <w:rPr>
                <w:rFonts w:ascii="Arial" w:cs="Arial" w:eastAsia="Arial" w:hAnsi="Arial"/>
                <w:sz w:val="16"/>
                <w:szCs w:val="16"/>
                <w:color w:val="auto"/>
              </w:rPr>
              <w:t>Annual Stock Option</w:t>
            </w:r>
          </w:p>
        </w:tc>
        <w:tc>
          <w:tcPr>
            <w:tcW w:w="9260" w:type="dxa"/>
            <w:vAlign w:val="bottom"/>
          </w:tcPr>
          <w:p>
            <w:pPr>
              <w:ind w:left="220"/>
              <w:spacing w:after="0" w:line="173" w:lineRule="exact"/>
              <w:rPr>
                <w:sz w:val="20"/>
                <w:szCs w:val="20"/>
                <w:color w:val="auto"/>
              </w:rPr>
            </w:pPr>
            <w:r>
              <w:rPr>
                <w:rFonts w:ascii="Arial" w:cs="Arial" w:eastAsia="Arial" w:hAnsi="Arial"/>
                <w:sz w:val="16"/>
                <w:szCs w:val="16"/>
                <w:color w:val="auto"/>
              </w:rPr>
              <w:t>On the first business day of our fiscal year, a stock option to purchase shares of our common stock is automatically granted</w:t>
            </w:r>
          </w:p>
        </w:tc>
      </w:tr>
      <w:tr>
        <w:trPr>
          <w:trHeight w:val="173"/>
        </w:trPr>
        <w:tc>
          <w:tcPr>
            <w:tcW w:w="1760" w:type="dxa"/>
            <w:vAlign w:val="bottom"/>
          </w:tcPr>
          <w:p>
            <w:pPr>
              <w:ind w:left="20"/>
              <w:spacing w:after="0" w:line="174" w:lineRule="exact"/>
              <w:rPr>
                <w:sz w:val="20"/>
                <w:szCs w:val="20"/>
                <w:color w:val="auto"/>
              </w:rPr>
            </w:pPr>
            <w:r>
              <w:rPr>
                <w:rFonts w:ascii="Arial" w:cs="Arial" w:eastAsia="Arial" w:hAnsi="Arial"/>
                <w:sz w:val="16"/>
                <w:szCs w:val="16"/>
                <w:color w:val="auto"/>
              </w:rPr>
              <w:t>Awards</w:t>
            </w:r>
          </w:p>
        </w:tc>
        <w:tc>
          <w:tcPr>
            <w:tcW w:w="9260" w:type="dxa"/>
            <w:vAlign w:val="bottom"/>
          </w:tcPr>
          <w:p>
            <w:pPr>
              <w:ind w:left="220"/>
              <w:spacing w:after="0" w:line="174" w:lineRule="exact"/>
              <w:rPr>
                <w:sz w:val="20"/>
                <w:szCs w:val="20"/>
                <w:color w:val="auto"/>
              </w:rPr>
            </w:pPr>
            <w:r>
              <w:rPr>
                <w:rFonts w:ascii="Arial" w:cs="Arial" w:eastAsia="Arial" w:hAnsi="Arial"/>
                <w:sz w:val="16"/>
                <w:szCs w:val="16"/>
                <w:color w:val="auto"/>
              </w:rPr>
              <w:t>under our then current stockholder-approved plan. The number of stock options is determined by dividing the stock option</w:t>
            </w:r>
          </w:p>
        </w:tc>
      </w:tr>
      <w:tr>
        <w:trPr>
          <w:trHeight w:val="173"/>
        </w:trPr>
        <w:tc>
          <w:tcPr>
            <w:tcW w:w="1760" w:type="dxa"/>
            <w:vAlign w:val="bottom"/>
          </w:tcPr>
          <w:p>
            <w:pPr>
              <w:spacing w:after="0"/>
              <w:rPr>
                <w:sz w:val="15"/>
                <w:szCs w:val="15"/>
                <w:color w:val="auto"/>
              </w:rPr>
            </w:pPr>
          </w:p>
        </w:tc>
        <w:tc>
          <w:tcPr>
            <w:tcW w:w="9260" w:type="dxa"/>
            <w:vAlign w:val="bottom"/>
          </w:tcPr>
          <w:p>
            <w:pPr>
              <w:ind w:left="220"/>
              <w:spacing w:after="0" w:line="174" w:lineRule="exact"/>
              <w:rPr>
                <w:sz w:val="20"/>
                <w:szCs w:val="20"/>
                <w:color w:val="auto"/>
              </w:rPr>
            </w:pPr>
            <w:r>
              <w:rPr>
                <w:rFonts w:ascii="Arial" w:cs="Arial" w:eastAsia="Arial" w:hAnsi="Arial"/>
                <w:sz w:val="16"/>
                <w:szCs w:val="16"/>
                <w:color w:val="auto"/>
              </w:rPr>
              <w:t>award value by the grant date fair value of a stock option to purchase one share of our common stock. See below for additional</w:t>
            </w:r>
          </w:p>
        </w:tc>
      </w:tr>
      <w:tr>
        <w:trPr>
          <w:trHeight w:val="211"/>
        </w:trPr>
        <w:tc>
          <w:tcPr>
            <w:tcW w:w="1760" w:type="dxa"/>
            <w:vAlign w:val="bottom"/>
          </w:tcPr>
          <w:p>
            <w:pPr>
              <w:spacing w:after="0"/>
              <w:rPr>
                <w:sz w:val="18"/>
                <w:szCs w:val="18"/>
                <w:color w:val="auto"/>
              </w:rPr>
            </w:pPr>
          </w:p>
        </w:tc>
        <w:tc>
          <w:tcPr>
            <w:tcW w:w="9260" w:type="dxa"/>
            <w:vAlign w:val="bottom"/>
          </w:tcPr>
          <w:p>
            <w:pPr>
              <w:ind w:left="220"/>
              <w:spacing w:after="0"/>
              <w:rPr>
                <w:sz w:val="20"/>
                <w:szCs w:val="20"/>
                <w:color w:val="auto"/>
              </w:rPr>
            </w:pPr>
            <w:r>
              <w:rPr>
                <w:rFonts w:ascii="Arial" w:cs="Arial" w:eastAsia="Arial" w:hAnsi="Arial"/>
                <w:sz w:val="16"/>
                <w:szCs w:val="16"/>
                <w:color w:val="auto"/>
              </w:rPr>
              <w:t>information regarding vesting of stock option grants.</w:t>
            </w:r>
          </w:p>
        </w:tc>
      </w:tr>
    </w:tbl>
    <w:p>
      <w:pPr>
        <w:spacing w:after="0" w:line="29" w:lineRule="exact"/>
        <w:rPr>
          <w:sz w:val="20"/>
          <w:szCs w:val="20"/>
          <w:color w:val="auto"/>
        </w:rPr>
      </w:pPr>
    </w:p>
    <w:p>
      <w:pPr>
        <w:sectPr>
          <w:pgSz w:w="11900" w:h="16838" w:orient="portrait"/>
          <w:cols w:equalWidth="0" w:num="1">
            <w:col w:w="11240"/>
          </w:cols>
          <w:pgMar w:left="320" w:top="1097" w:right="339" w:bottom="1440" w:gutter="0" w:footer="0" w:header="0"/>
        </w:sectPr>
      </w:pPr>
    </w:p>
    <w:p>
      <w:pPr>
        <w:spacing w:after="0" w:line="14" w:lineRule="exact"/>
        <w:rPr>
          <w:sz w:val="20"/>
          <w:szCs w:val="20"/>
          <w:color w:val="auto"/>
        </w:rPr>
      </w:pPr>
    </w:p>
    <w:p>
      <w:pPr>
        <w:ind w:left="20"/>
        <w:spacing w:after="0" w:line="261" w:lineRule="auto"/>
        <w:rPr>
          <w:sz w:val="20"/>
          <w:szCs w:val="20"/>
          <w:color w:val="auto"/>
        </w:rPr>
      </w:pPr>
      <w:r>
        <w:rPr>
          <w:rFonts w:ascii="Arial" w:cs="Arial" w:eastAsia="Arial" w:hAnsi="Arial"/>
          <w:sz w:val="16"/>
          <w:szCs w:val="16"/>
          <w:color w:val="auto"/>
        </w:rPr>
        <w:t>Common Stock In Lieu of Annual Retainers</w:t>
      </w:r>
    </w:p>
    <w:p>
      <w:pPr>
        <w:spacing w:after="0" w:line="20" w:lineRule="exact"/>
        <w:rPr>
          <w:sz w:val="20"/>
          <w:szCs w:val="20"/>
          <w:color w:val="auto"/>
        </w:rPr>
      </w:pPr>
      <w:r>
        <w:rPr>
          <w:sz w:val="20"/>
          <w:szCs w:val="20"/>
          <w:color w:val="auto"/>
        </w:rPr>
        <w:br w:type="column"/>
      </w:r>
    </w:p>
    <w:p>
      <w:pPr>
        <w:jc w:val="both"/>
        <w:ind w:right="240"/>
        <w:spacing w:after="0" w:line="236" w:lineRule="auto"/>
        <w:rPr>
          <w:sz w:val="20"/>
          <w:szCs w:val="20"/>
          <w:color w:val="auto"/>
        </w:rPr>
      </w:pPr>
      <w:r>
        <w:rPr>
          <w:rFonts w:ascii="Arial" w:cs="Arial" w:eastAsia="Arial" w:hAnsi="Arial"/>
          <w:sz w:val="16"/>
          <w:szCs w:val="16"/>
          <w:color w:val="auto"/>
        </w:rPr>
        <w:t>Non-employee directors may elect to convert a portion or all of their calendar year annual retainers otherwise payable in cash into shares of our common stock. Retainers earned after the date a director makes such election for a calendar year are issued in shares of our common stock in December of that year, the number of which is determined by dividing the dollar amount of the retainers earned in the calendar year and elected to be converted into shares of our common stock by the closing price of our common stock on the date that the shares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-573405</wp:posOffset>
            </wp:positionV>
            <wp:extent cx="6990080" cy="5930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0080" cy="59309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1820" w:space="160"/>
            <w:col w:w="9260"/>
          </w:cols>
          <w:pgMar w:left="320" w:top="1097"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1880" w:type="dxa"/>
            <w:vAlign w:val="bottom"/>
          </w:tcPr>
          <w:p>
            <w:pPr>
              <w:ind w:left="20"/>
              <w:spacing w:after="0"/>
              <w:rPr>
                <w:sz w:val="20"/>
                <w:szCs w:val="20"/>
                <w:color w:val="auto"/>
              </w:rPr>
            </w:pPr>
            <w:r>
              <w:rPr>
                <w:rFonts w:ascii="Arial" w:cs="Arial" w:eastAsia="Arial" w:hAnsi="Arial"/>
                <w:sz w:val="16"/>
                <w:szCs w:val="16"/>
                <w:color w:val="auto"/>
              </w:rPr>
              <w:t>Deferred Compensation</w:t>
            </w:r>
          </w:p>
        </w:tc>
        <w:tc>
          <w:tcPr>
            <w:tcW w:w="9140" w:type="dxa"/>
            <w:vAlign w:val="bottom"/>
          </w:tcPr>
          <w:p>
            <w:pPr>
              <w:ind w:left="100"/>
              <w:spacing w:after="0"/>
              <w:rPr>
                <w:sz w:val="20"/>
                <w:szCs w:val="20"/>
                <w:color w:val="auto"/>
              </w:rPr>
            </w:pPr>
            <w:r>
              <w:rPr>
                <w:rFonts w:ascii="Arial" w:cs="Arial" w:eastAsia="Arial" w:hAnsi="Arial"/>
                <w:sz w:val="16"/>
                <w:szCs w:val="16"/>
                <w:color w:val="auto"/>
              </w:rPr>
              <w:t>Non-employee directors may elect to defer receipt of all or a part of their stock award and/or cash compensation on a calendar</w:t>
            </w:r>
          </w:p>
        </w:tc>
      </w:tr>
      <w:tr>
        <w:trPr>
          <w:trHeight w:val="173"/>
        </w:trPr>
        <w:tc>
          <w:tcPr>
            <w:tcW w:w="1880" w:type="dxa"/>
            <w:vAlign w:val="bottom"/>
          </w:tcPr>
          <w:p>
            <w:pPr>
              <w:ind w:left="20"/>
              <w:spacing w:after="0" w:line="174" w:lineRule="exact"/>
              <w:rPr>
                <w:sz w:val="20"/>
                <w:szCs w:val="20"/>
                <w:color w:val="auto"/>
              </w:rPr>
            </w:pPr>
            <w:r>
              <w:rPr>
                <w:rFonts w:ascii="Arial" w:cs="Arial" w:eastAsia="Arial" w:hAnsi="Arial"/>
                <w:sz w:val="16"/>
                <w:szCs w:val="16"/>
                <w:color w:val="auto"/>
              </w:rPr>
              <w:t>Plan</w:t>
            </w:r>
          </w:p>
        </w:tc>
        <w:tc>
          <w:tcPr>
            <w:tcW w:w="9140" w:type="dxa"/>
            <w:vAlign w:val="bottom"/>
          </w:tcPr>
          <w:p>
            <w:pPr>
              <w:ind w:left="100"/>
              <w:spacing w:after="0" w:line="174" w:lineRule="exact"/>
              <w:rPr>
                <w:sz w:val="20"/>
                <w:szCs w:val="20"/>
                <w:color w:val="auto"/>
              </w:rPr>
            </w:pPr>
            <w:r>
              <w:rPr>
                <w:rFonts w:ascii="Arial" w:cs="Arial" w:eastAsia="Arial" w:hAnsi="Arial"/>
                <w:sz w:val="16"/>
                <w:szCs w:val="16"/>
                <w:color w:val="auto"/>
              </w:rPr>
              <w:t>year basis under The Toro Company Deferred Compensation Plan for Non-Employee Directors, or the Deferred Plan for</w:t>
            </w:r>
          </w:p>
        </w:tc>
      </w:tr>
      <w:tr>
        <w:trPr>
          <w:trHeight w:val="173"/>
        </w:trPr>
        <w:tc>
          <w:tcPr>
            <w:tcW w:w="1880" w:type="dxa"/>
            <w:vAlign w:val="bottom"/>
          </w:tcPr>
          <w:p>
            <w:pPr>
              <w:spacing w:after="0"/>
              <w:rPr>
                <w:sz w:val="15"/>
                <w:szCs w:val="15"/>
                <w:color w:val="auto"/>
              </w:rPr>
            </w:pPr>
          </w:p>
        </w:tc>
        <w:tc>
          <w:tcPr>
            <w:tcW w:w="9140" w:type="dxa"/>
            <w:vAlign w:val="bottom"/>
          </w:tcPr>
          <w:p>
            <w:pPr>
              <w:ind w:left="100"/>
              <w:spacing w:after="0" w:line="174" w:lineRule="exact"/>
              <w:rPr>
                <w:sz w:val="20"/>
                <w:szCs w:val="20"/>
                <w:color w:val="auto"/>
              </w:rPr>
            </w:pPr>
            <w:r>
              <w:rPr>
                <w:rFonts w:ascii="Arial" w:cs="Arial" w:eastAsia="Arial" w:hAnsi="Arial"/>
                <w:sz w:val="16"/>
                <w:szCs w:val="16"/>
                <w:color w:val="auto"/>
              </w:rPr>
              <w:t>Directors. Because the value of a director's deferred compensation account fluctuates, as applicable, based on the market</w:t>
            </w:r>
          </w:p>
        </w:tc>
      </w:tr>
      <w:tr>
        <w:trPr>
          <w:trHeight w:val="173"/>
        </w:trPr>
        <w:tc>
          <w:tcPr>
            <w:tcW w:w="1880" w:type="dxa"/>
            <w:vAlign w:val="bottom"/>
          </w:tcPr>
          <w:p>
            <w:pPr>
              <w:spacing w:after="0"/>
              <w:rPr>
                <w:sz w:val="15"/>
                <w:szCs w:val="15"/>
                <w:color w:val="auto"/>
              </w:rPr>
            </w:pPr>
          </w:p>
        </w:tc>
        <w:tc>
          <w:tcPr>
            <w:tcW w:w="9140" w:type="dxa"/>
            <w:vAlign w:val="bottom"/>
          </w:tcPr>
          <w:p>
            <w:pPr>
              <w:ind w:left="100"/>
              <w:spacing w:after="0" w:line="174" w:lineRule="exact"/>
              <w:rPr>
                <w:sz w:val="20"/>
                <w:szCs w:val="20"/>
                <w:color w:val="auto"/>
              </w:rPr>
            </w:pPr>
            <w:r>
              <w:rPr>
                <w:rFonts w:ascii="Arial" w:cs="Arial" w:eastAsia="Arial" w:hAnsi="Arial"/>
                <w:sz w:val="16"/>
                <w:szCs w:val="16"/>
                <w:color w:val="auto"/>
              </w:rPr>
              <w:t>value of our common stock or based on a rate of return on funds that are comparable to funds available in The Toro Company</w:t>
            </w:r>
          </w:p>
        </w:tc>
      </w:tr>
      <w:tr>
        <w:trPr>
          <w:trHeight w:val="187"/>
        </w:trPr>
        <w:tc>
          <w:tcPr>
            <w:tcW w:w="1880" w:type="dxa"/>
            <w:vAlign w:val="bottom"/>
          </w:tcPr>
          <w:p>
            <w:pPr>
              <w:spacing w:after="0"/>
              <w:rPr>
                <w:sz w:val="16"/>
                <w:szCs w:val="16"/>
                <w:color w:val="auto"/>
              </w:rPr>
            </w:pPr>
          </w:p>
        </w:tc>
        <w:tc>
          <w:tcPr>
            <w:tcW w:w="9140" w:type="dxa"/>
            <w:vAlign w:val="bottom"/>
          </w:tcPr>
          <w:p>
            <w:pPr>
              <w:ind w:left="100"/>
              <w:spacing w:after="0"/>
              <w:rPr>
                <w:sz w:val="20"/>
                <w:szCs w:val="20"/>
                <w:color w:val="auto"/>
              </w:rPr>
            </w:pPr>
            <w:r>
              <w:rPr>
                <w:rFonts w:ascii="Arial" w:cs="Arial" w:eastAsia="Arial" w:hAnsi="Arial"/>
                <w:sz w:val="16"/>
                <w:szCs w:val="16"/>
                <w:color w:val="auto"/>
              </w:rPr>
              <w:t>Retirement Plan, or Retirement Plan, earnings on deferred compensation are not preferential. Dividends paid on our common</w:t>
            </w:r>
          </w:p>
        </w:tc>
      </w:tr>
      <w:tr>
        <w:trPr>
          <w:trHeight w:val="173"/>
        </w:trPr>
        <w:tc>
          <w:tcPr>
            <w:tcW w:w="1880" w:type="dxa"/>
            <w:vAlign w:val="bottom"/>
          </w:tcPr>
          <w:p>
            <w:pPr>
              <w:spacing w:after="0"/>
              <w:rPr>
                <w:sz w:val="15"/>
                <w:szCs w:val="15"/>
                <w:color w:val="auto"/>
              </w:rPr>
            </w:pPr>
          </w:p>
        </w:tc>
        <w:tc>
          <w:tcPr>
            <w:tcW w:w="9140" w:type="dxa"/>
            <w:vAlign w:val="bottom"/>
          </w:tcPr>
          <w:p>
            <w:pPr>
              <w:ind w:left="100"/>
              <w:spacing w:after="0" w:line="174" w:lineRule="exact"/>
              <w:rPr>
                <w:sz w:val="20"/>
                <w:szCs w:val="20"/>
                <w:color w:val="auto"/>
              </w:rPr>
            </w:pPr>
            <w:r>
              <w:rPr>
                <w:rFonts w:ascii="Arial" w:cs="Arial" w:eastAsia="Arial" w:hAnsi="Arial"/>
                <w:sz w:val="16"/>
                <w:szCs w:val="16"/>
                <w:color w:val="auto"/>
              </w:rPr>
              <w:t>stock are credited to a director's account as additional common stock units. A director is fully vested in his or her deferred</w:t>
            </w:r>
          </w:p>
        </w:tc>
      </w:tr>
      <w:tr>
        <w:trPr>
          <w:trHeight w:val="173"/>
        </w:trPr>
        <w:tc>
          <w:tcPr>
            <w:tcW w:w="1880" w:type="dxa"/>
            <w:vAlign w:val="bottom"/>
          </w:tcPr>
          <w:p>
            <w:pPr>
              <w:spacing w:after="0"/>
              <w:rPr>
                <w:sz w:val="15"/>
                <w:szCs w:val="15"/>
                <w:color w:val="auto"/>
              </w:rPr>
            </w:pPr>
          </w:p>
        </w:tc>
        <w:tc>
          <w:tcPr>
            <w:tcW w:w="9140" w:type="dxa"/>
            <w:vAlign w:val="bottom"/>
          </w:tcPr>
          <w:p>
            <w:pPr>
              <w:ind w:left="100"/>
              <w:spacing w:after="0" w:line="174" w:lineRule="exact"/>
              <w:rPr>
                <w:sz w:val="20"/>
                <w:szCs w:val="20"/>
                <w:color w:val="auto"/>
              </w:rPr>
            </w:pPr>
            <w:r>
              <w:rPr>
                <w:rFonts w:ascii="Arial" w:cs="Arial" w:eastAsia="Arial" w:hAnsi="Arial"/>
                <w:sz w:val="16"/>
                <w:szCs w:val="16"/>
                <w:color w:val="auto"/>
              </w:rPr>
              <w:t>compensation account. Distributions under the Deferred Plan for Directors are payable in accordance with the director</w:t>
            </w:r>
          </w:p>
        </w:tc>
      </w:tr>
      <w:tr>
        <w:trPr>
          <w:trHeight w:val="173"/>
        </w:trPr>
        <w:tc>
          <w:tcPr>
            <w:tcW w:w="1880" w:type="dxa"/>
            <w:vAlign w:val="bottom"/>
          </w:tcPr>
          <w:p>
            <w:pPr>
              <w:spacing w:after="0"/>
              <w:rPr>
                <w:sz w:val="15"/>
                <w:szCs w:val="15"/>
                <w:color w:val="auto"/>
              </w:rPr>
            </w:pPr>
          </w:p>
        </w:tc>
        <w:tc>
          <w:tcPr>
            <w:tcW w:w="9140" w:type="dxa"/>
            <w:vAlign w:val="bottom"/>
          </w:tcPr>
          <w:p>
            <w:pPr>
              <w:ind w:left="100"/>
              <w:spacing w:after="0" w:line="174" w:lineRule="exact"/>
              <w:rPr>
                <w:sz w:val="20"/>
                <w:szCs w:val="20"/>
                <w:color w:val="auto"/>
              </w:rPr>
            </w:pPr>
            <w:r>
              <w:rPr>
                <w:rFonts w:ascii="Arial" w:cs="Arial" w:eastAsia="Arial" w:hAnsi="Arial"/>
                <w:sz w:val="16"/>
                <w:szCs w:val="16"/>
                <w:color w:val="auto"/>
              </w:rPr>
              <w:t>participant's prior distribution elections upon the earliest of retirement, prior to retirement if a valid election has been made or in</w:t>
            </w:r>
          </w:p>
        </w:tc>
      </w:tr>
      <w:tr>
        <w:trPr>
          <w:trHeight w:val="211"/>
        </w:trPr>
        <w:tc>
          <w:tcPr>
            <w:tcW w:w="1880" w:type="dxa"/>
            <w:vAlign w:val="bottom"/>
          </w:tcPr>
          <w:p>
            <w:pPr>
              <w:spacing w:after="0"/>
              <w:rPr>
                <w:sz w:val="18"/>
                <w:szCs w:val="18"/>
                <w:color w:val="auto"/>
              </w:rPr>
            </w:pPr>
          </w:p>
        </w:tc>
        <w:tc>
          <w:tcPr>
            <w:tcW w:w="9140" w:type="dxa"/>
            <w:vAlign w:val="bottom"/>
          </w:tcPr>
          <w:p>
            <w:pPr>
              <w:ind w:left="100"/>
              <w:spacing w:after="0"/>
              <w:rPr>
                <w:sz w:val="20"/>
                <w:szCs w:val="20"/>
                <w:color w:val="auto"/>
              </w:rPr>
            </w:pPr>
            <w:r>
              <w:rPr>
                <w:rFonts w:ascii="Arial" w:cs="Arial" w:eastAsia="Arial" w:hAnsi="Arial"/>
                <w:sz w:val="16"/>
                <w:szCs w:val="16"/>
                <w:color w:val="auto"/>
              </w:rPr>
              <w:t>an unforeseeable financial emergency.</w:t>
            </w:r>
          </w:p>
        </w:tc>
      </w:tr>
      <w:tr>
        <w:trPr>
          <w:trHeight w:val="30"/>
        </w:trPr>
        <w:tc>
          <w:tcPr>
            <w:tcW w:w="18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173"/>
        </w:trPr>
        <w:tc>
          <w:tcPr>
            <w:tcW w:w="1880" w:type="dxa"/>
            <w:vAlign w:val="bottom"/>
            <w:shd w:val="clear" w:color="auto" w:fill="DBDBDB"/>
          </w:tcPr>
          <w:p>
            <w:pPr>
              <w:ind w:left="20"/>
              <w:spacing w:after="0" w:line="173" w:lineRule="exact"/>
              <w:rPr>
                <w:sz w:val="20"/>
                <w:szCs w:val="20"/>
                <w:color w:val="auto"/>
              </w:rPr>
            </w:pPr>
            <w:r>
              <w:rPr>
                <w:rFonts w:ascii="Arial" w:cs="Arial" w:eastAsia="Arial" w:hAnsi="Arial"/>
                <w:sz w:val="16"/>
                <w:szCs w:val="16"/>
                <w:color w:val="auto"/>
              </w:rPr>
              <w:t>Company Products</w:t>
            </w:r>
          </w:p>
        </w:tc>
        <w:tc>
          <w:tcPr>
            <w:tcW w:w="9140" w:type="dxa"/>
            <w:vAlign w:val="bottom"/>
            <w:shd w:val="clear" w:color="auto" w:fill="DBDBDB"/>
          </w:tcPr>
          <w:p>
            <w:pPr>
              <w:ind w:left="100"/>
              <w:spacing w:after="0" w:line="173" w:lineRule="exact"/>
              <w:rPr>
                <w:sz w:val="20"/>
                <w:szCs w:val="20"/>
                <w:color w:val="auto"/>
              </w:rPr>
            </w:pPr>
            <w:r>
              <w:rPr>
                <w:rFonts w:ascii="Arial" w:cs="Arial" w:eastAsia="Arial" w:hAnsi="Arial"/>
                <w:sz w:val="16"/>
                <w:szCs w:val="16"/>
                <w:color w:val="auto"/>
              </w:rPr>
              <w:t>Each of our non-employee directors is entitled to receive certain Company products and related parts, service and accessories</w:t>
            </w:r>
          </w:p>
        </w:tc>
      </w:tr>
      <w:tr>
        <w:trPr>
          <w:trHeight w:val="173"/>
        </w:trPr>
        <w:tc>
          <w:tcPr>
            <w:tcW w:w="1880" w:type="dxa"/>
            <w:vAlign w:val="bottom"/>
            <w:shd w:val="clear" w:color="auto" w:fill="DBDBDB"/>
          </w:tcPr>
          <w:p>
            <w:pPr>
              <w:spacing w:after="0"/>
              <w:rPr>
                <w:sz w:val="15"/>
                <w:szCs w:val="15"/>
                <w:color w:val="auto"/>
              </w:rPr>
            </w:pPr>
          </w:p>
        </w:tc>
        <w:tc>
          <w:tcPr>
            <w:tcW w:w="9140" w:type="dxa"/>
            <w:vAlign w:val="bottom"/>
            <w:shd w:val="clear" w:color="auto" w:fill="DBDBDB"/>
          </w:tcPr>
          <w:p>
            <w:pPr>
              <w:ind w:left="100"/>
              <w:spacing w:after="0" w:line="174" w:lineRule="exact"/>
              <w:rPr>
                <w:sz w:val="20"/>
                <w:szCs w:val="20"/>
                <w:color w:val="auto"/>
              </w:rPr>
            </w:pPr>
            <w:r>
              <w:rPr>
                <w:rFonts w:ascii="Arial" w:cs="Arial" w:eastAsia="Arial" w:hAnsi="Arial"/>
                <w:sz w:val="16"/>
                <w:szCs w:val="16"/>
                <w:color w:val="auto"/>
              </w:rPr>
              <w:t>for his or her personal use, at no cost; provided, however, that directors are responsible for payment of applicable taxes</w:t>
            </w:r>
          </w:p>
        </w:tc>
      </w:tr>
      <w:tr>
        <w:trPr>
          <w:trHeight w:val="173"/>
        </w:trPr>
        <w:tc>
          <w:tcPr>
            <w:tcW w:w="1880" w:type="dxa"/>
            <w:vAlign w:val="bottom"/>
            <w:shd w:val="clear" w:color="auto" w:fill="DBDBDB"/>
          </w:tcPr>
          <w:p>
            <w:pPr>
              <w:spacing w:after="0"/>
              <w:rPr>
                <w:sz w:val="15"/>
                <w:szCs w:val="15"/>
                <w:color w:val="auto"/>
              </w:rPr>
            </w:pPr>
          </w:p>
        </w:tc>
        <w:tc>
          <w:tcPr>
            <w:tcW w:w="9140" w:type="dxa"/>
            <w:vAlign w:val="bottom"/>
            <w:shd w:val="clear" w:color="auto" w:fill="DBDBDB"/>
          </w:tcPr>
          <w:p>
            <w:pPr>
              <w:ind w:left="100"/>
              <w:spacing w:after="0" w:line="174" w:lineRule="exact"/>
              <w:rPr>
                <w:sz w:val="20"/>
                <w:szCs w:val="20"/>
                <w:color w:val="auto"/>
              </w:rPr>
            </w:pPr>
            <w:r>
              <w:rPr>
                <w:rFonts w:ascii="Arial" w:cs="Arial" w:eastAsia="Arial" w:hAnsi="Arial"/>
                <w:sz w:val="16"/>
                <w:szCs w:val="16"/>
                <w:color w:val="auto"/>
              </w:rPr>
              <w:t>attributable to the value of such items. The value is deemed to be our distributor net price or its equivalent, which is also the</w:t>
            </w:r>
          </w:p>
        </w:tc>
      </w:tr>
      <w:tr>
        <w:trPr>
          <w:trHeight w:val="221"/>
        </w:trPr>
        <w:tc>
          <w:tcPr>
            <w:tcW w:w="1880" w:type="dxa"/>
            <w:vAlign w:val="bottom"/>
            <w:tcBorders>
              <w:bottom w:val="single" w:sz="8" w:color="DBDBDB"/>
            </w:tcBorders>
            <w:shd w:val="clear" w:color="auto" w:fill="DBDBDB"/>
          </w:tcPr>
          <w:p>
            <w:pPr>
              <w:spacing w:after="0"/>
              <w:rPr>
                <w:sz w:val="19"/>
                <w:szCs w:val="19"/>
                <w:color w:val="auto"/>
              </w:rPr>
            </w:pPr>
          </w:p>
        </w:tc>
        <w:tc>
          <w:tcPr>
            <w:tcW w:w="914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6"/>
                <w:szCs w:val="16"/>
                <w:color w:val="auto"/>
              </w:rPr>
              <w:t>price at which such items are generally available to our employees for purchase.</w:t>
            </w:r>
          </w:p>
        </w:tc>
      </w:tr>
      <w:tr>
        <w:trPr>
          <w:trHeight w:val="173"/>
        </w:trPr>
        <w:tc>
          <w:tcPr>
            <w:tcW w:w="1880" w:type="dxa"/>
            <w:vAlign w:val="bottom"/>
          </w:tcPr>
          <w:p>
            <w:pPr>
              <w:ind w:left="20"/>
              <w:spacing w:after="0" w:line="173" w:lineRule="exact"/>
              <w:rPr>
                <w:sz w:val="20"/>
                <w:szCs w:val="20"/>
                <w:color w:val="auto"/>
              </w:rPr>
            </w:pPr>
            <w:r>
              <w:rPr>
                <w:rFonts w:ascii="Arial" w:cs="Arial" w:eastAsia="Arial" w:hAnsi="Arial"/>
                <w:sz w:val="16"/>
                <w:szCs w:val="16"/>
                <w:color w:val="auto"/>
              </w:rPr>
              <w:t>Charitable Giving</w:t>
            </w:r>
          </w:p>
        </w:tc>
        <w:tc>
          <w:tcPr>
            <w:tcW w:w="9140" w:type="dxa"/>
            <w:vAlign w:val="bottom"/>
          </w:tcPr>
          <w:p>
            <w:pPr>
              <w:ind w:left="100"/>
              <w:spacing w:after="0" w:line="173" w:lineRule="exact"/>
              <w:rPr>
                <w:sz w:val="20"/>
                <w:szCs w:val="20"/>
                <w:color w:val="auto"/>
              </w:rPr>
            </w:pPr>
            <w:r>
              <w:rPr>
                <w:rFonts w:ascii="Arial" w:cs="Arial" w:eastAsia="Arial" w:hAnsi="Arial"/>
                <w:sz w:val="16"/>
                <w:szCs w:val="16"/>
                <w:color w:val="auto"/>
              </w:rPr>
              <w:t>We offer a matching gift program for our non-employee directors, similar to the matching gift program offered to our employees,</w:t>
            </w:r>
          </w:p>
        </w:tc>
      </w:tr>
      <w:tr>
        <w:trPr>
          <w:trHeight w:val="173"/>
        </w:trPr>
        <w:tc>
          <w:tcPr>
            <w:tcW w:w="1880" w:type="dxa"/>
            <w:vAlign w:val="bottom"/>
          </w:tcPr>
          <w:p>
            <w:pPr>
              <w:spacing w:after="0"/>
              <w:rPr>
                <w:sz w:val="15"/>
                <w:szCs w:val="15"/>
                <w:color w:val="auto"/>
              </w:rPr>
            </w:pPr>
          </w:p>
        </w:tc>
        <w:tc>
          <w:tcPr>
            <w:tcW w:w="9140" w:type="dxa"/>
            <w:vAlign w:val="bottom"/>
          </w:tcPr>
          <w:p>
            <w:pPr>
              <w:ind w:left="100"/>
              <w:spacing w:after="0" w:line="174" w:lineRule="exact"/>
              <w:rPr>
                <w:sz w:val="20"/>
                <w:szCs w:val="20"/>
                <w:color w:val="auto"/>
              </w:rPr>
            </w:pPr>
            <w:r>
              <w:rPr>
                <w:rFonts w:ascii="Arial" w:cs="Arial" w:eastAsia="Arial" w:hAnsi="Arial"/>
                <w:sz w:val="16"/>
                <w:szCs w:val="16"/>
                <w:color w:val="auto"/>
              </w:rPr>
              <w:t>which provides that a gift or gifts by a director to one or more tax exempt 501(c)(3) charitable organizations located in the</w:t>
            </w:r>
          </w:p>
        </w:tc>
      </w:tr>
      <w:tr>
        <w:trPr>
          <w:trHeight w:val="211"/>
        </w:trPr>
        <w:tc>
          <w:tcPr>
            <w:tcW w:w="1880" w:type="dxa"/>
            <w:vAlign w:val="bottom"/>
          </w:tcPr>
          <w:p>
            <w:pPr>
              <w:spacing w:after="0"/>
              <w:rPr>
                <w:sz w:val="18"/>
                <w:szCs w:val="18"/>
                <w:color w:val="auto"/>
              </w:rPr>
            </w:pPr>
          </w:p>
        </w:tc>
        <w:tc>
          <w:tcPr>
            <w:tcW w:w="9140" w:type="dxa"/>
            <w:vAlign w:val="bottom"/>
          </w:tcPr>
          <w:p>
            <w:pPr>
              <w:ind w:left="100"/>
              <w:spacing w:after="0"/>
              <w:rPr>
                <w:sz w:val="20"/>
                <w:szCs w:val="20"/>
                <w:color w:val="auto"/>
              </w:rPr>
            </w:pPr>
            <w:r>
              <w:rPr>
                <w:rFonts w:ascii="Arial" w:cs="Arial" w:eastAsia="Arial" w:hAnsi="Arial"/>
                <w:sz w:val="16"/>
                <w:szCs w:val="16"/>
                <w:color w:val="auto"/>
              </w:rPr>
              <w:t>United States will be matched by us in an aggregate amount of up to $1,000 per director per year.</w:t>
            </w:r>
          </w:p>
        </w:tc>
      </w:tr>
      <w:tr>
        <w:trPr>
          <w:trHeight w:val="30"/>
        </w:trPr>
        <w:tc>
          <w:tcPr>
            <w:tcW w:w="18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173"/>
        </w:trPr>
        <w:tc>
          <w:tcPr>
            <w:tcW w:w="1880" w:type="dxa"/>
            <w:vAlign w:val="bottom"/>
            <w:shd w:val="clear" w:color="auto" w:fill="DBDBDB"/>
          </w:tcPr>
          <w:p>
            <w:pPr>
              <w:ind w:left="20"/>
              <w:spacing w:after="0" w:line="173" w:lineRule="exact"/>
              <w:rPr>
                <w:sz w:val="20"/>
                <w:szCs w:val="20"/>
                <w:color w:val="auto"/>
              </w:rPr>
            </w:pPr>
            <w:r>
              <w:rPr>
                <w:rFonts w:ascii="Arial" w:cs="Arial" w:eastAsia="Arial" w:hAnsi="Arial"/>
                <w:sz w:val="16"/>
                <w:szCs w:val="16"/>
                <w:color w:val="auto"/>
              </w:rPr>
              <w:t>Indemnification and D&amp;O</w:t>
            </w:r>
          </w:p>
        </w:tc>
        <w:tc>
          <w:tcPr>
            <w:tcW w:w="9140" w:type="dxa"/>
            <w:vAlign w:val="bottom"/>
            <w:shd w:val="clear" w:color="auto" w:fill="DBDBDB"/>
          </w:tcPr>
          <w:p>
            <w:pPr>
              <w:ind w:left="100"/>
              <w:spacing w:after="0" w:line="173" w:lineRule="exact"/>
              <w:rPr>
                <w:sz w:val="20"/>
                <w:szCs w:val="20"/>
                <w:color w:val="auto"/>
              </w:rPr>
            </w:pPr>
            <w:r>
              <w:rPr>
                <w:rFonts w:ascii="Arial" w:cs="Arial" w:eastAsia="Arial" w:hAnsi="Arial"/>
                <w:sz w:val="16"/>
                <w:szCs w:val="16"/>
                <w:color w:val="auto"/>
              </w:rPr>
              <w:t>Each non-employee director is a party to an indemnification agreement with us pursuant to which we have agreed to provide</w:t>
            </w:r>
          </w:p>
        </w:tc>
      </w:tr>
      <w:tr>
        <w:trPr>
          <w:trHeight w:val="173"/>
        </w:trPr>
        <w:tc>
          <w:tcPr>
            <w:tcW w:w="1880" w:type="dxa"/>
            <w:vAlign w:val="bottom"/>
            <w:shd w:val="clear" w:color="auto" w:fill="DBDBDB"/>
          </w:tcPr>
          <w:p>
            <w:pPr>
              <w:ind w:left="20"/>
              <w:spacing w:after="0" w:line="174" w:lineRule="exact"/>
              <w:rPr>
                <w:sz w:val="20"/>
                <w:szCs w:val="20"/>
                <w:color w:val="auto"/>
              </w:rPr>
            </w:pPr>
            <w:r>
              <w:rPr>
                <w:rFonts w:ascii="Arial" w:cs="Arial" w:eastAsia="Arial" w:hAnsi="Arial"/>
                <w:sz w:val="16"/>
                <w:szCs w:val="16"/>
                <w:color w:val="auto"/>
              </w:rPr>
              <w:t>Insurance</w:t>
            </w:r>
          </w:p>
        </w:tc>
        <w:tc>
          <w:tcPr>
            <w:tcW w:w="9140" w:type="dxa"/>
            <w:vAlign w:val="bottom"/>
            <w:shd w:val="clear" w:color="auto" w:fill="DBDBDB"/>
          </w:tcPr>
          <w:p>
            <w:pPr>
              <w:ind w:left="100"/>
              <w:spacing w:after="0" w:line="174" w:lineRule="exact"/>
              <w:rPr>
                <w:sz w:val="20"/>
                <w:szCs w:val="20"/>
                <w:color w:val="auto"/>
              </w:rPr>
            </w:pPr>
            <w:r>
              <w:rPr>
                <w:rFonts w:ascii="Arial" w:cs="Arial" w:eastAsia="Arial" w:hAnsi="Arial"/>
                <w:sz w:val="16"/>
                <w:szCs w:val="16"/>
                <w:color w:val="auto"/>
              </w:rPr>
              <w:t>indemnification and advancement of expenses to the fullest extent permitted by Delaware law and our Restated Certificate of</w:t>
            </w:r>
          </w:p>
        </w:tc>
      </w:tr>
      <w:tr>
        <w:trPr>
          <w:trHeight w:val="211"/>
        </w:trPr>
        <w:tc>
          <w:tcPr>
            <w:tcW w:w="1880" w:type="dxa"/>
            <w:vAlign w:val="bottom"/>
            <w:shd w:val="clear" w:color="auto" w:fill="DBDBDB"/>
          </w:tcPr>
          <w:p>
            <w:pPr>
              <w:spacing w:after="0"/>
              <w:rPr>
                <w:sz w:val="18"/>
                <w:szCs w:val="18"/>
                <w:color w:val="auto"/>
              </w:rPr>
            </w:pPr>
          </w:p>
        </w:tc>
        <w:tc>
          <w:tcPr>
            <w:tcW w:w="9140" w:type="dxa"/>
            <w:vAlign w:val="bottom"/>
            <w:shd w:val="clear" w:color="auto" w:fill="DBDBDB"/>
          </w:tcPr>
          <w:p>
            <w:pPr>
              <w:ind w:left="100"/>
              <w:spacing w:after="0"/>
              <w:rPr>
                <w:sz w:val="20"/>
                <w:szCs w:val="20"/>
                <w:color w:val="auto"/>
              </w:rPr>
            </w:pPr>
            <w:r>
              <w:rPr>
                <w:rFonts w:ascii="Arial" w:cs="Arial" w:eastAsia="Arial" w:hAnsi="Arial"/>
                <w:sz w:val="16"/>
                <w:szCs w:val="16"/>
                <w:color w:val="auto"/>
              </w:rPr>
              <w:t>Incorporation and continued coverage under our D&amp;O insurance.</w:t>
            </w:r>
          </w:p>
        </w:tc>
      </w:tr>
      <w:tr>
        <w:trPr>
          <w:trHeight w:val="30"/>
        </w:trPr>
        <w:tc>
          <w:tcPr>
            <w:tcW w:w="1880" w:type="dxa"/>
            <w:vAlign w:val="bottom"/>
            <w:shd w:val="clear" w:color="auto" w:fill="DBDBDB"/>
          </w:tcPr>
          <w:p>
            <w:pPr>
              <w:spacing w:after="0"/>
              <w:rPr>
                <w:sz w:val="2"/>
                <w:szCs w:val="2"/>
                <w:color w:val="auto"/>
              </w:rPr>
            </w:pPr>
          </w:p>
        </w:tc>
        <w:tc>
          <w:tcPr>
            <w:tcW w:w="9140" w:type="dxa"/>
            <w:vAlign w:val="bottom"/>
            <w:shd w:val="clear" w:color="auto" w:fill="DBDBDB"/>
          </w:tcPr>
          <w:p>
            <w:pPr>
              <w:spacing w:after="0"/>
              <w:rPr>
                <w:sz w:val="2"/>
                <w:szCs w:val="2"/>
                <w:color w:val="auto"/>
              </w:rPr>
            </w:pPr>
          </w:p>
        </w:tc>
      </w:tr>
    </w:tbl>
    <w:p>
      <w:pPr>
        <w:spacing w:after="0" w:line="155" w:lineRule="exact"/>
        <w:rPr>
          <w:sz w:val="20"/>
          <w:szCs w:val="20"/>
          <w:color w:val="auto"/>
        </w:rPr>
      </w:pPr>
    </w:p>
    <w:p>
      <w:pPr>
        <w:jc w:val="both"/>
        <w:ind w:firstLine="640"/>
        <w:spacing w:after="0" w:line="248" w:lineRule="auto"/>
        <w:rPr>
          <w:sz w:val="20"/>
          <w:szCs w:val="20"/>
          <w:color w:val="auto"/>
        </w:rPr>
      </w:pPr>
      <w:r>
        <w:rPr>
          <w:rFonts w:ascii="Arial" w:cs="Arial" w:eastAsia="Arial" w:hAnsi="Arial"/>
          <w:sz w:val="18"/>
          <w:szCs w:val="18"/>
          <w:b w:val="1"/>
          <w:bCs w:val="1"/>
          <w:color w:val="auto"/>
        </w:rPr>
        <w:t xml:space="preserve">Stock Option Vesting. </w:t>
      </w:r>
      <w:r>
        <w:rPr>
          <w:rFonts w:ascii="Arial" w:cs="Arial" w:eastAsia="Arial" w:hAnsi="Arial"/>
          <w:sz w:val="18"/>
          <w:szCs w:val="18"/>
          <w:color w:val="auto"/>
        </w:rPr>
        <w:t>Except as described below, stock options granted to our non-employee directors vest in three equal</w:t>
      </w:r>
      <w:r>
        <w:rPr>
          <w:rFonts w:ascii="Arial" w:cs="Arial" w:eastAsia="Arial" w:hAnsi="Arial"/>
          <w:sz w:val="18"/>
          <w:szCs w:val="18"/>
          <w:b w:val="1"/>
          <w:bCs w:val="1"/>
          <w:color w:val="auto"/>
        </w:rPr>
        <w:t xml:space="preserve"> </w:t>
      </w:r>
      <w:r>
        <w:rPr>
          <w:rFonts w:ascii="Arial" w:cs="Arial" w:eastAsia="Arial" w:hAnsi="Arial"/>
          <w:sz w:val="18"/>
          <w:szCs w:val="18"/>
          <w:color w:val="auto"/>
        </w:rPr>
        <w:t>installments on each of the first, second and third year anniversaries of the grant date and remain exercisable for a term of ten years after the grant date.</w:t>
      </w:r>
    </w:p>
    <w:p>
      <w:pPr>
        <w:spacing w:after="0" w:line="54"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If a director becomes disabled or dies, all outstanding unvested stock options will vest in full on the date the director's service ceases by reason of such disability or death and all outstanding stock options may be exercised up to the earlier of the date the stock options expire or one year after the date the director's service ceased by reason of such disability or death.</w:t>
      </w:r>
    </w:p>
    <w:p>
      <w:pPr>
        <w:spacing w:after="0" w:line="55"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18"/>
          <w:szCs w:val="18"/>
          <w:color w:val="auto"/>
        </w:rPr>
        <w:t>If a director has served as a member of the Board for ten full fiscal years or longer and terminates his or her service on the Board, other than due to death or disability, his or her outstanding unvested stock options will continue to vest in accordance with their terms and the</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director may exercise the vested portions of the stock options for up to four years after the director's date of termination, but not later than the date the stock options expire. If a director has served as a member of the Board for less than ten full fiscal years and terminates his or her</w:t>
      </w:r>
    </w:p>
    <w:p>
      <w:pPr>
        <w:spacing w:after="0" w:line="232" w:lineRule="auto"/>
        <w:rPr>
          <w:sz w:val="20"/>
          <w:szCs w:val="20"/>
          <w:color w:val="auto"/>
        </w:rPr>
      </w:pPr>
      <w:r>
        <w:rPr>
          <w:rFonts w:ascii="Arial" w:cs="Arial" w:eastAsia="Arial" w:hAnsi="Arial"/>
          <w:sz w:val="18"/>
          <w:szCs w:val="18"/>
          <w:color w:val="auto"/>
        </w:rPr>
        <w:t>service on the Board, other than due to death or disability, his or her outstanding unvested stock options will expire and be canceled and the</w:t>
      </w:r>
    </w:p>
    <w:p>
      <w:pPr>
        <w:spacing w:after="0" w:line="1"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director may exercise any vested portions of the stock options for up to three months after the director's date of termination, but not later than the date the stock options expire.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25" w:name="page26"/>
    <w:bookmarkEnd w:id="25"/>
    <w:p>
      <w:pPr>
        <w:jc w:val="both"/>
        <w:spacing w:after="0" w:line="262" w:lineRule="auto"/>
        <w:rPr>
          <w:sz w:val="20"/>
          <w:szCs w:val="20"/>
          <w:color w:val="auto"/>
        </w:rPr>
      </w:pPr>
      <w:r>
        <w:rPr>
          <w:rFonts w:ascii="Arial" w:cs="Arial" w:eastAsia="Arial" w:hAnsi="Arial"/>
          <w:sz w:val="18"/>
          <w:szCs w:val="18"/>
          <w:color w:val="auto"/>
        </w:rPr>
        <w:t>independent directors who served during all or part of fiscal 2025 have ten or more fiscal years of service: Gary L. Ellis, D. Christian Koch and James C. O'Rourke.</w:t>
      </w:r>
    </w:p>
    <w:p>
      <w:pPr>
        <w:spacing w:after="0" w:line="42"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If there is a change in control of our Company, stock options held by directors will vest immediately and remain exercisable for the remaining term. The general definition of a change in control for these purposes is described under "Potential Payments upon Termination or Change in Control - Change in Control."</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Director Compensation Highlights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Wingdings" w:cs="Wingdings" w:eastAsia="Wingdings" w:hAnsi="Wingdings"/>
          <w:sz w:val="36"/>
          <w:szCs w:val="36"/>
          <w:b w:val="1"/>
          <w:bCs w:val="1"/>
          <w:color w:val="auto"/>
          <w:shd w:val="clear" w:color="auto" w:fill="C00000"/>
        </w:rPr>
        <w:t>ü</w:t>
      </w:r>
    </w:p>
    <w:p>
      <w:pPr>
        <w:spacing w:after="0" w:line="54" w:lineRule="exact"/>
        <w:rPr>
          <w:sz w:val="20"/>
          <w:szCs w:val="20"/>
          <w:color w:val="auto"/>
        </w:rPr>
      </w:pPr>
    </w:p>
    <w:p>
      <w:pPr>
        <w:ind w:left="20"/>
        <w:spacing w:after="0"/>
        <w:rPr>
          <w:sz w:val="20"/>
          <w:szCs w:val="20"/>
          <w:color w:val="auto"/>
        </w:rPr>
      </w:pPr>
      <w:r>
        <w:rPr>
          <w:rFonts w:ascii="Wingdings" w:cs="Wingdings" w:eastAsia="Wingdings" w:hAnsi="Wingdings"/>
          <w:sz w:val="36"/>
          <w:szCs w:val="36"/>
          <w:b w:val="1"/>
          <w:bCs w:val="1"/>
          <w:color w:val="auto"/>
          <w:shd w:val="clear" w:color="auto" w:fill="C00000"/>
        </w:rPr>
        <w:t>ü</w:t>
      </w:r>
    </w:p>
    <w:p>
      <w:pPr>
        <w:spacing w:after="0" w:line="54" w:lineRule="exact"/>
        <w:rPr>
          <w:sz w:val="20"/>
          <w:szCs w:val="20"/>
          <w:color w:val="auto"/>
        </w:rPr>
      </w:pPr>
    </w:p>
    <w:p>
      <w:pPr>
        <w:ind w:left="20"/>
        <w:spacing w:after="0"/>
        <w:rPr>
          <w:sz w:val="20"/>
          <w:szCs w:val="20"/>
          <w:color w:val="auto"/>
        </w:rPr>
      </w:pPr>
      <w:r>
        <w:rPr>
          <w:rFonts w:ascii="Wingdings" w:cs="Wingdings" w:eastAsia="Wingdings" w:hAnsi="Wingdings"/>
          <w:sz w:val="36"/>
          <w:szCs w:val="36"/>
          <w:b w:val="1"/>
          <w:bCs w:val="1"/>
          <w:color w:val="auto"/>
          <w:shd w:val="clear" w:color="auto" w:fill="C00000"/>
        </w:rPr>
        <w:t>ü</w:t>
      </w:r>
    </w:p>
    <w:p>
      <w:pPr>
        <w:spacing w:after="0" w:line="54" w:lineRule="exact"/>
        <w:rPr>
          <w:sz w:val="20"/>
          <w:szCs w:val="20"/>
          <w:color w:val="auto"/>
        </w:rPr>
      </w:pPr>
    </w:p>
    <w:p>
      <w:pPr>
        <w:ind w:left="20"/>
        <w:spacing w:after="0"/>
        <w:rPr>
          <w:sz w:val="20"/>
          <w:szCs w:val="20"/>
          <w:color w:val="auto"/>
        </w:rPr>
      </w:pPr>
      <w:r>
        <w:rPr>
          <w:rFonts w:ascii="Wingdings" w:cs="Wingdings" w:eastAsia="Wingdings" w:hAnsi="Wingdings"/>
          <w:sz w:val="36"/>
          <w:szCs w:val="36"/>
          <w:b w:val="1"/>
          <w:bCs w:val="1"/>
          <w:color w:val="auto"/>
          <w:shd w:val="clear" w:color="auto" w:fill="C00000"/>
        </w:rPr>
        <w:t>ü</w:t>
      </w:r>
    </w:p>
    <w:p>
      <w:pPr>
        <w:spacing w:after="0" w:line="54" w:lineRule="exact"/>
        <w:rPr>
          <w:sz w:val="20"/>
          <w:szCs w:val="20"/>
          <w:color w:val="auto"/>
        </w:rPr>
      </w:pPr>
    </w:p>
    <w:p>
      <w:pPr>
        <w:ind w:left="20"/>
        <w:spacing w:after="0"/>
        <w:rPr>
          <w:sz w:val="20"/>
          <w:szCs w:val="20"/>
          <w:color w:val="auto"/>
        </w:rPr>
      </w:pPr>
      <w:r>
        <w:rPr>
          <w:rFonts w:ascii="Wingdings" w:cs="Wingdings" w:eastAsia="Wingdings" w:hAnsi="Wingdings"/>
          <w:sz w:val="36"/>
          <w:szCs w:val="36"/>
          <w:b w:val="1"/>
          <w:bCs w:val="1"/>
          <w:color w:val="auto"/>
          <w:shd w:val="clear" w:color="auto" w:fill="C00000"/>
        </w:rPr>
        <w:t>ü</w:t>
      </w:r>
    </w:p>
    <w:p>
      <w:pPr>
        <w:spacing w:after="0" w:line="54" w:lineRule="exact"/>
        <w:rPr>
          <w:sz w:val="20"/>
          <w:szCs w:val="20"/>
          <w:color w:val="auto"/>
        </w:rPr>
      </w:pPr>
    </w:p>
    <w:p>
      <w:pPr>
        <w:ind w:left="20"/>
        <w:spacing w:after="0"/>
        <w:rPr>
          <w:sz w:val="20"/>
          <w:szCs w:val="20"/>
          <w:color w:val="auto"/>
        </w:rPr>
      </w:pPr>
      <w:r>
        <w:rPr>
          <w:rFonts w:ascii="Wingdings" w:cs="Wingdings" w:eastAsia="Wingdings" w:hAnsi="Wingdings"/>
          <w:sz w:val="36"/>
          <w:szCs w:val="36"/>
          <w:b w:val="1"/>
          <w:bCs w:val="1"/>
          <w:color w:val="auto"/>
          <w:shd w:val="clear" w:color="auto" w:fill="C00000"/>
        </w:rPr>
        <w:t>ü</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Some highlights of our non-employee director compensation program are:</w:t>
      </w:r>
    </w:p>
    <w:p>
      <w:pPr>
        <w:spacing w:after="0" w:line="28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No Fees for Board or Committee Meeting Attendance</w:t>
      </w:r>
      <w:r>
        <w:rPr>
          <w:rFonts w:ascii="Arial" w:cs="Arial" w:eastAsia="Arial" w:hAnsi="Arial"/>
          <w:sz w:val="16"/>
          <w:szCs w:val="16"/>
          <w:color w:val="auto"/>
        </w:rPr>
        <w:t>: Meeting attendance is an expected part of Board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-115570</wp:posOffset>
            </wp:positionV>
            <wp:extent cx="6998335" cy="288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8335" cy="288290"/>
                    </a:xfrm>
                    <a:prstGeom prst="rect">
                      <a:avLst/>
                    </a:prstGeom>
                    <a:noFill/>
                  </pic:spPr>
                </pic:pic>
              </a:graphicData>
            </a:graphic>
          </wp:anchor>
        </w:drawing>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Emphasis on Equity</w:t>
      </w:r>
      <w:r>
        <w:rPr>
          <w:rFonts w:ascii="Arial" w:cs="Arial" w:eastAsia="Arial" w:hAnsi="Arial"/>
          <w:sz w:val="16"/>
          <w:szCs w:val="16"/>
          <w:color w:val="auto"/>
        </w:rPr>
        <w:t>: There is an emphasis on equity in the overall compensation mix to further align interests with stockholders.</w:t>
      </w:r>
    </w:p>
    <w:p>
      <w:pPr>
        <w:spacing w:after="0" w:line="270" w:lineRule="exact"/>
        <w:rPr>
          <w:sz w:val="20"/>
          <w:szCs w:val="20"/>
          <w:color w:val="auto"/>
        </w:rPr>
      </w:pPr>
    </w:p>
    <w:p>
      <w:pPr>
        <w:ind w:left="320" w:right="320"/>
        <w:spacing w:after="0" w:line="261" w:lineRule="auto"/>
        <w:rPr>
          <w:sz w:val="20"/>
          <w:szCs w:val="20"/>
          <w:color w:val="auto"/>
        </w:rPr>
      </w:pPr>
      <w:r>
        <w:rPr>
          <w:rFonts w:ascii="Arial" w:cs="Arial" w:eastAsia="Arial" w:hAnsi="Arial"/>
          <w:sz w:val="16"/>
          <w:szCs w:val="16"/>
          <w:b w:val="1"/>
          <w:bCs w:val="1"/>
          <w:color w:val="auto"/>
          <w:shd w:val="clear" w:color="auto" w:fill="F2F2F2"/>
        </w:rPr>
        <w:t>Recognition of Special Roles</w:t>
      </w:r>
      <w:r>
        <w:rPr>
          <w:rFonts w:ascii="Arial" w:cs="Arial" w:eastAsia="Arial" w:hAnsi="Arial"/>
          <w:sz w:val="16"/>
          <w:szCs w:val="16"/>
          <w:color w:val="auto"/>
          <w:shd w:val="clear" w:color="auto" w:fill="F2F2F2"/>
        </w:rPr>
        <w:t>: Special roles (such as Lead Independent Director and Board committee chairs) are fairly recognized for their</w:t>
      </w:r>
      <w:r>
        <w:rPr>
          <w:rFonts w:ascii="Arial" w:cs="Arial" w:eastAsia="Arial" w:hAnsi="Arial"/>
          <w:sz w:val="16"/>
          <w:szCs w:val="16"/>
          <w:b w:val="1"/>
          <w:bCs w:val="1"/>
          <w:color w:val="auto"/>
          <w:shd w:val="clear" w:color="auto" w:fill="F2F2F2"/>
        </w:rPr>
        <w:t xml:space="preserve"> </w:t>
      </w:r>
      <w:r>
        <w:rPr>
          <w:rFonts w:ascii="Arial" w:cs="Arial" w:eastAsia="Arial" w:hAnsi="Arial"/>
          <w:sz w:val="16"/>
          <w:szCs w:val="16"/>
          <w:color w:val="auto"/>
        </w:rPr>
        <w:t>additional time commitments.</w:t>
      </w:r>
    </w:p>
    <w:p>
      <w:pPr>
        <w:spacing w:after="0" w:line="53" w:lineRule="exact"/>
        <w:rPr>
          <w:sz w:val="20"/>
          <w:szCs w:val="20"/>
          <w:color w:val="auto"/>
        </w:rPr>
      </w:pPr>
    </w:p>
    <w:p>
      <w:pPr>
        <w:ind w:left="320" w:right="660"/>
        <w:spacing w:after="0" w:line="261" w:lineRule="auto"/>
        <w:rPr>
          <w:sz w:val="20"/>
          <w:szCs w:val="20"/>
          <w:color w:val="auto"/>
        </w:rPr>
      </w:pPr>
      <w:r>
        <w:rPr>
          <w:rFonts w:ascii="Arial" w:cs="Arial" w:eastAsia="Arial" w:hAnsi="Arial"/>
          <w:sz w:val="16"/>
          <w:szCs w:val="16"/>
          <w:b w:val="1"/>
          <w:bCs w:val="1"/>
          <w:color w:val="auto"/>
        </w:rPr>
        <w:t>Annual Stock Grants with Immediate Vesting</w:t>
      </w:r>
      <w:r>
        <w:rPr>
          <w:rFonts w:ascii="Arial" w:cs="Arial" w:eastAsia="Arial" w:hAnsi="Arial"/>
          <w:sz w:val="16"/>
          <w:szCs w:val="16"/>
          <w:color w:val="auto"/>
        </w:rPr>
        <w:t>: Stock awards are granted annually with a fixed value and immediate vesting to support</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independence.</w:t>
      </w:r>
    </w:p>
    <w:p>
      <w:pPr>
        <w:spacing w:after="0" w:line="53" w:lineRule="exact"/>
        <w:rPr>
          <w:sz w:val="20"/>
          <w:szCs w:val="20"/>
          <w:color w:val="auto"/>
        </w:rPr>
      </w:pPr>
    </w:p>
    <w:p>
      <w:pPr>
        <w:ind w:left="320" w:right="720"/>
        <w:spacing w:after="0" w:line="261" w:lineRule="auto"/>
        <w:rPr>
          <w:sz w:val="20"/>
          <w:szCs w:val="20"/>
          <w:color w:val="auto"/>
        </w:rPr>
      </w:pPr>
      <w:r>
        <w:rPr>
          <w:rFonts w:ascii="Arial" w:cs="Arial" w:eastAsia="Arial" w:hAnsi="Arial"/>
          <w:sz w:val="16"/>
          <w:szCs w:val="16"/>
          <w:b w:val="1"/>
          <w:bCs w:val="1"/>
          <w:color w:val="auto"/>
        </w:rPr>
        <w:t>Limit on Total Non-Employee Director Compensation</w:t>
      </w:r>
      <w:r>
        <w:rPr>
          <w:rFonts w:ascii="Arial" w:cs="Arial" w:eastAsia="Arial" w:hAnsi="Arial"/>
          <w:sz w:val="16"/>
          <w:szCs w:val="16"/>
          <w:color w:val="auto"/>
        </w:rPr>
        <w:t>: Our current stockholder-approved incentive plan contains a limit on total non-employee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-252730</wp:posOffset>
            </wp:positionV>
            <wp:extent cx="6998335" cy="288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8335" cy="288290"/>
                    </a:xfrm>
                    <a:prstGeom prst="rect">
                      <a:avLst/>
                    </a:prstGeom>
                    <a:noFill/>
                  </pic:spPr>
                </pic:pic>
              </a:graphicData>
            </a:graphic>
          </wp:anchor>
        </w:drawing>
      </w:r>
    </w:p>
    <w:p>
      <w:pPr>
        <w:spacing w:after="0" w:line="33" w:lineRule="exact"/>
        <w:rPr>
          <w:sz w:val="20"/>
          <w:szCs w:val="20"/>
          <w:color w:val="auto"/>
        </w:rPr>
      </w:pPr>
    </w:p>
    <w:p>
      <w:pPr>
        <w:ind w:left="320" w:right="800"/>
        <w:spacing w:after="0" w:line="261" w:lineRule="auto"/>
        <w:rPr>
          <w:sz w:val="20"/>
          <w:szCs w:val="20"/>
          <w:color w:val="auto"/>
        </w:rPr>
      </w:pPr>
      <w:r>
        <w:rPr>
          <w:rFonts w:ascii="Arial" w:cs="Arial" w:eastAsia="Arial" w:hAnsi="Arial"/>
          <w:sz w:val="16"/>
          <w:szCs w:val="16"/>
          <w:b w:val="1"/>
          <w:bCs w:val="1"/>
          <w:color w:val="auto"/>
        </w:rPr>
        <w:t>Robust Stock Ownership Guidelines</w:t>
      </w:r>
      <w:r>
        <w:rPr>
          <w:rFonts w:ascii="Arial" w:cs="Arial" w:eastAsia="Arial" w:hAnsi="Arial"/>
          <w:sz w:val="16"/>
          <w:szCs w:val="16"/>
          <w:color w:val="auto"/>
        </w:rPr>
        <w:t>: A guideline of five times the annual Board cash retainer supports alignment with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interests and mitigates potential compensation-related risk.</w:t>
      </w:r>
    </w:p>
    <w:p>
      <w:pPr>
        <w:spacing w:after="0" w:line="53" w:lineRule="exact"/>
        <w:rPr>
          <w:sz w:val="20"/>
          <w:szCs w:val="20"/>
          <w:color w:val="auto"/>
        </w:rPr>
      </w:pPr>
    </w:p>
    <w:p>
      <w:pPr>
        <w:sectPr>
          <w:pgSz w:w="11900" w:h="16838" w:orient="portrait"/>
          <w:cols w:equalWidth="0" w:num="2">
            <w:col w:w="300" w:space="340"/>
            <w:col w:w="10600"/>
          </w:cols>
          <w:pgMar w:left="320" w:top="1097" w:right="339" w:bottom="1440" w:gutter="0" w:footer="0" w:header="0"/>
          <w:type w:val="continuous"/>
        </w:sectPr>
      </w:pPr>
    </w:p>
    <w:p>
      <w:pPr>
        <w:ind w:left="960" w:right="520" w:hanging="936"/>
        <w:spacing w:after="0" w:line="182" w:lineRule="auto"/>
        <w:tabs>
          <w:tab w:leader="none" w:pos="960" w:val="left"/>
        </w:tabs>
        <w:numPr>
          <w:ilvl w:val="0"/>
          <w:numId w:val="30"/>
        </w:numPr>
        <w:rPr>
          <w:rFonts w:ascii="Wingdings" w:cs="Wingdings" w:eastAsia="Wingdings" w:hAnsi="Wingdings"/>
          <w:sz w:val="32"/>
          <w:szCs w:val="32"/>
          <w:b w:val="1"/>
          <w:bCs w:val="1"/>
          <w:color w:val="auto"/>
          <w:vertAlign w:val="subscript"/>
          <w:shd w:val="clear" w:color="auto" w:fill="C00000"/>
        </w:rPr>
      </w:pPr>
      <w:r>
        <w:rPr>
          <w:rFonts w:ascii="Arial" w:cs="Arial" w:eastAsia="Arial" w:hAnsi="Arial"/>
          <w:sz w:val="13"/>
          <w:szCs w:val="13"/>
          <w:b w:val="1"/>
          <w:bCs w:val="1"/>
          <w:color w:val="auto"/>
        </w:rPr>
        <w:t>No Perquisites</w:t>
      </w:r>
      <w:r>
        <w:rPr>
          <w:rFonts w:ascii="Arial" w:cs="Arial" w:eastAsia="Arial" w:hAnsi="Arial"/>
          <w:sz w:val="13"/>
          <w:szCs w:val="13"/>
          <w:color w:val="auto"/>
        </w:rPr>
        <w:t>: Our directors receive no perquisites, personal benefits or other compensation, other than Company products for personal</w:t>
      </w:r>
      <w:r>
        <w:rPr>
          <w:rFonts w:ascii="Arial" w:cs="Arial" w:eastAsia="Arial" w:hAnsi="Arial"/>
          <w:sz w:val="13"/>
          <w:szCs w:val="13"/>
          <w:b w:val="1"/>
          <w:bCs w:val="1"/>
          <w:color w:val="auto"/>
        </w:rPr>
        <w:t xml:space="preserve"> </w:t>
      </w:r>
      <w:r>
        <w:rPr>
          <w:rFonts w:ascii="Arial" w:cs="Arial" w:eastAsia="Arial" w:hAnsi="Arial"/>
          <w:sz w:val="13"/>
          <w:szCs w:val="13"/>
          <w:color w:val="auto"/>
        </w:rPr>
        <w:t>use and occasional travel for guests of non-employee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-241935</wp:posOffset>
            </wp:positionV>
            <wp:extent cx="6998335" cy="288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8335" cy="2882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Director Compensation for Fiscal 2025</w:t>
      </w:r>
    </w:p>
    <w:p>
      <w:pPr>
        <w:spacing w:after="0" w:line="84" w:lineRule="exact"/>
        <w:rPr>
          <w:sz w:val="20"/>
          <w:szCs w:val="20"/>
          <w:color w:val="auto"/>
        </w:rPr>
      </w:pPr>
    </w:p>
    <w:p>
      <w:pPr>
        <w:ind w:firstLine="640"/>
        <w:spacing w:after="0" w:line="241" w:lineRule="auto"/>
        <w:rPr>
          <w:sz w:val="20"/>
          <w:szCs w:val="20"/>
          <w:color w:val="auto"/>
        </w:rPr>
      </w:pPr>
      <w:r>
        <w:rPr>
          <w:rFonts w:ascii="Arial" w:cs="Arial" w:eastAsia="Arial" w:hAnsi="Arial"/>
          <w:sz w:val="18"/>
          <w:szCs w:val="18"/>
          <w:color w:val="auto"/>
        </w:rPr>
        <w:t>The following table provides summary information concerning the compensation of each individual non-employee director who served during fiscal 2025. Amounts in the table are not reduced to reflect elections, if any, by the non-employee directors to defer receipt of</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compensation. Deferral elections are described in more detail in the footnotes to the table. Earnings on nonqualified deferred compensation are not on a basis that is considered to be above-market or preferential.</w:t>
      </w:r>
    </w:p>
    <w:p>
      <w:pPr>
        <w:spacing w:after="0" w:line="131"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2180" w:type="dxa"/>
            <w:vAlign w:val="bottom"/>
            <w:shd w:val="clear" w:color="auto" w:fill="BF2115"/>
          </w:tcPr>
          <w:p>
            <w:pPr>
              <w:spacing w:after="0"/>
              <w:rPr>
                <w:sz w:val="18"/>
                <w:szCs w:val="18"/>
                <w:color w:val="auto"/>
              </w:rPr>
            </w:pPr>
          </w:p>
        </w:tc>
        <w:tc>
          <w:tcPr>
            <w:tcW w:w="2320" w:type="dxa"/>
            <w:vAlign w:val="bottom"/>
            <w:shd w:val="clear" w:color="auto" w:fill="BF2115"/>
          </w:tcPr>
          <w:p>
            <w:pPr>
              <w:jc w:val="center"/>
              <w:ind w:left="143"/>
              <w:spacing w:after="0"/>
              <w:rPr>
                <w:sz w:val="20"/>
                <w:szCs w:val="20"/>
                <w:color w:val="auto"/>
              </w:rPr>
            </w:pPr>
            <w:r>
              <w:rPr>
                <w:rFonts w:ascii="Arial" w:cs="Arial" w:eastAsia="Arial" w:hAnsi="Arial"/>
                <w:sz w:val="16"/>
                <w:szCs w:val="16"/>
                <w:b w:val="1"/>
                <w:bCs w:val="1"/>
                <w:color w:val="FFFFFF"/>
                <w:w w:val="98"/>
              </w:rPr>
              <w:t>Fees Earned or</w:t>
            </w:r>
          </w:p>
        </w:tc>
        <w:tc>
          <w:tcPr>
            <w:tcW w:w="1760" w:type="dxa"/>
            <w:vAlign w:val="bottom"/>
            <w:vMerge w:val="restart"/>
            <w:shd w:val="clear" w:color="auto" w:fill="BF2115"/>
          </w:tcPr>
          <w:p>
            <w:pPr>
              <w:jc w:val="right"/>
              <w:ind w:right="420"/>
              <w:spacing w:after="0"/>
              <w:rPr>
                <w:sz w:val="20"/>
                <w:szCs w:val="20"/>
                <w:color w:val="auto"/>
              </w:rPr>
            </w:pPr>
            <w:r>
              <w:rPr>
                <w:rFonts w:ascii="Arial" w:cs="Arial" w:eastAsia="Arial" w:hAnsi="Arial"/>
                <w:sz w:val="16"/>
                <w:szCs w:val="16"/>
                <w:b w:val="1"/>
                <w:bCs w:val="1"/>
                <w:color w:val="FFFFFF"/>
              </w:rPr>
              <w:t>Stock Awards</w:t>
            </w:r>
          </w:p>
        </w:tc>
        <w:tc>
          <w:tcPr>
            <w:tcW w:w="1800" w:type="dxa"/>
            <w:vAlign w:val="bottom"/>
            <w:vMerge w:val="restart"/>
            <w:shd w:val="clear" w:color="auto" w:fill="BF2115"/>
          </w:tcPr>
          <w:p>
            <w:pPr>
              <w:jc w:val="right"/>
              <w:ind w:right="380"/>
              <w:spacing w:after="0"/>
              <w:rPr>
                <w:sz w:val="20"/>
                <w:szCs w:val="20"/>
                <w:color w:val="auto"/>
              </w:rPr>
            </w:pPr>
            <w:r>
              <w:rPr>
                <w:rFonts w:ascii="Arial" w:cs="Arial" w:eastAsia="Arial" w:hAnsi="Arial"/>
                <w:sz w:val="16"/>
                <w:szCs w:val="16"/>
                <w:b w:val="1"/>
                <w:bCs w:val="1"/>
                <w:color w:val="FFFFFF"/>
              </w:rPr>
              <w:t>Option Awards</w:t>
            </w:r>
          </w:p>
        </w:tc>
        <w:tc>
          <w:tcPr>
            <w:tcW w:w="1840" w:type="dxa"/>
            <w:vAlign w:val="bottom"/>
            <w:shd w:val="clear" w:color="auto" w:fill="BF2115"/>
          </w:tcPr>
          <w:p>
            <w:pPr>
              <w:jc w:val="center"/>
              <w:ind w:right="240"/>
              <w:spacing w:after="0"/>
              <w:rPr>
                <w:sz w:val="20"/>
                <w:szCs w:val="20"/>
                <w:color w:val="auto"/>
              </w:rPr>
            </w:pPr>
            <w:r>
              <w:rPr>
                <w:rFonts w:ascii="Arial" w:cs="Arial" w:eastAsia="Arial" w:hAnsi="Arial"/>
                <w:sz w:val="16"/>
                <w:szCs w:val="16"/>
                <w:b w:val="1"/>
                <w:bCs w:val="1"/>
                <w:color w:val="FFFFFF"/>
              </w:rPr>
              <w:t>All Other</w:t>
            </w:r>
          </w:p>
        </w:tc>
        <w:tc>
          <w:tcPr>
            <w:tcW w:w="1020" w:type="dxa"/>
            <w:vAlign w:val="bottom"/>
            <w:vMerge w:val="restart"/>
            <w:shd w:val="clear" w:color="auto" w:fill="BF2115"/>
          </w:tcPr>
          <w:p>
            <w:pPr>
              <w:jc w:val="right"/>
              <w:ind w:right="300"/>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187"/>
        </w:trPr>
        <w:tc>
          <w:tcPr>
            <w:tcW w:w="2180" w:type="dxa"/>
            <w:vAlign w:val="bottom"/>
            <w:shd w:val="clear" w:color="auto" w:fill="BF2115"/>
          </w:tcPr>
          <w:p>
            <w:pPr>
              <w:spacing w:after="0"/>
              <w:rPr>
                <w:sz w:val="16"/>
                <w:szCs w:val="16"/>
                <w:color w:val="auto"/>
              </w:rPr>
            </w:pPr>
          </w:p>
        </w:tc>
        <w:tc>
          <w:tcPr>
            <w:tcW w:w="2320" w:type="dxa"/>
            <w:vAlign w:val="bottom"/>
            <w:shd w:val="clear" w:color="auto" w:fill="BF2115"/>
          </w:tcPr>
          <w:p>
            <w:pPr>
              <w:jc w:val="center"/>
              <w:ind w:left="123"/>
              <w:spacing w:after="0"/>
              <w:rPr>
                <w:sz w:val="20"/>
                <w:szCs w:val="20"/>
                <w:color w:val="auto"/>
              </w:rPr>
            </w:pPr>
            <w:r>
              <w:rPr>
                <w:rFonts w:ascii="Arial" w:cs="Arial" w:eastAsia="Arial" w:hAnsi="Arial"/>
                <w:sz w:val="16"/>
                <w:szCs w:val="16"/>
                <w:b w:val="1"/>
                <w:bCs w:val="1"/>
                <w:color w:val="FFFFFF"/>
                <w:w w:val="99"/>
              </w:rPr>
              <w:t>Paid in Cash</w:t>
            </w:r>
          </w:p>
        </w:tc>
        <w:tc>
          <w:tcPr>
            <w:tcW w:w="1760" w:type="dxa"/>
            <w:vAlign w:val="bottom"/>
            <w:vMerge w:val="continue"/>
            <w:shd w:val="clear" w:color="auto" w:fill="BF2115"/>
          </w:tcPr>
          <w:p>
            <w:pPr>
              <w:spacing w:after="0"/>
              <w:rPr>
                <w:sz w:val="16"/>
                <w:szCs w:val="16"/>
                <w:color w:val="auto"/>
              </w:rPr>
            </w:pPr>
          </w:p>
        </w:tc>
        <w:tc>
          <w:tcPr>
            <w:tcW w:w="1800" w:type="dxa"/>
            <w:vAlign w:val="bottom"/>
            <w:vMerge w:val="continue"/>
            <w:shd w:val="clear" w:color="auto" w:fill="BF2115"/>
          </w:tcPr>
          <w:p>
            <w:pPr>
              <w:spacing w:after="0"/>
              <w:rPr>
                <w:sz w:val="16"/>
                <w:szCs w:val="16"/>
                <w:color w:val="auto"/>
              </w:rPr>
            </w:pPr>
          </w:p>
        </w:tc>
        <w:tc>
          <w:tcPr>
            <w:tcW w:w="1840" w:type="dxa"/>
            <w:vAlign w:val="bottom"/>
            <w:shd w:val="clear" w:color="auto" w:fill="BF2115"/>
          </w:tcPr>
          <w:p>
            <w:pPr>
              <w:jc w:val="center"/>
              <w:ind w:right="240"/>
              <w:spacing w:after="0"/>
              <w:rPr>
                <w:sz w:val="20"/>
                <w:szCs w:val="20"/>
                <w:color w:val="auto"/>
              </w:rPr>
            </w:pPr>
            <w:r>
              <w:rPr>
                <w:rFonts w:ascii="Arial" w:cs="Arial" w:eastAsia="Arial" w:hAnsi="Arial"/>
                <w:sz w:val="16"/>
                <w:szCs w:val="16"/>
                <w:b w:val="1"/>
                <w:bCs w:val="1"/>
                <w:color w:val="FFFFFF"/>
              </w:rPr>
              <w:t>Compensation</w:t>
            </w:r>
          </w:p>
        </w:tc>
        <w:tc>
          <w:tcPr>
            <w:tcW w:w="1020" w:type="dxa"/>
            <w:vAlign w:val="bottom"/>
            <w:vMerge w:val="continue"/>
            <w:shd w:val="clear" w:color="auto" w:fill="BF2115"/>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180" w:type="dxa"/>
            <w:vAlign w:val="bottom"/>
            <w:shd w:val="clear" w:color="auto" w:fill="BF2115"/>
          </w:tcPr>
          <w:p>
            <w:pPr>
              <w:ind w:left="1040"/>
              <w:spacing w:after="0"/>
              <w:rPr>
                <w:sz w:val="20"/>
                <w:szCs w:val="20"/>
                <w:color w:val="auto"/>
              </w:rPr>
            </w:pPr>
            <w:r>
              <w:rPr>
                <w:rFonts w:ascii="Arial" w:cs="Arial" w:eastAsia="Arial" w:hAnsi="Arial"/>
                <w:sz w:val="16"/>
                <w:szCs w:val="16"/>
                <w:b w:val="1"/>
                <w:bCs w:val="1"/>
                <w:color w:val="FFFFFF"/>
              </w:rPr>
              <w:t>Name</w:t>
            </w:r>
          </w:p>
        </w:tc>
        <w:tc>
          <w:tcPr>
            <w:tcW w:w="2320" w:type="dxa"/>
            <w:vAlign w:val="bottom"/>
            <w:shd w:val="clear" w:color="auto" w:fill="BF2115"/>
          </w:tcPr>
          <w:p>
            <w:pPr>
              <w:jc w:val="center"/>
              <w:ind w:left="143"/>
              <w:spacing w:after="0" w:line="241" w:lineRule="exact"/>
              <w:rPr>
                <w:sz w:val="20"/>
                <w:szCs w:val="20"/>
                <w:color w:val="auto"/>
              </w:rPr>
            </w:pPr>
            <w:r>
              <w:rPr>
                <w:rFonts w:ascii="Arial" w:cs="Arial" w:eastAsia="Arial" w:hAnsi="Arial"/>
                <w:sz w:val="27"/>
                <w:szCs w:val="27"/>
                <w:b w:val="1"/>
                <w:bCs w:val="1"/>
                <w:color w:val="FFFFFF"/>
                <w:w w:val="98"/>
                <w:vertAlign w:val="subscript"/>
              </w:rPr>
              <w:t>($)</w:t>
            </w:r>
            <w:r>
              <w:rPr>
                <w:rFonts w:ascii="Arial" w:cs="Arial" w:eastAsia="Arial" w:hAnsi="Arial"/>
                <w:sz w:val="10"/>
                <w:szCs w:val="10"/>
                <w:b w:val="1"/>
                <w:bCs w:val="1"/>
                <w:color w:val="FFFFFF"/>
                <w:w w:val="98"/>
              </w:rPr>
              <w:t>1, 2</w:t>
            </w:r>
          </w:p>
        </w:tc>
        <w:tc>
          <w:tcPr>
            <w:tcW w:w="1760" w:type="dxa"/>
            <w:vAlign w:val="bottom"/>
            <w:shd w:val="clear" w:color="auto" w:fill="BF2115"/>
          </w:tcPr>
          <w:p>
            <w:pPr>
              <w:jc w:val="right"/>
              <w:ind w:right="820"/>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0"/>
                <w:szCs w:val="20"/>
                <w:b w:val="1"/>
                <w:bCs w:val="1"/>
                <w:color w:val="FFFFFF"/>
                <w:vertAlign w:val="superscript"/>
              </w:rPr>
              <w:t>3</w:t>
            </w:r>
          </w:p>
        </w:tc>
        <w:tc>
          <w:tcPr>
            <w:tcW w:w="1800" w:type="dxa"/>
            <w:vAlign w:val="bottom"/>
            <w:shd w:val="clear" w:color="auto" w:fill="BF2115"/>
          </w:tcPr>
          <w:p>
            <w:pPr>
              <w:jc w:val="right"/>
              <w:ind w:right="820"/>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0"/>
                <w:szCs w:val="20"/>
                <w:b w:val="1"/>
                <w:bCs w:val="1"/>
                <w:color w:val="FFFFFF"/>
                <w:vertAlign w:val="superscript"/>
              </w:rPr>
              <w:t>4</w:t>
            </w:r>
          </w:p>
        </w:tc>
        <w:tc>
          <w:tcPr>
            <w:tcW w:w="1840" w:type="dxa"/>
            <w:vAlign w:val="bottom"/>
            <w:shd w:val="clear" w:color="auto" w:fill="BF2115"/>
          </w:tcPr>
          <w:p>
            <w:pPr>
              <w:jc w:val="center"/>
              <w:ind w:right="240"/>
              <w:spacing w:after="0"/>
              <w:rPr>
                <w:sz w:val="20"/>
                <w:szCs w:val="20"/>
                <w:color w:val="auto"/>
              </w:rPr>
            </w:pPr>
            <w:r>
              <w:rPr>
                <w:rFonts w:ascii="Arial" w:cs="Arial" w:eastAsia="Arial" w:hAnsi="Arial"/>
                <w:sz w:val="16"/>
                <w:szCs w:val="16"/>
                <w:b w:val="1"/>
                <w:bCs w:val="1"/>
                <w:color w:val="FFFFFF"/>
                <w:w w:val="88"/>
              </w:rPr>
              <w:t>($)</w:t>
            </w:r>
            <w:r>
              <w:rPr>
                <w:rFonts w:ascii="Arial" w:cs="Arial" w:eastAsia="Arial" w:hAnsi="Arial"/>
                <w:sz w:val="20"/>
                <w:szCs w:val="20"/>
                <w:b w:val="1"/>
                <w:bCs w:val="1"/>
                <w:color w:val="FFFFFF"/>
                <w:w w:val="88"/>
                <w:vertAlign w:val="superscript"/>
              </w:rPr>
              <w:t>5</w:t>
            </w:r>
          </w:p>
        </w:tc>
        <w:tc>
          <w:tcPr>
            <w:tcW w:w="1020" w:type="dxa"/>
            <w:vAlign w:val="bottom"/>
            <w:shd w:val="clear" w:color="auto" w:fill="BF2115"/>
          </w:tcPr>
          <w:p>
            <w:pPr>
              <w:jc w:val="right"/>
              <w:ind w:right="40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11"/>
        </w:trPr>
        <w:tc>
          <w:tcPr>
            <w:tcW w:w="2180" w:type="dxa"/>
            <w:vAlign w:val="bottom"/>
          </w:tcPr>
          <w:p>
            <w:pPr>
              <w:ind w:left="20"/>
              <w:spacing w:after="0"/>
              <w:rPr>
                <w:sz w:val="20"/>
                <w:szCs w:val="20"/>
                <w:color w:val="auto"/>
              </w:rPr>
            </w:pPr>
            <w:r>
              <w:rPr>
                <w:rFonts w:ascii="Arial" w:cs="Arial" w:eastAsia="Arial" w:hAnsi="Arial"/>
                <w:sz w:val="16"/>
                <w:szCs w:val="16"/>
                <w:color w:val="auto"/>
              </w:rPr>
              <w:t>Dianne C. Craig</w:t>
            </w:r>
          </w:p>
        </w:tc>
        <w:tc>
          <w:tcPr>
            <w:tcW w:w="2320" w:type="dxa"/>
            <w:vAlign w:val="bottom"/>
          </w:tcPr>
          <w:p>
            <w:pPr>
              <w:jc w:val="right"/>
              <w:ind w:right="143"/>
              <w:spacing w:after="0"/>
              <w:rPr>
                <w:sz w:val="20"/>
                <w:szCs w:val="20"/>
                <w:color w:val="auto"/>
              </w:rPr>
            </w:pPr>
            <w:r>
              <w:rPr>
                <w:rFonts w:ascii="Arial" w:cs="Arial" w:eastAsia="Arial" w:hAnsi="Arial"/>
                <w:sz w:val="16"/>
                <w:szCs w:val="16"/>
                <w:color w:val="auto"/>
              </w:rPr>
              <w:t>113,542</w:t>
            </w:r>
          </w:p>
        </w:tc>
        <w:tc>
          <w:tcPr>
            <w:tcW w:w="1760" w:type="dxa"/>
            <w:vAlign w:val="bottom"/>
          </w:tcPr>
          <w:p>
            <w:pPr>
              <w:jc w:val="right"/>
              <w:ind w:right="120"/>
              <w:spacing w:after="0"/>
              <w:rPr>
                <w:sz w:val="20"/>
                <w:szCs w:val="20"/>
                <w:color w:val="auto"/>
              </w:rPr>
            </w:pPr>
            <w:r>
              <w:rPr>
                <w:rFonts w:ascii="Arial" w:cs="Arial" w:eastAsia="Arial" w:hAnsi="Arial"/>
                <w:sz w:val="16"/>
                <w:szCs w:val="16"/>
                <w:color w:val="auto"/>
              </w:rPr>
              <w:t>89,732</w:t>
            </w:r>
          </w:p>
        </w:tc>
        <w:tc>
          <w:tcPr>
            <w:tcW w:w="1800" w:type="dxa"/>
            <w:vAlign w:val="bottom"/>
          </w:tcPr>
          <w:p>
            <w:pPr>
              <w:jc w:val="right"/>
              <w:ind w:right="140"/>
              <w:spacing w:after="0"/>
              <w:rPr>
                <w:sz w:val="20"/>
                <w:szCs w:val="20"/>
                <w:color w:val="auto"/>
              </w:rPr>
            </w:pPr>
            <w:r>
              <w:rPr>
                <w:rFonts w:ascii="Arial" w:cs="Arial" w:eastAsia="Arial" w:hAnsi="Arial"/>
                <w:sz w:val="16"/>
                <w:szCs w:val="16"/>
                <w:color w:val="auto"/>
              </w:rPr>
              <w:t>54,998</w:t>
            </w:r>
          </w:p>
        </w:tc>
        <w:tc>
          <w:tcPr>
            <w:tcW w:w="1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258,272</w:t>
            </w:r>
          </w:p>
        </w:tc>
        <w:tc>
          <w:tcPr>
            <w:tcW w:w="0" w:type="dxa"/>
            <w:vAlign w:val="bottom"/>
          </w:tcPr>
          <w:p>
            <w:pPr>
              <w:spacing w:after="0"/>
              <w:rPr>
                <w:sz w:val="1"/>
                <w:szCs w:val="1"/>
                <w:color w:val="auto"/>
              </w:rPr>
            </w:pPr>
          </w:p>
        </w:tc>
      </w:tr>
      <w:tr>
        <w:trPr>
          <w:trHeight w:val="29"/>
        </w:trPr>
        <w:tc>
          <w:tcPr>
            <w:tcW w:w="2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Gary L. Ellis</w:t>
            </w:r>
          </w:p>
        </w:tc>
        <w:tc>
          <w:tcPr>
            <w:tcW w:w="2320" w:type="dxa"/>
            <w:vAlign w:val="bottom"/>
            <w:tcBorders>
              <w:bottom w:val="single" w:sz="8" w:color="DBDBDB"/>
            </w:tcBorders>
            <w:shd w:val="clear" w:color="auto" w:fill="DBDBDB"/>
          </w:tcPr>
          <w:p>
            <w:pPr>
              <w:jc w:val="right"/>
              <w:ind w:right="143"/>
              <w:spacing w:after="0"/>
              <w:rPr>
                <w:sz w:val="20"/>
                <w:szCs w:val="20"/>
                <w:color w:val="auto"/>
              </w:rPr>
            </w:pPr>
            <w:r>
              <w:rPr>
                <w:rFonts w:ascii="Arial" w:cs="Arial" w:eastAsia="Arial" w:hAnsi="Arial"/>
                <w:sz w:val="16"/>
                <w:szCs w:val="16"/>
                <w:color w:val="auto"/>
              </w:rPr>
              <w:t>143,500</w:t>
            </w:r>
          </w:p>
        </w:tc>
        <w:tc>
          <w:tcPr>
            <w:tcW w:w="1760" w:type="dxa"/>
            <w:vAlign w:val="bottom"/>
            <w:tcBorders>
              <w:bottom w:val="single" w:sz="8" w:color="DBDBDB"/>
            </w:tcBorders>
            <w:shd w:val="clear" w:color="auto" w:fill="DBDBDB"/>
          </w:tcPr>
          <w:p>
            <w:pPr>
              <w:jc w:val="right"/>
              <w:ind w:right="120"/>
              <w:spacing w:after="0"/>
              <w:rPr>
                <w:sz w:val="20"/>
                <w:szCs w:val="20"/>
                <w:color w:val="auto"/>
              </w:rPr>
            </w:pPr>
            <w:r>
              <w:rPr>
                <w:rFonts w:ascii="Arial" w:cs="Arial" w:eastAsia="Arial" w:hAnsi="Arial"/>
                <w:sz w:val="16"/>
                <w:szCs w:val="16"/>
                <w:color w:val="auto"/>
              </w:rPr>
              <w:t>89,732</w:t>
            </w:r>
          </w:p>
        </w:tc>
        <w:tc>
          <w:tcPr>
            <w:tcW w:w="180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6"/>
                <w:szCs w:val="16"/>
                <w:color w:val="auto"/>
              </w:rPr>
              <w:t>54,998</w:t>
            </w:r>
          </w:p>
        </w:tc>
        <w:tc>
          <w:tcPr>
            <w:tcW w:w="184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288,230</w:t>
            </w:r>
          </w:p>
        </w:tc>
        <w:tc>
          <w:tcPr>
            <w:tcW w:w="0" w:type="dxa"/>
            <w:vAlign w:val="bottom"/>
          </w:tcPr>
          <w:p>
            <w:pPr>
              <w:spacing w:after="0"/>
              <w:rPr>
                <w:sz w:val="1"/>
                <w:szCs w:val="1"/>
                <w:color w:val="auto"/>
              </w:rPr>
            </w:pPr>
          </w:p>
        </w:tc>
      </w:tr>
      <w:tr>
        <w:trPr>
          <w:trHeight w:val="223"/>
        </w:trPr>
        <w:tc>
          <w:tcPr>
            <w:tcW w:w="2180" w:type="dxa"/>
            <w:vAlign w:val="bottom"/>
          </w:tcPr>
          <w:p>
            <w:pPr>
              <w:ind w:left="20"/>
              <w:spacing w:after="0"/>
              <w:rPr>
                <w:sz w:val="20"/>
                <w:szCs w:val="20"/>
                <w:color w:val="auto"/>
              </w:rPr>
            </w:pPr>
            <w:r>
              <w:rPr>
                <w:rFonts w:ascii="Arial" w:cs="Arial" w:eastAsia="Arial" w:hAnsi="Arial"/>
                <w:sz w:val="16"/>
                <w:szCs w:val="16"/>
                <w:color w:val="auto"/>
              </w:rPr>
              <w:t>Eric P. Hansotia</w:t>
            </w:r>
          </w:p>
        </w:tc>
        <w:tc>
          <w:tcPr>
            <w:tcW w:w="2320" w:type="dxa"/>
            <w:vAlign w:val="bottom"/>
          </w:tcPr>
          <w:p>
            <w:pPr>
              <w:jc w:val="right"/>
              <w:ind w:right="143"/>
              <w:spacing w:after="0"/>
              <w:rPr>
                <w:sz w:val="20"/>
                <w:szCs w:val="20"/>
                <w:color w:val="auto"/>
              </w:rPr>
            </w:pPr>
            <w:r>
              <w:rPr>
                <w:rFonts w:ascii="Arial" w:cs="Arial" w:eastAsia="Arial" w:hAnsi="Arial"/>
                <w:sz w:val="16"/>
                <w:szCs w:val="16"/>
                <w:color w:val="auto"/>
              </w:rPr>
              <w:t>108,000</w:t>
            </w:r>
          </w:p>
        </w:tc>
        <w:tc>
          <w:tcPr>
            <w:tcW w:w="1760" w:type="dxa"/>
            <w:vAlign w:val="bottom"/>
          </w:tcPr>
          <w:p>
            <w:pPr>
              <w:jc w:val="right"/>
              <w:ind w:right="120"/>
              <w:spacing w:after="0"/>
              <w:rPr>
                <w:sz w:val="20"/>
                <w:szCs w:val="20"/>
                <w:color w:val="auto"/>
              </w:rPr>
            </w:pPr>
            <w:r>
              <w:rPr>
                <w:rFonts w:ascii="Arial" w:cs="Arial" w:eastAsia="Arial" w:hAnsi="Arial"/>
                <w:sz w:val="16"/>
                <w:szCs w:val="16"/>
                <w:color w:val="auto"/>
              </w:rPr>
              <w:t>89,732</w:t>
            </w:r>
          </w:p>
        </w:tc>
        <w:tc>
          <w:tcPr>
            <w:tcW w:w="1800" w:type="dxa"/>
            <w:vAlign w:val="bottom"/>
          </w:tcPr>
          <w:p>
            <w:pPr>
              <w:jc w:val="right"/>
              <w:ind w:right="140"/>
              <w:spacing w:after="0"/>
              <w:rPr>
                <w:sz w:val="20"/>
                <w:szCs w:val="20"/>
                <w:color w:val="auto"/>
              </w:rPr>
            </w:pPr>
            <w:r>
              <w:rPr>
                <w:rFonts w:ascii="Arial" w:cs="Arial" w:eastAsia="Arial" w:hAnsi="Arial"/>
                <w:sz w:val="16"/>
                <w:szCs w:val="16"/>
                <w:color w:val="auto"/>
              </w:rPr>
              <w:t>54,998</w:t>
            </w:r>
          </w:p>
        </w:tc>
        <w:tc>
          <w:tcPr>
            <w:tcW w:w="18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252,730</w:t>
            </w:r>
          </w:p>
        </w:tc>
        <w:tc>
          <w:tcPr>
            <w:tcW w:w="0" w:type="dxa"/>
            <w:vAlign w:val="bottom"/>
          </w:tcPr>
          <w:p>
            <w:pPr>
              <w:spacing w:after="0"/>
              <w:rPr>
                <w:sz w:val="1"/>
                <w:szCs w:val="1"/>
                <w:color w:val="auto"/>
              </w:rPr>
            </w:pPr>
          </w:p>
        </w:tc>
      </w:tr>
      <w:tr>
        <w:trPr>
          <w:trHeight w:val="30"/>
        </w:trPr>
        <w:tc>
          <w:tcPr>
            <w:tcW w:w="2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Jeffrey L. Harmening</w:t>
            </w:r>
          </w:p>
        </w:tc>
        <w:tc>
          <w:tcPr>
            <w:tcW w:w="2320" w:type="dxa"/>
            <w:vAlign w:val="bottom"/>
            <w:tcBorders>
              <w:bottom w:val="single" w:sz="8" w:color="DBDBDB"/>
            </w:tcBorders>
            <w:shd w:val="clear" w:color="auto" w:fill="DBDBDB"/>
          </w:tcPr>
          <w:p>
            <w:pPr>
              <w:jc w:val="right"/>
              <w:ind w:right="143"/>
              <w:spacing w:after="0"/>
              <w:rPr>
                <w:sz w:val="20"/>
                <w:szCs w:val="20"/>
                <w:color w:val="auto"/>
              </w:rPr>
            </w:pPr>
            <w:r>
              <w:rPr>
                <w:rFonts w:ascii="Arial" w:cs="Arial" w:eastAsia="Arial" w:hAnsi="Arial"/>
                <w:sz w:val="16"/>
                <w:szCs w:val="16"/>
                <w:color w:val="auto"/>
              </w:rPr>
              <w:t>121,000</w:t>
            </w:r>
          </w:p>
        </w:tc>
        <w:tc>
          <w:tcPr>
            <w:tcW w:w="1760" w:type="dxa"/>
            <w:vAlign w:val="bottom"/>
            <w:tcBorders>
              <w:bottom w:val="single" w:sz="8" w:color="DBDBDB"/>
            </w:tcBorders>
            <w:shd w:val="clear" w:color="auto" w:fill="DBDBDB"/>
          </w:tcPr>
          <w:p>
            <w:pPr>
              <w:jc w:val="right"/>
              <w:ind w:right="120"/>
              <w:spacing w:after="0"/>
              <w:rPr>
                <w:sz w:val="20"/>
                <w:szCs w:val="20"/>
                <w:color w:val="auto"/>
              </w:rPr>
            </w:pPr>
            <w:r>
              <w:rPr>
                <w:rFonts w:ascii="Arial" w:cs="Arial" w:eastAsia="Arial" w:hAnsi="Arial"/>
                <w:sz w:val="16"/>
                <w:szCs w:val="16"/>
                <w:color w:val="auto"/>
              </w:rPr>
              <w:t>89,732</w:t>
            </w:r>
          </w:p>
        </w:tc>
        <w:tc>
          <w:tcPr>
            <w:tcW w:w="180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6"/>
                <w:szCs w:val="16"/>
                <w:color w:val="auto"/>
              </w:rPr>
              <w:t>54,998</w:t>
            </w:r>
          </w:p>
        </w:tc>
        <w:tc>
          <w:tcPr>
            <w:tcW w:w="184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265,730</w:t>
            </w:r>
          </w:p>
        </w:tc>
        <w:tc>
          <w:tcPr>
            <w:tcW w:w="0" w:type="dxa"/>
            <w:vAlign w:val="bottom"/>
          </w:tcPr>
          <w:p>
            <w:pPr>
              <w:spacing w:after="0"/>
              <w:rPr>
                <w:sz w:val="1"/>
                <w:szCs w:val="1"/>
                <w:color w:val="auto"/>
              </w:rPr>
            </w:pPr>
          </w:p>
        </w:tc>
      </w:tr>
      <w:tr>
        <w:trPr>
          <w:trHeight w:val="211"/>
        </w:trPr>
        <w:tc>
          <w:tcPr>
            <w:tcW w:w="2180" w:type="dxa"/>
            <w:vAlign w:val="bottom"/>
          </w:tcPr>
          <w:p>
            <w:pPr>
              <w:ind w:left="20"/>
              <w:spacing w:after="0"/>
              <w:rPr>
                <w:sz w:val="20"/>
                <w:szCs w:val="20"/>
                <w:color w:val="auto"/>
              </w:rPr>
            </w:pPr>
            <w:r>
              <w:rPr>
                <w:rFonts w:ascii="Arial" w:cs="Arial" w:eastAsia="Arial" w:hAnsi="Arial"/>
                <w:sz w:val="16"/>
                <w:szCs w:val="16"/>
                <w:color w:val="auto"/>
              </w:rPr>
              <w:t>D. Christian Koch</w:t>
            </w:r>
          </w:p>
        </w:tc>
        <w:tc>
          <w:tcPr>
            <w:tcW w:w="2320" w:type="dxa"/>
            <w:vAlign w:val="bottom"/>
          </w:tcPr>
          <w:p>
            <w:pPr>
              <w:jc w:val="right"/>
              <w:ind w:right="143"/>
              <w:spacing w:after="0"/>
              <w:rPr>
                <w:sz w:val="20"/>
                <w:szCs w:val="20"/>
                <w:color w:val="auto"/>
              </w:rPr>
            </w:pPr>
            <w:r>
              <w:rPr>
                <w:rFonts w:ascii="Arial" w:cs="Arial" w:eastAsia="Arial" w:hAnsi="Arial"/>
                <w:sz w:val="16"/>
                <w:szCs w:val="16"/>
                <w:color w:val="auto"/>
              </w:rPr>
              <w:t>117,035</w:t>
            </w:r>
          </w:p>
        </w:tc>
        <w:tc>
          <w:tcPr>
            <w:tcW w:w="1760" w:type="dxa"/>
            <w:vAlign w:val="bottom"/>
          </w:tcPr>
          <w:p>
            <w:pPr>
              <w:jc w:val="right"/>
              <w:ind w:right="120"/>
              <w:spacing w:after="0"/>
              <w:rPr>
                <w:sz w:val="20"/>
                <w:szCs w:val="20"/>
                <w:color w:val="auto"/>
              </w:rPr>
            </w:pPr>
            <w:r>
              <w:rPr>
                <w:rFonts w:ascii="Arial" w:cs="Arial" w:eastAsia="Arial" w:hAnsi="Arial"/>
                <w:sz w:val="16"/>
                <w:szCs w:val="16"/>
                <w:color w:val="auto"/>
              </w:rPr>
              <w:t>89,732</w:t>
            </w:r>
          </w:p>
        </w:tc>
        <w:tc>
          <w:tcPr>
            <w:tcW w:w="1800" w:type="dxa"/>
            <w:vAlign w:val="bottom"/>
          </w:tcPr>
          <w:p>
            <w:pPr>
              <w:jc w:val="right"/>
              <w:ind w:right="140"/>
              <w:spacing w:after="0"/>
              <w:rPr>
                <w:sz w:val="20"/>
                <w:szCs w:val="20"/>
                <w:color w:val="auto"/>
              </w:rPr>
            </w:pPr>
            <w:r>
              <w:rPr>
                <w:rFonts w:ascii="Arial" w:cs="Arial" w:eastAsia="Arial" w:hAnsi="Arial"/>
                <w:sz w:val="16"/>
                <w:szCs w:val="16"/>
                <w:color w:val="auto"/>
              </w:rPr>
              <w:t>54,998</w:t>
            </w:r>
          </w:p>
        </w:tc>
        <w:tc>
          <w:tcPr>
            <w:tcW w:w="1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261,765</w:t>
            </w:r>
          </w:p>
        </w:tc>
        <w:tc>
          <w:tcPr>
            <w:tcW w:w="0" w:type="dxa"/>
            <w:vAlign w:val="bottom"/>
          </w:tcPr>
          <w:p>
            <w:pPr>
              <w:spacing w:after="0"/>
              <w:rPr>
                <w:sz w:val="1"/>
                <w:szCs w:val="1"/>
                <w:color w:val="auto"/>
              </w:rPr>
            </w:pPr>
          </w:p>
        </w:tc>
      </w:tr>
      <w:tr>
        <w:trPr>
          <w:trHeight w:val="29"/>
        </w:trPr>
        <w:tc>
          <w:tcPr>
            <w:tcW w:w="2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2180" w:type="dxa"/>
            <w:vAlign w:val="bottom"/>
            <w:shd w:val="clear" w:color="auto" w:fill="DBDBDB"/>
          </w:tcPr>
          <w:p>
            <w:pPr>
              <w:ind w:left="20"/>
              <w:spacing w:after="0"/>
              <w:rPr>
                <w:sz w:val="20"/>
                <w:szCs w:val="20"/>
                <w:color w:val="auto"/>
              </w:rPr>
            </w:pPr>
            <w:r>
              <w:rPr>
                <w:rFonts w:ascii="Arial" w:cs="Arial" w:eastAsia="Arial" w:hAnsi="Arial"/>
                <w:sz w:val="16"/>
                <w:szCs w:val="16"/>
                <w:color w:val="auto"/>
              </w:rPr>
              <w:t>Joyce A. Mullen</w:t>
            </w:r>
            <w:r>
              <w:rPr>
                <w:rFonts w:ascii="Arial" w:cs="Arial" w:eastAsia="Arial" w:hAnsi="Arial"/>
                <w:sz w:val="20"/>
                <w:szCs w:val="20"/>
                <w:color w:val="auto"/>
                <w:vertAlign w:val="superscript"/>
              </w:rPr>
              <w:t>6</w:t>
            </w:r>
          </w:p>
        </w:tc>
        <w:tc>
          <w:tcPr>
            <w:tcW w:w="2320" w:type="dxa"/>
            <w:vAlign w:val="bottom"/>
            <w:shd w:val="clear" w:color="auto" w:fill="DBDBDB"/>
          </w:tcPr>
          <w:p>
            <w:pPr>
              <w:jc w:val="right"/>
              <w:ind w:right="143"/>
              <w:spacing w:after="0"/>
              <w:rPr>
                <w:sz w:val="20"/>
                <w:szCs w:val="20"/>
                <w:color w:val="auto"/>
              </w:rPr>
            </w:pPr>
            <w:r>
              <w:rPr>
                <w:rFonts w:ascii="Arial" w:cs="Arial" w:eastAsia="Arial" w:hAnsi="Arial"/>
                <w:sz w:val="16"/>
                <w:szCs w:val="16"/>
                <w:color w:val="auto"/>
              </w:rPr>
              <w:t>108,000</w:t>
            </w:r>
          </w:p>
        </w:tc>
        <w:tc>
          <w:tcPr>
            <w:tcW w:w="1760" w:type="dxa"/>
            <w:vAlign w:val="bottom"/>
            <w:shd w:val="clear" w:color="auto" w:fill="DBDBDB"/>
          </w:tcPr>
          <w:p>
            <w:pPr>
              <w:jc w:val="right"/>
              <w:ind w:right="120"/>
              <w:spacing w:after="0"/>
              <w:rPr>
                <w:sz w:val="20"/>
                <w:szCs w:val="20"/>
                <w:color w:val="auto"/>
              </w:rPr>
            </w:pPr>
            <w:r>
              <w:rPr>
                <w:rFonts w:ascii="Arial" w:cs="Arial" w:eastAsia="Arial" w:hAnsi="Arial"/>
                <w:sz w:val="16"/>
                <w:szCs w:val="16"/>
                <w:color w:val="auto"/>
              </w:rPr>
              <w:t>89,732</w:t>
            </w:r>
          </w:p>
        </w:tc>
        <w:tc>
          <w:tcPr>
            <w:tcW w:w="1800" w:type="dxa"/>
            <w:vAlign w:val="bottom"/>
            <w:shd w:val="clear" w:color="auto" w:fill="DBDBDB"/>
          </w:tcPr>
          <w:p>
            <w:pPr>
              <w:jc w:val="right"/>
              <w:ind w:right="140"/>
              <w:spacing w:after="0"/>
              <w:rPr>
                <w:sz w:val="20"/>
                <w:szCs w:val="20"/>
                <w:color w:val="auto"/>
              </w:rPr>
            </w:pPr>
            <w:r>
              <w:rPr>
                <w:rFonts w:ascii="Arial" w:cs="Arial" w:eastAsia="Arial" w:hAnsi="Arial"/>
                <w:sz w:val="16"/>
                <w:szCs w:val="16"/>
                <w:color w:val="auto"/>
              </w:rPr>
              <w:t>54,998</w:t>
            </w:r>
          </w:p>
        </w:tc>
        <w:tc>
          <w:tcPr>
            <w:tcW w:w="1840" w:type="dxa"/>
            <w:vAlign w:val="bottom"/>
            <w:shd w:val="clear" w:color="auto" w:fill="DBDBDB"/>
          </w:tcPr>
          <w:p>
            <w:pPr>
              <w:spacing w:after="0"/>
              <w:rPr>
                <w:sz w:val="22"/>
                <w:szCs w:val="2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252,730</w:t>
            </w:r>
          </w:p>
        </w:tc>
        <w:tc>
          <w:tcPr>
            <w:tcW w:w="0" w:type="dxa"/>
            <w:vAlign w:val="bottom"/>
          </w:tcPr>
          <w:p>
            <w:pPr>
              <w:spacing w:after="0"/>
              <w:rPr>
                <w:sz w:val="1"/>
                <w:szCs w:val="1"/>
                <w:color w:val="auto"/>
              </w:rPr>
            </w:pPr>
          </w:p>
        </w:tc>
      </w:tr>
      <w:tr>
        <w:trPr>
          <w:trHeight w:val="211"/>
        </w:trPr>
        <w:tc>
          <w:tcPr>
            <w:tcW w:w="2180" w:type="dxa"/>
            <w:vAlign w:val="bottom"/>
          </w:tcPr>
          <w:p>
            <w:pPr>
              <w:ind w:left="20"/>
              <w:spacing w:after="0"/>
              <w:rPr>
                <w:sz w:val="20"/>
                <w:szCs w:val="20"/>
                <w:color w:val="auto"/>
              </w:rPr>
            </w:pPr>
            <w:r>
              <w:rPr>
                <w:rFonts w:ascii="Arial" w:cs="Arial" w:eastAsia="Arial" w:hAnsi="Arial"/>
                <w:sz w:val="16"/>
                <w:szCs w:val="16"/>
                <w:color w:val="auto"/>
              </w:rPr>
              <w:t>James C. O'Rourke</w:t>
            </w:r>
          </w:p>
        </w:tc>
        <w:tc>
          <w:tcPr>
            <w:tcW w:w="2320" w:type="dxa"/>
            <w:vAlign w:val="bottom"/>
          </w:tcPr>
          <w:p>
            <w:pPr>
              <w:jc w:val="right"/>
              <w:ind w:right="143"/>
              <w:spacing w:after="0"/>
              <w:rPr>
                <w:sz w:val="20"/>
                <w:szCs w:val="20"/>
                <w:color w:val="auto"/>
              </w:rPr>
            </w:pPr>
            <w:r>
              <w:rPr>
                <w:rFonts w:ascii="Arial" w:cs="Arial" w:eastAsia="Arial" w:hAnsi="Arial"/>
                <w:sz w:val="16"/>
                <w:szCs w:val="16"/>
                <w:color w:val="auto"/>
              </w:rPr>
              <w:t>122,500</w:t>
            </w:r>
          </w:p>
        </w:tc>
        <w:tc>
          <w:tcPr>
            <w:tcW w:w="1760" w:type="dxa"/>
            <w:vAlign w:val="bottom"/>
          </w:tcPr>
          <w:p>
            <w:pPr>
              <w:jc w:val="right"/>
              <w:ind w:right="120"/>
              <w:spacing w:after="0"/>
              <w:rPr>
                <w:sz w:val="20"/>
                <w:szCs w:val="20"/>
                <w:color w:val="auto"/>
              </w:rPr>
            </w:pPr>
            <w:r>
              <w:rPr>
                <w:rFonts w:ascii="Arial" w:cs="Arial" w:eastAsia="Arial" w:hAnsi="Arial"/>
                <w:sz w:val="16"/>
                <w:szCs w:val="16"/>
                <w:color w:val="auto"/>
              </w:rPr>
              <w:t>89,732</w:t>
            </w:r>
          </w:p>
        </w:tc>
        <w:tc>
          <w:tcPr>
            <w:tcW w:w="1800" w:type="dxa"/>
            <w:vAlign w:val="bottom"/>
          </w:tcPr>
          <w:p>
            <w:pPr>
              <w:jc w:val="right"/>
              <w:ind w:right="140"/>
              <w:spacing w:after="0"/>
              <w:rPr>
                <w:sz w:val="20"/>
                <w:szCs w:val="20"/>
                <w:color w:val="auto"/>
              </w:rPr>
            </w:pPr>
            <w:r>
              <w:rPr>
                <w:rFonts w:ascii="Arial" w:cs="Arial" w:eastAsia="Arial" w:hAnsi="Arial"/>
                <w:sz w:val="16"/>
                <w:szCs w:val="16"/>
                <w:color w:val="auto"/>
              </w:rPr>
              <w:t>54,998</w:t>
            </w:r>
          </w:p>
        </w:tc>
        <w:tc>
          <w:tcPr>
            <w:tcW w:w="1840" w:type="dxa"/>
            <w:vAlign w:val="bottom"/>
          </w:tcPr>
          <w:p>
            <w:pPr>
              <w:jc w:val="right"/>
              <w:ind w:right="180"/>
              <w:spacing w:after="0"/>
              <w:rPr>
                <w:sz w:val="20"/>
                <w:szCs w:val="20"/>
                <w:color w:val="auto"/>
              </w:rPr>
            </w:pPr>
            <w:r>
              <w:rPr>
                <w:rFonts w:ascii="Arial" w:cs="Arial" w:eastAsia="Arial" w:hAnsi="Arial"/>
                <w:sz w:val="16"/>
                <w:szCs w:val="16"/>
                <w:color w:val="auto"/>
              </w:rPr>
              <w:t>674</w:t>
            </w:r>
          </w:p>
        </w:tc>
        <w:tc>
          <w:tcPr>
            <w:tcW w:w="1020" w:type="dxa"/>
            <w:vAlign w:val="bottom"/>
          </w:tcPr>
          <w:p>
            <w:pPr>
              <w:jc w:val="right"/>
              <w:spacing w:after="0"/>
              <w:rPr>
                <w:sz w:val="20"/>
                <w:szCs w:val="20"/>
                <w:color w:val="auto"/>
              </w:rPr>
            </w:pPr>
            <w:r>
              <w:rPr>
                <w:rFonts w:ascii="Arial" w:cs="Arial" w:eastAsia="Arial" w:hAnsi="Arial"/>
                <w:sz w:val="16"/>
                <w:szCs w:val="16"/>
                <w:color w:val="auto"/>
              </w:rPr>
              <w:t>267,904</w:t>
            </w:r>
          </w:p>
        </w:tc>
        <w:tc>
          <w:tcPr>
            <w:tcW w:w="0" w:type="dxa"/>
            <w:vAlign w:val="bottom"/>
          </w:tcPr>
          <w:p>
            <w:pPr>
              <w:spacing w:after="0"/>
              <w:rPr>
                <w:sz w:val="1"/>
                <w:szCs w:val="1"/>
                <w:color w:val="auto"/>
              </w:rPr>
            </w:pPr>
          </w:p>
        </w:tc>
      </w:tr>
      <w:tr>
        <w:trPr>
          <w:trHeight w:val="29"/>
        </w:trPr>
        <w:tc>
          <w:tcPr>
            <w:tcW w:w="2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180" w:type="dxa"/>
            <w:vAlign w:val="bottom"/>
            <w:shd w:val="clear" w:color="auto" w:fill="DBDBDB"/>
          </w:tcPr>
          <w:p>
            <w:pPr>
              <w:ind w:left="20"/>
              <w:spacing w:after="0"/>
              <w:rPr>
                <w:sz w:val="20"/>
                <w:szCs w:val="20"/>
                <w:color w:val="auto"/>
              </w:rPr>
            </w:pPr>
            <w:r>
              <w:rPr>
                <w:rFonts w:ascii="Arial" w:cs="Arial" w:eastAsia="Arial" w:hAnsi="Arial"/>
                <w:sz w:val="16"/>
                <w:szCs w:val="16"/>
                <w:color w:val="auto"/>
              </w:rPr>
              <w:t>Jill M. Pemberton</w:t>
            </w:r>
          </w:p>
        </w:tc>
        <w:tc>
          <w:tcPr>
            <w:tcW w:w="2320" w:type="dxa"/>
            <w:vAlign w:val="bottom"/>
            <w:shd w:val="clear" w:color="auto" w:fill="DBDBDB"/>
          </w:tcPr>
          <w:p>
            <w:pPr>
              <w:jc w:val="right"/>
              <w:ind w:right="143"/>
              <w:spacing w:after="0"/>
              <w:rPr>
                <w:sz w:val="20"/>
                <w:szCs w:val="20"/>
                <w:color w:val="auto"/>
              </w:rPr>
            </w:pPr>
            <w:r>
              <w:rPr>
                <w:rFonts w:ascii="Arial" w:cs="Arial" w:eastAsia="Arial" w:hAnsi="Arial"/>
                <w:sz w:val="16"/>
                <w:szCs w:val="16"/>
                <w:color w:val="auto"/>
              </w:rPr>
              <w:t>133,542</w:t>
            </w:r>
          </w:p>
        </w:tc>
        <w:tc>
          <w:tcPr>
            <w:tcW w:w="1760" w:type="dxa"/>
            <w:vAlign w:val="bottom"/>
            <w:shd w:val="clear" w:color="auto" w:fill="DBDBDB"/>
          </w:tcPr>
          <w:p>
            <w:pPr>
              <w:jc w:val="right"/>
              <w:ind w:right="120"/>
              <w:spacing w:after="0"/>
              <w:rPr>
                <w:sz w:val="20"/>
                <w:szCs w:val="20"/>
                <w:color w:val="auto"/>
              </w:rPr>
            </w:pPr>
            <w:r>
              <w:rPr>
                <w:rFonts w:ascii="Arial" w:cs="Arial" w:eastAsia="Arial" w:hAnsi="Arial"/>
                <w:sz w:val="16"/>
                <w:szCs w:val="16"/>
                <w:color w:val="auto"/>
              </w:rPr>
              <w:t>89,732</w:t>
            </w:r>
          </w:p>
        </w:tc>
        <w:tc>
          <w:tcPr>
            <w:tcW w:w="1800" w:type="dxa"/>
            <w:vAlign w:val="bottom"/>
            <w:shd w:val="clear" w:color="auto" w:fill="DBDBDB"/>
          </w:tcPr>
          <w:p>
            <w:pPr>
              <w:jc w:val="right"/>
              <w:ind w:right="140"/>
              <w:spacing w:after="0"/>
              <w:rPr>
                <w:sz w:val="20"/>
                <w:szCs w:val="20"/>
                <w:color w:val="auto"/>
              </w:rPr>
            </w:pPr>
            <w:r>
              <w:rPr>
                <w:rFonts w:ascii="Arial" w:cs="Arial" w:eastAsia="Arial" w:hAnsi="Arial"/>
                <w:sz w:val="16"/>
                <w:szCs w:val="16"/>
                <w:color w:val="auto"/>
              </w:rPr>
              <w:t>54,998</w:t>
            </w:r>
          </w:p>
        </w:tc>
        <w:tc>
          <w:tcPr>
            <w:tcW w:w="18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278,272</w:t>
            </w:r>
          </w:p>
        </w:tc>
        <w:tc>
          <w:tcPr>
            <w:tcW w:w="0" w:type="dxa"/>
            <w:vAlign w:val="bottom"/>
          </w:tcPr>
          <w:p>
            <w:pPr>
              <w:spacing w:after="0"/>
              <w:rPr>
                <w:sz w:val="1"/>
                <w:szCs w:val="1"/>
                <w:color w:val="auto"/>
              </w:rPr>
            </w:pPr>
          </w:p>
        </w:tc>
      </w:tr>
      <w:tr>
        <w:trPr>
          <w:trHeight w:val="30"/>
        </w:trPr>
        <w:tc>
          <w:tcPr>
            <w:tcW w:w="2180" w:type="dxa"/>
            <w:vAlign w:val="bottom"/>
            <w:shd w:val="clear" w:color="auto" w:fill="DBDBDB"/>
          </w:tcPr>
          <w:p>
            <w:pPr>
              <w:spacing w:after="0"/>
              <w:rPr>
                <w:sz w:val="2"/>
                <w:szCs w:val="2"/>
                <w:color w:val="auto"/>
              </w:rPr>
            </w:pPr>
          </w:p>
        </w:tc>
        <w:tc>
          <w:tcPr>
            <w:tcW w:w="2320" w:type="dxa"/>
            <w:vAlign w:val="bottom"/>
            <w:shd w:val="clear" w:color="auto" w:fill="DBDBDB"/>
          </w:tcPr>
          <w:p>
            <w:pPr>
              <w:spacing w:after="0"/>
              <w:rPr>
                <w:sz w:val="2"/>
                <w:szCs w:val="2"/>
                <w:color w:val="auto"/>
              </w:rPr>
            </w:pPr>
          </w:p>
        </w:tc>
        <w:tc>
          <w:tcPr>
            <w:tcW w:w="1760" w:type="dxa"/>
            <w:vAlign w:val="bottom"/>
            <w:shd w:val="clear" w:color="auto" w:fill="DBDBDB"/>
          </w:tcPr>
          <w:p>
            <w:pPr>
              <w:spacing w:after="0"/>
              <w:rPr>
                <w:sz w:val="2"/>
                <w:szCs w:val="2"/>
                <w:color w:val="auto"/>
              </w:rPr>
            </w:pPr>
          </w:p>
        </w:tc>
        <w:tc>
          <w:tcPr>
            <w:tcW w:w="1800" w:type="dxa"/>
            <w:vAlign w:val="bottom"/>
            <w:shd w:val="clear" w:color="auto" w:fill="DBDBDB"/>
          </w:tcPr>
          <w:p>
            <w:pPr>
              <w:spacing w:after="0"/>
              <w:rPr>
                <w:sz w:val="2"/>
                <w:szCs w:val="2"/>
                <w:color w:val="auto"/>
              </w:rPr>
            </w:pPr>
          </w:p>
        </w:tc>
        <w:tc>
          <w:tcPr>
            <w:tcW w:w="1840" w:type="dxa"/>
            <w:vAlign w:val="bottom"/>
            <w:shd w:val="clear" w:color="auto" w:fill="DBDBDB"/>
          </w:tcPr>
          <w:p>
            <w:pPr>
              <w:spacing w:after="0"/>
              <w:rPr>
                <w:sz w:val="2"/>
                <w:szCs w:val="2"/>
                <w:color w:val="auto"/>
              </w:rPr>
            </w:pPr>
          </w:p>
        </w:tc>
        <w:tc>
          <w:tcPr>
            <w:tcW w:w="102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19913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257" w:lineRule="exact"/>
        <w:rPr>
          <w:sz w:val="20"/>
          <w:szCs w:val="20"/>
          <w:color w:val="auto"/>
        </w:rPr>
      </w:pPr>
    </w:p>
    <w:p>
      <w:pPr>
        <w:ind w:left="320" w:hanging="313"/>
        <w:spacing w:after="0" w:line="246" w:lineRule="auto"/>
        <w:tabs>
          <w:tab w:leader="none" w:pos="3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Unless a director elected to defer receipt or convert a portion or all of his or her annual retainers into shares of our common stock, annual retainers were paid in cash at the beginning of each fiscal quarter.</w:t>
      </w:r>
    </w:p>
    <w:p>
      <w:pPr>
        <w:spacing w:after="0" w:line="15" w:lineRule="exact"/>
        <w:rPr>
          <w:rFonts w:ascii="Arial" w:cs="Arial" w:eastAsia="Arial" w:hAnsi="Arial"/>
          <w:sz w:val="18"/>
          <w:szCs w:val="18"/>
          <w:color w:val="auto"/>
        </w:rPr>
      </w:pPr>
    </w:p>
    <w:p>
      <w:pPr>
        <w:jc w:val="both"/>
        <w:ind w:left="320" w:hanging="313"/>
        <w:spacing w:after="0" w:line="239" w:lineRule="auto"/>
        <w:tabs>
          <w:tab w:leader="none" w:pos="3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following directors elected to convert all or a portion of their calendar 2025 cash retainers into shares of our common stock, which number of shares received was based on the closing price of our common stock on December 15, 2025, of $73.48: Ms. Craig—1,544 shares; Mr. Koch—1,592 shares; and Ms. Pemberton—1,816 shares.</w:t>
      </w:r>
    </w:p>
    <w:p>
      <w:pPr>
        <w:spacing w:after="0" w:line="22" w:lineRule="exact"/>
        <w:rPr>
          <w:rFonts w:ascii="Arial" w:cs="Arial" w:eastAsia="Arial" w:hAnsi="Arial"/>
          <w:sz w:val="18"/>
          <w:szCs w:val="18"/>
          <w:color w:val="auto"/>
        </w:rPr>
      </w:pPr>
    </w:p>
    <w:p>
      <w:pPr>
        <w:jc w:val="both"/>
        <w:ind w:left="320" w:hanging="313"/>
        <w:spacing w:after="0" w:line="237" w:lineRule="auto"/>
        <w:tabs>
          <w:tab w:leader="none" w:pos="3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November 1, 2024, 1,101 shares of our common stock were granted to each non-employee director with the calculation as to the number of shares based on the average of the closing prices of our common stock during the three months prior to the grant, which was $86.21. However, the amount reported in the table represents the grant date fair value of $81.50, the closing price on the grant date, computed in accordance</w:t>
      </w:r>
    </w:p>
    <w:p>
      <w:pPr>
        <w:sectPr>
          <w:pgSz w:w="11900" w:h="16838" w:orient="portrait"/>
          <w:cols w:equalWidth="0" w:num="1">
            <w:col w:w="11240"/>
          </w:cols>
          <w:pgMar w:left="320" w:top="109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26" w:name="page27"/>
    <w:bookmarkEnd w:id="26"/>
    <w:p>
      <w:pPr>
        <w:ind w:left="320"/>
        <w:spacing w:after="0"/>
        <w:rPr>
          <w:sz w:val="20"/>
          <w:szCs w:val="20"/>
          <w:color w:val="auto"/>
        </w:rPr>
      </w:pPr>
      <w:r>
        <w:rPr>
          <w:rFonts w:ascii="Arial" w:cs="Arial" w:eastAsia="Arial" w:hAnsi="Arial"/>
          <w:sz w:val="17"/>
          <w:szCs w:val="17"/>
          <w:color w:val="auto"/>
        </w:rPr>
        <w:t>with Financial Accounting Standards Board (FASB) Accounting Standard Codification (ASC) Topic 718. These stock awards were the only</w:t>
      </w:r>
    </w:p>
    <w:p>
      <w:pPr>
        <w:spacing w:after="0" w:line="21" w:lineRule="exact"/>
        <w:rPr>
          <w:sz w:val="20"/>
          <w:szCs w:val="20"/>
          <w:color w:val="auto"/>
        </w:rPr>
      </w:pPr>
    </w:p>
    <w:p>
      <w:pPr>
        <w:ind w:left="320"/>
        <w:spacing w:after="0" w:line="234" w:lineRule="auto"/>
        <w:rPr>
          <w:sz w:val="20"/>
          <w:szCs w:val="20"/>
          <w:color w:val="auto"/>
        </w:rPr>
      </w:pPr>
      <w:r>
        <w:rPr>
          <w:rFonts w:ascii="Arial" w:cs="Arial" w:eastAsia="Arial" w:hAnsi="Arial"/>
          <w:sz w:val="18"/>
          <w:szCs w:val="18"/>
          <w:color w:val="auto"/>
        </w:rPr>
        <w:t>stock awards granted to directors during fiscal 2025. As of October 31, 2025, no directors held any restricted stock or other unvested stock awards.</w:t>
      </w:r>
    </w:p>
    <w:p>
      <w:pPr>
        <w:spacing w:after="0" w:line="21" w:lineRule="exact"/>
        <w:rPr>
          <w:sz w:val="20"/>
          <w:szCs w:val="20"/>
          <w:color w:val="auto"/>
        </w:rPr>
      </w:pPr>
    </w:p>
    <w:p>
      <w:pPr>
        <w:jc w:val="both"/>
        <w:ind w:left="320" w:hanging="313"/>
        <w:spacing w:after="0" w:line="239" w:lineRule="auto"/>
        <w:tabs>
          <w:tab w:leader="none" w:pos="308"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November 1, 2024, a stock option to purchase 2,167 shares of our common stock was granted to each non-employee director. The amount reported in the table represents the grant date fair value computed in accordance with FASB ASC Topic 718. The following is a summary of the specific assumptions used in the valuation of the option awards:</w:t>
      </w:r>
    </w:p>
    <w:p>
      <w:pPr>
        <w:spacing w:after="0" w:line="6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480" w:type="dxa"/>
            <w:vAlign w:val="bottom"/>
            <w:vMerge w:val="restart"/>
            <w:shd w:val="clear" w:color="auto" w:fill="BF2115"/>
          </w:tcPr>
          <w:p>
            <w:pPr>
              <w:ind w:left="20"/>
              <w:spacing w:after="0"/>
              <w:rPr>
                <w:sz w:val="20"/>
                <w:szCs w:val="20"/>
                <w:color w:val="auto"/>
              </w:rPr>
            </w:pPr>
            <w:r>
              <w:rPr>
                <w:rFonts w:ascii="Arial" w:cs="Arial" w:eastAsia="Arial" w:hAnsi="Arial"/>
                <w:sz w:val="14"/>
                <w:szCs w:val="14"/>
                <w:b w:val="1"/>
                <w:bCs w:val="1"/>
                <w:color w:val="FFFFFF"/>
              </w:rPr>
              <w:t>Grant Date</w:t>
            </w:r>
          </w:p>
        </w:tc>
        <w:tc>
          <w:tcPr>
            <w:tcW w:w="2040" w:type="dxa"/>
            <w:vAlign w:val="bottom"/>
            <w:vMerge w:val="restart"/>
            <w:shd w:val="clear" w:color="auto" w:fill="BF2115"/>
          </w:tcPr>
          <w:p>
            <w:pPr>
              <w:jc w:val="center"/>
              <w:ind w:left="160"/>
              <w:spacing w:after="0"/>
              <w:rPr>
                <w:sz w:val="20"/>
                <w:szCs w:val="20"/>
                <w:color w:val="auto"/>
              </w:rPr>
            </w:pPr>
            <w:r>
              <w:rPr>
                <w:rFonts w:ascii="Arial" w:cs="Arial" w:eastAsia="Arial" w:hAnsi="Arial"/>
                <w:sz w:val="14"/>
                <w:szCs w:val="14"/>
                <w:color w:val="FFFFFF"/>
              </w:rPr>
              <w:t>Risk Free Rate</w:t>
            </w:r>
          </w:p>
        </w:tc>
        <w:tc>
          <w:tcPr>
            <w:tcW w:w="1640" w:type="dxa"/>
            <w:vAlign w:val="bottom"/>
            <w:vMerge w:val="restart"/>
            <w:shd w:val="clear" w:color="auto" w:fill="BF2115"/>
          </w:tcPr>
          <w:p>
            <w:pPr>
              <w:jc w:val="center"/>
              <w:spacing w:after="0"/>
              <w:rPr>
                <w:sz w:val="20"/>
                <w:szCs w:val="20"/>
                <w:color w:val="auto"/>
              </w:rPr>
            </w:pPr>
            <w:r>
              <w:rPr>
                <w:rFonts w:ascii="Arial" w:cs="Arial" w:eastAsia="Arial" w:hAnsi="Arial"/>
                <w:sz w:val="14"/>
                <w:szCs w:val="14"/>
                <w:color w:val="FFFFFF"/>
              </w:rPr>
              <w:t>Expected Life</w:t>
            </w:r>
          </w:p>
        </w:tc>
        <w:tc>
          <w:tcPr>
            <w:tcW w:w="1700" w:type="dxa"/>
            <w:vAlign w:val="bottom"/>
            <w:vMerge w:val="restart"/>
            <w:shd w:val="clear" w:color="auto" w:fill="BF2115"/>
          </w:tcPr>
          <w:p>
            <w:pPr>
              <w:jc w:val="center"/>
              <w:ind w:left="80"/>
              <w:spacing w:after="0"/>
              <w:rPr>
                <w:sz w:val="20"/>
                <w:szCs w:val="20"/>
                <w:color w:val="auto"/>
              </w:rPr>
            </w:pPr>
            <w:r>
              <w:rPr>
                <w:rFonts w:ascii="Arial" w:cs="Arial" w:eastAsia="Arial" w:hAnsi="Arial"/>
                <w:sz w:val="14"/>
                <w:szCs w:val="14"/>
                <w:color w:val="FFFFFF"/>
                <w:w w:val="99"/>
              </w:rPr>
              <w:t>Expected Volatility</w:t>
            </w:r>
          </w:p>
        </w:tc>
        <w:tc>
          <w:tcPr>
            <w:tcW w:w="1820" w:type="dxa"/>
            <w:vAlign w:val="bottom"/>
            <w:vMerge w:val="restart"/>
            <w:shd w:val="clear" w:color="auto" w:fill="BF2115"/>
          </w:tcPr>
          <w:p>
            <w:pPr>
              <w:jc w:val="center"/>
              <w:ind w:left="40"/>
              <w:spacing w:after="0"/>
              <w:rPr>
                <w:sz w:val="20"/>
                <w:szCs w:val="20"/>
                <w:color w:val="auto"/>
              </w:rPr>
            </w:pPr>
            <w:r>
              <w:rPr>
                <w:rFonts w:ascii="Arial" w:cs="Arial" w:eastAsia="Arial" w:hAnsi="Arial"/>
                <w:sz w:val="14"/>
                <w:szCs w:val="14"/>
                <w:color w:val="FFFFFF"/>
              </w:rPr>
              <w:t>Expected Dividend Yield</w:t>
            </w:r>
          </w:p>
        </w:tc>
        <w:tc>
          <w:tcPr>
            <w:tcW w:w="174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Per Share Black-Scholes</w:t>
            </w:r>
          </w:p>
        </w:tc>
        <w:tc>
          <w:tcPr>
            <w:tcW w:w="0" w:type="dxa"/>
            <w:vAlign w:val="bottom"/>
          </w:tcPr>
          <w:p>
            <w:pPr>
              <w:spacing w:after="0"/>
              <w:rPr>
                <w:sz w:val="1"/>
                <w:szCs w:val="1"/>
                <w:color w:val="auto"/>
              </w:rPr>
            </w:pPr>
          </w:p>
        </w:tc>
      </w:tr>
      <w:tr>
        <w:trPr>
          <w:trHeight w:val="183"/>
        </w:trPr>
        <w:tc>
          <w:tcPr>
            <w:tcW w:w="1480" w:type="dxa"/>
            <w:vAlign w:val="bottom"/>
            <w:vMerge w:val="continue"/>
            <w:shd w:val="clear" w:color="auto" w:fill="BF2115"/>
          </w:tcPr>
          <w:p>
            <w:pPr>
              <w:spacing w:after="0"/>
              <w:rPr>
                <w:sz w:val="15"/>
                <w:szCs w:val="15"/>
                <w:color w:val="auto"/>
              </w:rPr>
            </w:pPr>
          </w:p>
        </w:tc>
        <w:tc>
          <w:tcPr>
            <w:tcW w:w="2040" w:type="dxa"/>
            <w:vAlign w:val="bottom"/>
            <w:vMerge w:val="continue"/>
            <w:shd w:val="clear" w:color="auto" w:fill="BF2115"/>
          </w:tcPr>
          <w:p>
            <w:pPr>
              <w:spacing w:after="0"/>
              <w:rPr>
                <w:sz w:val="15"/>
                <w:szCs w:val="15"/>
                <w:color w:val="auto"/>
              </w:rPr>
            </w:pPr>
          </w:p>
        </w:tc>
        <w:tc>
          <w:tcPr>
            <w:tcW w:w="1640" w:type="dxa"/>
            <w:vAlign w:val="bottom"/>
            <w:vMerge w:val="continue"/>
            <w:shd w:val="clear" w:color="auto" w:fill="BF2115"/>
          </w:tcPr>
          <w:p>
            <w:pPr>
              <w:spacing w:after="0"/>
              <w:rPr>
                <w:sz w:val="15"/>
                <w:szCs w:val="15"/>
                <w:color w:val="auto"/>
              </w:rPr>
            </w:pPr>
          </w:p>
        </w:tc>
        <w:tc>
          <w:tcPr>
            <w:tcW w:w="1700" w:type="dxa"/>
            <w:vAlign w:val="bottom"/>
            <w:vMerge w:val="continue"/>
            <w:shd w:val="clear" w:color="auto" w:fill="BF2115"/>
          </w:tcPr>
          <w:p>
            <w:pPr>
              <w:spacing w:after="0"/>
              <w:rPr>
                <w:sz w:val="15"/>
                <w:szCs w:val="15"/>
                <w:color w:val="auto"/>
              </w:rPr>
            </w:pPr>
          </w:p>
        </w:tc>
        <w:tc>
          <w:tcPr>
            <w:tcW w:w="1820" w:type="dxa"/>
            <w:vAlign w:val="bottom"/>
            <w:vMerge w:val="continue"/>
            <w:shd w:val="clear" w:color="auto" w:fill="BF2115"/>
          </w:tcPr>
          <w:p>
            <w:pPr>
              <w:spacing w:after="0"/>
              <w:rPr>
                <w:sz w:val="15"/>
                <w:szCs w:val="15"/>
                <w:color w:val="auto"/>
              </w:rPr>
            </w:pPr>
          </w:p>
        </w:tc>
        <w:tc>
          <w:tcPr>
            <w:tcW w:w="174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Value</w:t>
            </w:r>
          </w:p>
        </w:tc>
        <w:tc>
          <w:tcPr>
            <w:tcW w:w="0" w:type="dxa"/>
            <w:vAlign w:val="bottom"/>
          </w:tcPr>
          <w:p>
            <w:pPr>
              <w:spacing w:after="0"/>
              <w:rPr>
                <w:sz w:val="1"/>
                <w:szCs w:val="1"/>
                <w:color w:val="auto"/>
              </w:rPr>
            </w:pPr>
          </w:p>
        </w:tc>
      </w:tr>
      <w:tr>
        <w:trPr>
          <w:trHeight w:val="243"/>
        </w:trPr>
        <w:tc>
          <w:tcPr>
            <w:tcW w:w="1480" w:type="dxa"/>
            <w:vAlign w:val="bottom"/>
          </w:tcPr>
          <w:p>
            <w:pPr>
              <w:ind w:left="20"/>
              <w:spacing w:after="0"/>
              <w:rPr>
                <w:sz w:val="20"/>
                <w:szCs w:val="20"/>
                <w:color w:val="auto"/>
              </w:rPr>
            </w:pPr>
            <w:r>
              <w:rPr>
                <w:rFonts w:ascii="Arial" w:cs="Arial" w:eastAsia="Arial" w:hAnsi="Arial"/>
                <w:sz w:val="18"/>
                <w:szCs w:val="18"/>
                <w:color w:val="auto"/>
              </w:rPr>
              <w:t>11/1/2024</w:t>
            </w:r>
          </w:p>
        </w:tc>
        <w:tc>
          <w:tcPr>
            <w:tcW w:w="2040" w:type="dxa"/>
            <w:vAlign w:val="bottom"/>
          </w:tcPr>
          <w:p>
            <w:pPr>
              <w:jc w:val="right"/>
              <w:ind w:right="560"/>
              <w:spacing w:after="0"/>
              <w:rPr>
                <w:sz w:val="20"/>
                <w:szCs w:val="20"/>
                <w:color w:val="auto"/>
              </w:rPr>
            </w:pPr>
            <w:r>
              <w:rPr>
                <w:rFonts w:ascii="Arial" w:cs="Arial" w:eastAsia="Arial" w:hAnsi="Arial"/>
                <w:sz w:val="18"/>
                <w:szCs w:val="18"/>
                <w:color w:val="auto"/>
              </w:rPr>
              <w:t>4.20%</w:t>
            </w:r>
          </w:p>
        </w:tc>
        <w:tc>
          <w:tcPr>
            <w:tcW w:w="1640" w:type="dxa"/>
            <w:vAlign w:val="bottom"/>
          </w:tcPr>
          <w:p>
            <w:pPr>
              <w:jc w:val="right"/>
              <w:ind w:right="600"/>
              <w:spacing w:after="0"/>
              <w:rPr>
                <w:sz w:val="20"/>
                <w:szCs w:val="20"/>
                <w:color w:val="auto"/>
              </w:rPr>
            </w:pPr>
            <w:r>
              <w:rPr>
                <w:rFonts w:ascii="Arial" w:cs="Arial" w:eastAsia="Arial" w:hAnsi="Arial"/>
                <w:sz w:val="18"/>
                <w:szCs w:val="18"/>
                <w:color w:val="auto"/>
              </w:rPr>
              <w:t>6.8</w:t>
            </w:r>
          </w:p>
        </w:tc>
        <w:tc>
          <w:tcPr>
            <w:tcW w:w="1700" w:type="dxa"/>
            <w:vAlign w:val="bottom"/>
          </w:tcPr>
          <w:p>
            <w:pPr>
              <w:jc w:val="right"/>
              <w:ind w:right="380"/>
              <w:spacing w:after="0"/>
              <w:rPr>
                <w:sz w:val="20"/>
                <w:szCs w:val="20"/>
                <w:color w:val="auto"/>
              </w:rPr>
            </w:pPr>
            <w:r>
              <w:rPr>
                <w:rFonts w:ascii="Arial" w:cs="Arial" w:eastAsia="Arial" w:hAnsi="Arial"/>
                <w:sz w:val="18"/>
                <w:szCs w:val="18"/>
                <w:color w:val="auto"/>
              </w:rPr>
              <w:t>27.68%</w:t>
            </w:r>
          </w:p>
        </w:tc>
        <w:tc>
          <w:tcPr>
            <w:tcW w:w="1820" w:type="dxa"/>
            <w:vAlign w:val="bottom"/>
          </w:tcPr>
          <w:p>
            <w:pPr>
              <w:jc w:val="right"/>
              <w:ind w:right="520"/>
              <w:spacing w:after="0"/>
              <w:rPr>
                <w:sz w:val="20"/>
                <w:szCs w:val="20"/>
                <w:color w:val="auto"/>
              </w:rPr>
            </w:pPr>
            <w:r>
              <w:rPr>
                <w:rFonts w:ascii="Arial" w:cs="Arial" w:eastAsia="Arial" w:hAnsi="Arial"/>
                <w:sz w:val="18"/>
                <w:szCs w:val="18"/>
                <w:color w:val="auto"/>
              </w:rPr>
              <w:t>1.40%</w:t>
            </w:r>
          </w:p>
        </w:tc>
        <w:tc>
          <w:tcPr>
            <w:tcW w:w="1740" w:type="dxa"/>
            <w:vAlign w:val="bottom"/>
          </w:tcPr>
          <w:p>
            <w:pPr>
              <w:jc w:val="center"/>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20"/>
        <w:spacing w:after="0" w:line="247" w:lineRule="auto"/>
        <w:rPr>
          <w:sz w:val="20"/>
          <w:szCs w:val="20"/>
          <w:color w:val="auto"/>
        </w:rPr>
      </w:pPr>
      <w:r>
        <w:rPr>
          <w:rFonts w:ascii="Arial" w:cs="Arial" w:eastAsia="Arial" w:hAnsi="Arial"/>
          <w:sz w:val="17"/>
          <w:szCs w:val="17"/>
          <w:color w:val="auto"/>
        </w:rPr>
        <w:t>The exercise price per share is $ 81.50, which is equal to 100% of the fair market value of our common stock on the grant date, determined by the closing price on that date. The actual value of the stock option awards, if any, to be realized by a director depends upon whether the</w:t>
      </w:r>
    </w:p>
    <w:p>
      <w:pPr>
        <w:ind w:left="320"/>
        <w:spacing w:after="0" w:line="232" w:lineRule="auto"/>
        <w:rPr>
          <w:sz w:val="20"/>
          <w:szCs w:val="20"/>
          <w:color w:val="auto"/>
        </w:rPr>
      </w:pPr>
      <w:r>
        <w:rPr>
          <w:rFonts w:ascii="Arial" w:cs="Arial" w:eastAsia="Arial" w:hAnsi="Arial"/>
          <w:sz w:val="18"/>
          <w:szCs w:val="18"/>
          <w:color w:val="auto"/>
        </w:rPr>
        <w:t>price of our common stock at exercise is greater than the exercise price on the stock options. These stock option awards were the only</w:t>
      </w:r>
    </w:p>
    <w:p>
      <w:pPr>
        <w:spacing w:after="0" w:line="1" w:lineRule="exact"/>
        <w:rPr>
          <w:sz w:val="20"/>
          <w:szCs w:val="20"/>
          <w:color w:val="auto"/>
        </w:rPr>
      </w:pPr>
    </w:p>
    <w:p>
      <w:pPr>
        <w:ind w:left="320"/>
        <w:spacing w:after="0" w:line="224" w:lineRule="auto"/>
        <w:rPr>
          <w:sz w:val="20"/>
          <w:szCs w:val="20"/>
          <w:color w:val="auto"/>
        </w:rPr>
      </w:pPr>
      <w:r>
        <w:rPr>
          <w:rFonts w:ascii="Arial" w:cs="Arial" w:eastAsia="Arial" w:hAnsi="Arial"/>
          <w:sz w:val="18"/>
          <w:szCs w:val="18"/>
          <w:color w:val="auto"/>
        </w:rPr>
        <w:t>stock option awards granted to directors during fiscal 2025. For the aggregate number of stock options (exercisable and unexercisable) held by each non-employee director who served during all or part of fiscal 2025, as of January 20, 2026, please see Footnote 2 in the</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section entitled "Stockholder Ownership - Directors and Executive Officers," beginning on page 86.</w:t>
      </w:r>
    </w:p>
    <w:p>
      <w:pPr>
        <w:spacing w:after="0" w:line="31" w:lineRule="exact"/>
        <w:rPr>
          <w:sz w:val="20"/>
          <w:szCs w:val="20"/>
          <w:color w:val="auto"/>
        </w:rPr>
      </w:pPr>
    </w:p>
    <w:p>
      <w:pPr>
        <w:jc w:val="both"/>
        <w:ind w:left="320" w:hanging="313"/>
        <w:spacing w:after="0" w:line="239" w:lineRule="auto"/>
        <w:tabs>
          <w:tab w:leader="none" w:pos="308"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generally do not provide perquisites and other personal benefits to our non-employee directors, other than Company products for personal use and occasional travel for guests of non-employee directors and officers. The amount reported for Mr. O'Rourke includes the value of products, parts, service or accessories, as described under Company Products above.</w:t>
      </w:r>
    </w:p>
    <w:p>
      <w:pPr>
        <w:spacing w:after="0" w:line="22" w:lineRule="exact"/>
        <w:rPr>
          <w:rFonts w:ascii="Arial" w:cs="Arial" w:eastAsia="Arial" w:hAnsi="Arial"/>
          <w:sz w:val="18"/>
          <w:szCs w:val="18"/>
          <w:color w:val="auto"/>
        </w:rPr>
      </w:pPr>
    </w:p>
    <w:p>
      <w:pPr>
        <w:ind w:left="320" w:hanging="313"/>
        <w:spacing w:after="0" w:line="246" w:lineRule="auto"/>
        <w:tabs>
          <w:tab w:leader="none" w:pos="308"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Under the Deferred Plan for Directors, Ms. Mullen elected to defer receipt of her: (i) calendar 2024 and calendar 2025 retainers earned in fiscal 2025; and (ii) the annual stock award granted on November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firstLine="640"/>
        <w:spacing w:after="0" w:line="247" w:lineRule="auto"/>
        <w:rPr>
          <w:sz w:val="20"/>
          <w:szCs w:val="20"/>
          <w:color w:val="auto"/>
        </w:rPr>
      </w:pPr>
      <w:r>
        <w:rPr>
          <w:rFonts w:ascii="Arial" w:cs="Arial" w:eastAsia="Arial" w:hAnsi="Arial"/>
          <w:sz w:val="17"/>
          <w:szCs w:val="17"/>
          <w:b w:val="1"/>
          <w:bCs w:val="1"/>
          <w:i w:val="1"/>
          <w:iCs w:val="1"/>
          <w:color w:val="auto"/>
        </w:rPr>
        <w:t xml:space="preserve">Non-Employee Director Stock Ownership Guidelines. </w:t>
      </w:r>
      <w:r>
        <w:rPr>
          <w:rFonts w:ascii="Arial" w:cs="Arial" w:eastAsia="Arial" w:hAnsi="Arial"/>
          <w:sz w:val="17"/>
          <w:szCs w:val="17"/>
          <w:color w:val="auto"/>
        </w:rPr>
        <w:t>Our non-employee directors are required to hold an amount of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equal to five times the annual Board cash retainer. For additional information, please see the section entitled "Stockholder Ownership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Stock Ownership Guidelines," 87.</w:t>
      </w:r>
    </w:p>
    <w:p>
      <w:pPr>
        <w:spacing w:after="0" w:line="84" w:lineRule="exact"/>
        <w:rPr>
          <w:sz w:val="20"/>
          <w:szCs w:val="20"/>
          <w:color w:val="auto"/>
        </w:rPr>
      </w:pPr>
    </w:p>
    <w:p>
      <w:pPr>
        <w:ind w:firstLine="640"/>
        <w:spacing w:after="0" w:line="247" w:lineRule="auto"/>
        <w:rPr>
          <w:sz w:val="20"/>
          <w:szCs w:val="20"/>
          <w:color w:val="auto"/>
        </w:rPr>
      </w:pPr>
      <w:r>
        <w:rPr>
          <w:rFonts w:ascii="Arial" w:cs="Arial" w:eastAsia="Arial" w:hAnsi="Arial"/>
          <w:sz w:val="17"/>
          <w:szCs w:val="17"/>
          <w:b w:val="1"/>
          <w:bCs w:val="1"/>
          <w:i w:val="1"/>
          <w:iCs w:val="1"/>
          <w:color w:val="auto"/>
        </w:rPr>
        <w:t xml:space="preserve">Anti-Hedging and Anti-Pledging. </w:t>
      </w:r>
      <w:r>
        <w:rPr>
          <w:rFonts w:ascii="Arial" w:cs="Arial" w:eastAsia="Arial" w:hAnsi="Arial"/>
          <w:sz w:val="17"/>
          <w:szCs w:val="17"/>
          <w:color w:val="auto"/>
        </w:rPr>
        <w:t>Under the Company's Insider Trading Policy, all directors, officers and employees of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prohibited from engaging in speculative transactions in our Company's securities or other transactions which might give the appearance of</w:t>
      </w:r>
    </w:p>
    <w:p>
      <w:pPr>
        <w:spacing w:after="0" w:line="232" w:lineRule="auto"/>
        <w:rPr>
          <w:sz w:val="20"/>
          <w:szCs w:val="20"/>
          <w:color w:val="auto"/>
        </w:rPr>
      </w:pPr>
      <w:r>
        <w:rPr>
          <w:rFonts w:ascii="Arial" w:cs="Arial" w:eastAsia="Arial" w:hAnsi="Arial"/>
          <w:sz w:val="18"/>
          <w:szCs w:val="18"/>
          <w:color w:val="auto"/>
        </w:rPr>
        <w:t>impropriety. Specifically, all directors, officers and employees of the Company are prohibited from engaging in hedging transactions involving</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our Company's securities and purchasing our Company's securities on margin, borrowing against any account in which our Company's securities are held, or pledging our Company's securities as collateral for a loan. For additional information, please see the section entitled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"Stockholder Ownership - Anti-Hedging and Anti-Pledging," beginning on page 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21"/>
          <w:szCs w:val="21"/>
          <w:b w:val="1"/>
          <w:bCs w:val="1"/>
          <w:color w:val="FFFF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-151765</wp:posOffset>
            </wp:positionV>
            <wp:extent cx="6998335" cy="1866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8335" cy="1866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Overview</w:t>
      </w:r>
    </w:p>
    <w:p>
      <w:pPr>
        <w:spacing w:after="0" w:line="190" w:lineRule="exact"/>
        <w:rPr>
          <w:sz w:val="20"/>
          <w:szCs w:val="20"/>
          <w:color w:val="auto"/>
        </w:rPr>
      </w:pPr>
    </w:p>
    <w:p>
      <w:pPr>
        <w:ind w:firstLine="640"/>
        <w:spacing w:after="0" w:line="247" w:lineRule="auto"/>
        <w:rPr>
          <w:sz w:val="20"/>
          <w:szCs w:val="20"/>
          <w:color w:val="auto"/>
        </w:rPr>
      </w:pPr>
      <w:r>
        <w:rPr>
          <w:rFonts w:ascii="Arial" w:cs="Arial" w:eastAsia="Arial" w:hAnsi="Arial"/>
          <w:sz w:val="17"/>
          <w:szCs w:val="17"/>
          <w:color w:val="auto"/>
        </w:rPr>
        <w:t>The following section provides an overview of The Toro Company's corporate governance practices and the Company’s commitment to strong corporate governance that supports the long-term value of the Company, as evidenced by the framework the Company currently has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place.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BF2115"/>
        </w:rPr>
        <w:t>Board of Directors</w:t>
      </w:r>
    </w:p>
    <w:p>
      <w:pPr>
        <w:spacing w:after="0" w:line="191" w:lineRule="exact"/>
        <w:rPr>
          <w:sz w:val="20"/>
          <w:szCs w:val="20"/>
          <w:color w:val="auto"/>
        </w:rPr>
      </w:pPr>
    </w:p>
    <w:p>
      <w:pPr>
        <w:ind w:left="640" w:hanging="313"/>
        <w:spacing w:after="0" w:line="294" w:lineRule="auto"/>
        <w:tabs>
          <w:tab w:leader="none" w:pos="635"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BF2115"/>
        </w:rPr>
        <w:t xml:space="preserve">Board and Committee Independence and Lead Independent Director. </w:t>
      </w:r>
      <w:r>
        <w:rPr>
          <w:rFonts w:ascii="Arial" w:cs="Arial" w:eastAsia="Arial" w:hAnsi="Arial"/>
          <w:sz w:val="17"/>
          <w:szCs w:val="17"/>
          <w:color w:val="000000"/>
        </w:rPr>
        <w:t>All of our directors, except our Chairman and CEO, and</w:t>
      </w:r>
      <w:r>
        <w:rPr>
          <w:rFonts w:ascii="Arial" w:cs="Arial" w:eastAsia="Arial" w:hAnsi="Arial"/>
          <w:sz w:val="17"/>
          <w:szCs w:val="17"/>
          <w:b w:val="1"/>
          <w:bCs w:val="1"/>
          <w:color w:val="BF2115"/>
        </w:rPr>
        <w:t xml:space="preserve"> </w:t>
      </w:r>
      <w:r>
        <w:rPr>
          <w:rFonts w:ascii="Arial" w:cs="Arial" w:eastAsia="Arial" w:hAnsi="Arial"/>
          <w:sz w:val="17"/>
          <w:szCs w:val="17"/>
          <w:color w:val="000000"/>
        </w:rPr>
        <w:t>including our Lead Independent Director, are independent. All of our Board committees are comprised solely of independent directors.</w:t>
      </w:r>
    </w:p>
    <w:p>
      <w:pPr>
        <w:spacing w:after="0" w:line="134" w:lineRule="exact"/>
        <w:rPr>
          <w:rFonts w:ascii="Arial" w:cs="Arial" w:eastAsia="Arial" w:hAnsi="Arial"/>
          <w:sz w:val="17"/>
          <w:szCs w:val="17"/>
          <w:color w:val="auto"/>
        </w:rPr>
      </w:pPr>
    </w:p>
    <w:p>
      <w:pPr>
        <w:jc w:val="both"/>
        <w:ind w:left="640" w:hanging="313"/>
        <w:spacing w:after="0"/>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BF2115"/>
        </w:rPr>
        <w:t xml:space="preserve">Director Resignation Policy. </w:t>
      </w:r>
      <w:r>
        <w:rPr>
          <w:rFonts w:ascii="Arial" w:cs="Arial" w:eastAsia="Arial" w:hAnsi="Arial"/>
          <w:sz w:val="18"/>
          <w:szCs w:val="18"/>
          <w:color w:val="000000"/>
        </w:rPr>
        <w:t>If any nominee for director in an uncontested election receives a majority of “withheld” votes, such</w:t>
      </w:r>
      <w:r>
        <w:rPr>
          <w:rFonts w:ascii="Arial" w:cs="Arial" w:eastAsia="Arial" w:hAnsi="Arial"/>
          <w:sz w:val="18"/>
          <w:szCs w:val="18"/>
          <w:b w:val="1"/>
          <w:bCs w:val="1"/>
          <w:color w:val="BF2115"/>
        </w:rPr>
        <w:t xml:space="preserve"> </w:t>
      </w:r>
      <w:r>
        <w:rPr>
          <w:rFonts w:ascii="Arial" w:cs="Arial" w:eastAsia="Arial" w:hAnsi="Arial"/>
          <w:sz w:val="18"/>
          <w:szCs w:val="18"/>
          <w:color w:val="000000"/>
        </w:rPr>
        <w:t>director shall tender a resignation for consideration by the Nominating and Governance Committee, which then shall recommend to the Board the action to be taken with respect to such tendered resignation.</w:t>
      </w:r>
    </w:p>
    <w:p>
      <w:pPr>
        <w:spacing w:after="0" w:line="179" w:lineRule="exact"/>
        <w:rPr>
          <w:rFonts w:ascii="Arial" w:cs="Arial" w:eastAsia="Arial" w:hAnsi="Arial"/>
          <w:sz w:val="18"/>
          <w:szCs w:val="18"/>
          <w:color w:val="auto"/>
        </w:rPr>
      </w:pPr>
    </w:p>
    <w:p>
      <w:pPr>
        <w:jc w:val="both"/>
        <w:ind w:left="640" w:hanging="313"/>
        <w:spacing w:after="0"/>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BF2115"/>
        </w:rPr>
        <w:t xml:space="preserve">Annual Board and Committee Self-Evaluations. </w:t>
      </w:r>
      <w:r>
        <w:rPr>
          <w:rFonts w:ascii="Arial" w:cs="Arial" w:eastAsia="Arial" w:hAnsi="Arial"/>
          <w:sz w:val="18"/>
          <w:szCs w:val="18"/>
          <w:color w:val="000000"/>
        </w:rPr>
        <w:t>The Board, in coordination with the Nominating and Governance Committee,</w:t>
      </w:r>
      <w:r>
        <w:rPr>
          <w:rFonts w:ascii="Arial" w:cs="Arial" w:eastAsia="Arial" w:hAnsi="Arial"/>
          <w:sz w:val="18"/>
          <w:szCs w:val="18"/>
          <w:b w:val="1"/>
          <w:bCs w:val="1"/>
          <w:color w:val="BF2115"/>
        </w:rPr>
        <w:t xml:space="preserve"> </w:t>
      </w:r>
      <w:r>
        <w:rPr>
          <w:rFonts w:ascii="Arial" w:cs="Arial" w:eastAsia="Arial" w:hAnsi="Arial"/>
          <w:sz w:val="18"/>
          <w:szCs w:val="18"/>
          <w:color w:val="000000"/>
        </w:rPr>
        <w:t>conducts an annual self-evaluation of the Board as a whole and each of its committees. Each committee also conducts an annual self-evaluation. This process helps inform the annual director nomination process and Board refreshment.</w:t>
      </w:r>
    </w:p>
    <w:p>
      <w:pPr>
        <w:spacing w:after="0" w:line="179" w:lineRule="exact"/>
        <w:rPr>
          <w:rFonts w:ascii="Arial" w:cs="Arial" w:eastAsia="Arial" w:hAnsi="Arial"/>
          <w:sz w:val="18"/>
          <w:szCs w:val="18"/>
          <w:color w:val="auto"/>
        </w:rPr>
      </w:pPr>
    </w:p>
    <w:p>
      <w:pPr>
        <w:ind w:left="640" w:hanging="313"/>
        <w:spacing w:after="0" w:line="249"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BF2115"/>
        </w:rPr>
        <w:t xml:space="preserve">Annual Board Evaluation of CEO. </w:t>
      </w:r>
      <w:r>
        <w:rPr>
          <w:rFonts w:ascii="Arial" w:cs="Arial" w:eastAsia="Arial" w:hAnsi="Arial"/>
          <w:sz w:val="18"/>
          <w:szCs w:val="18"/>
          <w:color w:val="000000"/>
        </w:rPr>
        <w:t>The Chair of the Board and the Chair of the Compensation &amp; Human Resources Committee lead</w:t>
      </w:r>
      <w:r>
        <w:rPr>
          <w:rFonts w:ascii="Arial" w:cs="Arial" w:eastAsia="Arial" w:hAnsi="Arial"/>
          <w:sz w:val="18"/>
          <w:szCs w:val="18"/>
          <w:b w:val="1"/>
          <w:bCs w:val="1"/>
          <w:color w:val="BF2115"/>
        </w:rPr>
        <w:t xml:space="preserve"> </w:t>
      </w:r>
      <w:r>
        <w:rPr>
          <w:rFonts w:ascii="Arial" w:cs="Arial" w:eastAsia="Arial" w:hAnsi="Arial"/>
          <w:sz w:val="18"/>
          <w:szCs w:val="18"/>
          <w:color w:val="000000"/>
        </w:rPr>
        <w:t>the annual evaluation process of the CEO.</w:t>
      </w:r>
    </w:p>
    <w:p>
      <w:pPr>
        <w:spacing w:after="0" w:line="170" w:lineRule="exact"/>
        <w:rPr>
          <w:rFonts w:ascii="Arial" w:cs="Arial" w:eastAsia="Arial" w:hAnsi="Arial"/>
          <w:sz w:val="18"/>
          <w:szCs w:val="18"/>
          <w:color w:val="auto"/>
        </w:rPr>
      </w:pPr>
    </w:p>
    <w:p>
      <w:pPr>
        <w:jc w:val="both"/>
        <w:ind w:left="640" w:hanging="313"/>
        <w:spacing w:after="0" w:line="233"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BF2115"/>
        </w:rPr>
        <w:t xml:space="preserve">Limits on Public Company Board and Audit Committee Service. </w:t>
      </w:r>
      <w:r>
        <w:rPr>
          <w:rFonts w:ascii="Arial" w:cs="Arial" w:eastAsia="Arial" w:hAnsi="Arial"/>
          <w:sz w:val="18"/>
          <w:szCs w:val="18"/>
          <w:color w:val="000000"/>
        </w:rPr>
        <w:t>No independent director may serve on more than four public</w:t>
      </w:r>
      <w:r>
        <w:rPr>
          <w:rFonts w:ascii="Arial" w:cs="Arial" w:eastAsia="Arial" w:hAnsi="Arial"/>
          <w:sz w:val="18"/>
          <w:szCs w:val="18"/>
          <w:b w:val="1"/>
          <w:bCs w:val="1"/>
          <w:color w:val="BF2115"/>
        </w:rPr>
        <w:t xml:space="preserve"> </w:t>
      </w:r>
      <w:r>
        <w:rPr>
          <w:rFonts w:ascii="Arial" w:cs="Arial" w:eastAsia="Arial" w:hAnsi="Arial"/>
          <w:sz w:val="18"/>
          <w:szCs w:val="18"/>
          <w:color w:val="000000"/>
        </w:rPr>
        <w:t>company boards (including the Company’s Board) and directors who are also serving as a chief executive officer, including the Company’s CEO, may not serve on more than two public company boards (including the Company’s Board). No member of the Audit Committee may simultaneously serve on the audit committee of more than three public companies (including the Company’s Audit Committee), unless the Board determines that such simultaneous service would not impair the effectiveness of the director's service on the Company’s Audit Committee. A director must seek approval of the Nominating and Governance Committee in advance of serving on the board of another entity.</w:t>
      </w:r>
    </w:p>
    <w:p>
      <w:pPr>
        <w:spacing w:after="0" w:line="181" w:lineRule="exact"/>
        <w:rPr>
          <w:rFonts w:ascii="Arial" w:cs="Arial" w:eastAsia="Arial" w:hAnsi="Arial"/>
          <w:sz w:val="18"/>
          <w:szCs w:val="18"/>
          <w:color w:val="auto"/>
        </w:rPr>
      </w:pPr>
    </w:p>
    <w:p>
      <w:pPr>
        <w:jc w:val="both"/>
        <w:ind w:left="640" w:hanging="313"/>
        <w:spacing w:after="0"/>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BF2115"/>
        </w:rPr>
        <w:t xml:space="preserve">Regular Executive Sessions of Independent Directors. </w:t>
      </w:r>
      <w:r>
        <w:rPr>
          <w:rFonts w:ascii="Arial" w:cs="Arial" w:eastAsia="Arial" w:hAnsi="Arial"/>
          <w:sz w:val="18"/>
          <w:szCs w:val="18"/>
          <w:color w:val="000000"/>
        </w:rPr>
        <w:t>The independent directors hold regular executive sessions, generally at</w:t>
      </w:r>
      <w:r>
        <w:rPr>
          <w:rFonts w:ascii="Arial" w:cs="Arial" w:eastAsia="Arial" w:hAnsi="Arial"/>
          <w:sz w:val="18"/>
          <w:szCs w:val="18"/>
          <w:b w:val="1"/>
          <w:bCs w:val="1"/>
          <w:color w:val="BF2115"/>
        </w:rPr>
        <w:t xml:space="preserve"> </w:t>
      </w:r>
      <w:r>
        <w:rPr>
          <w:rFonts w:ascii="Arial" w:cs="Arial" w:eastAsia="Arial" w:hAnsi="Arial"/>
          <w:sz w:val="18"/>
          <w:szCs w:val="18"/>
          <w:color w:val="000000"/>
        </w:rPr>
        <w:t>each regularly scheduled meeting of the Board and each committee, at which management, including the Chairman and CEO, is not present.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BF2115"/>
        </w:rPr>
        <w:t>Stockholder Rights and Engagement</w:t>
      </w:r>
    </w:p>
    <w:p>
      <w:pPr>
        <w:spacing w:after="0" w:line="191" w:lineRule="exact"/>
        <w:rPr>
          <w:sz w:val="20"/>
          <w:szCs w:val="20"/>
          <w:color w:val="auto"/>
        </w:rPr>
      </w:pPr>
    </w:p>
    <w:p>
      <w:pPr>
        <w:ind w:left="640" w:hanging="313"/>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BF2115"/>
        </w:rPr>
        <w:t xml:space="preserve">No Stockholder Rights Plan. </w:t>
      </w:r>
      <w:r>
        <w:rPr>
          <w:rFonts w:ascii="Arial" w:cs="Arial" w:eastAsia="Arial" w:hAnsi="Arial"/>
          <w:sz w:val="18"/>
          <w:szCs w:val="18"/>
          <w:color w:val="000000"/>
        </w:rPr>
        <w:t>We do not have a stockholder rights agreement, also known as a poison pill.</w:t>
      </w:r>
    </w:p>
    <w:p>
      <w:pPr>
        <w:spacing w:after="0" w:line="206" w:lineRule="exact"/>
        <w:rPr>
          <w:rFonts w:ascii="Arial" w:cs="Arial" w:eastAsia="Arial" w:hAnsi="Arial"/>
          <w:sz w:val="18"/>
          <w:szCs w:val="18"/>
          <w:color w:val="auto"/>
        </w:rPr>
      </w:pPr>
    </w:p>
    <w:p>
      <w:pPr>
        <w:ind w:left="640" w:hanging="313"/>
        <w:spacing w:after="0" w:line="26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BF2115"/>
        </w:rPr>
        <w:t xml:space="preserve">Stockholder Engagement. </w:t>
      </w:r>
      <w:r>
        <w:rPr>
          <w:rFonts w:ascii="Arial" w:cs="Arial" w:eastAsia="Arial" w:hAnsi="Arial"/>
          <w:sz w:val="18"/>
          <w:szCs w:val="18"/>
          <w:color w:val="000000"/>
        </w:rPr>
        <w:t>We regularly engage with stockholders, including our top institutional investors. At these meetings, we</w:t>
      </w:r>
      <w:r>
        <w:rPr>
          <w:rFonts w:ascii="Arial" w:cs="Arial" w:eastAsia="Arial" w:hAnsi="Arial"/>
          <w:sz w:val="18"/>
          <w:szCs w:val="18"/>
          <w:b w:val="1"/>
          <w:bCs w:val="1"/>
          <w:color w:val="BF2115"/>
        </w:rPr>
        <w:t xml:space="preserve"> </w:t>
      </w:r>
      <w:r>
        <w:rPr>
          <w:rFonts w:ascii="Arial" w:cs="Arial" w:eastAsia="Arial" w:hAnsi="Arial"/>
          <w:sz w:val="18"/>
          <w:szCs w:val="18"/>
          <w:color w:val="000000"/>
        </w:rPr>
        <w:t>typically discuss board oversight, executive compensation and sustainability, among other topics.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Corporate Governance Guidelines</w:t>
      </w:r>
    </w:p>
    <w:p>
      <w:pPr>
        <w:spacing w:after="0" w:line="84" w:lineRule="exact"/>
        <w:rPr>
          <w:sz w:val="20"/>
          <w:szCs w:val="20"/>
          <w:color w:val="auto"/>
        </w:rPr>
      </w:pPr>
    </w:p>
    <w:p>
      <w:pPr>
        <w:ind w:firstLine="640"/>
        <w:spacing w:after="0" w:line="255" w:lineRule="auto"/>
        <w:rPr>
          <w:sz w:val="20"/>
          <w:szCs w:val="20"/>
          <w:color w:val="auto"/>
        </w:rPr>
      </w:pPr>
      <w:r>
        <w:rPr>
          <w:rFonts w:ascii="Arial" w:cs="Arial" w:eastAsia="Arial" w:hAnsi="Arial"/>
          <w:sz w:val="17"/>
          <w:szCs w:val="17"/>
          <w:color w:val="auto"/>
        </w:rPr>
        <w:t>The Board maintains Corporate Governance Guidelines which describe our corporate governance practices and policies and provide a framework for our Board governance. The Nominating and Governance Committee reviews our Corporate Governance Guidelines annually to</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ensure they reflect current corporate governance standards and the Company’s practices. The Corporate Governance Guidelines can be found under the “Corporate Governance” subsection of the “Investor Relations” section of our website 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https://www.thetorocompany.com/corporate-governance/highlights, or by writing to our Corporate Secretary at The Toro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Company, Inc., 8111 Lyndale Avenue South, Bloomington, Minnesota, 55420-1196 and via email at invest@toro.com.</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Staggered Board Structure</w:t>
      </w:r>
    </w:p>
    <w:p>
      <w:pPr>
        <w:spacing w:after="0" w:line="230"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Our certificate of incorporation provides for a staggered board of directors consisting of three classes of directors, with each class serving a three-year term. We are committed to strong corporate governance, and our Board believes that our staggered board structure provides important benefits to us and our stockholders, including promotion of our long-term objectives, enhanced director independence, stability and continuity of leadership, and protection from unsolicited takeovers.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Policy Regarding Separation of Chair and CEO</w:t>
      </w:r>
    </w:p>
    <w:p>
      <w:pPr>
        <w:spacing w:after="0" w:line="84"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18"/>
          <w:szCs w:val="18"/>
          <w:color w:val="auto"/>
        </w:rPr>
        <w:t>Our Corporate Governance Guidelines provide that our Board has no policy with respect to the separation of the offices of the Chair of the Board and the CEO. The Board believes it is appropriate not to have a policy requiring the separation of the offices of the Chair of the</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Board and the CEO so that the Board may make this determination based on what it believes is best under the current circumstances. Additionally, our Board believes that this issue is part of the succession planning process and will be reviewed as the Nominating and</w:t>
      </w:r>
    </w:p>
    <w:p>
      <w:pPr>
        <w:spacing w:after="0" w:line="232" w:lineRule="auto"/>
        <w:rPr>
          <w:sz w:val="20"/>
          <w:szCs w:val="20"/>
          <w:color w:val="auto"/>
        </w:rPr>
      </w:pPr>
      <w:r>
        <w:rPr>
          <w:rFonts w:ascii="Arial" w:cs="Arial" w:eastAsia="Arial" w:hAnsi="Arial"/>
          <w:sz w:val="18"/>
          <w:szCs w:val="18"/>
          <w:color w:val="auto"/>
        </w:rPr>
        <w:t>Governance Committee deems it appropriate. However, at any time that: (i) the offices of Chair of the Board and CEO are held by the same</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person; or (ii) the Chair of the Board does not meet the criteria for "independence" as established by applicable law, the rules and regulations of the SEC, or the NYSE listing standards, then the Board, upon recommendation of the Nominating and Governance Committee, shall appoint</w:t>
      </w:r>
    </w:p>
    <w:p>
      <w:pPr>
        <w:spacing w:after="0" w:line="1"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a Lead Independent Director, who shall have such duties as are described in the Corporate Governance Guidelines or otherwise determined by the Board.</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Current Board Leadership Structure</w:t>
      </w:r>
    </w:p>
    <w:p>
      <w:pPr>
        <w:spacing w:after="0" w:line="84"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17"/>
          <w:szCs w:val="17"/>
          <w:color w:val="auto"/>
        </w:rPr>
        <w:t>Our Board is currently chaired by Richard M. Olson, our Chairman and CEO. Our Lead Independent Director, selected by the Board, is Gary L. Ellis. Our Nominating and Governance Committee and Board believe that our current Board leadership structure ensures a strong and independent Board of Directors, provides effective governance, and creates appropriate oversight for the long-term benefit of our stockholders.</w:t>
      </w:r>
    </w:p>
    <w:p>
      <w:pPr>
        <w:sectPr>
          <w:pgSz w:w="11900" w:h="16838" w:orient="portrait"/>
          <w:cols w:equalWidth="0" w:num="1">
            <w:col w:w="11240"/>
          </w:cols>
          <w:pgMar w:left="320" w:top="1097" w:right="339" w:bottom="1440" w:gutter="0" w:footer="0" w:header="0"/>
        </w:sectPr>
      </w:pPr>
    </w:p>
    <w:p>
      <w:pPr>
        <w:spacing w:after="0" w:line="81"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FFFFFF"/>
        </w:rPr>
        <w:t>Chairman and CEO</w:t>
      </w:r>
    </w:p>
    <w:p>
      <w:pPr>
        <w:spacing w:after="0" w:line="144" w:lineRule="exact"/>
        <w:rPr>
          <w:sz w:val="20"/>
          <w:szCs w:val="20"/>
          <w:color w:val="auto"/>
        </w:rPr>
      </w:pPr>
    </w:p>
    <w:p>
      <w:pPr>
        <w:jc w:val="both"/>
        <w:ind w:left="980" w:hanging="315"/>
        <w:spacing w:after="0" w:line="236"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Extensive knowledge of our Company, our business, operations and industry, obtained through nearly 40 years of service to our Company, which benefit Board leadership and the Board's decision-making process through his active role as Chairman</w:t>
      </w:r>
    </w:p>
    <w:p>
      <w:pPr>
        <w:spacing w:after="0" w:line="316" w:lineRule="exact"/>
        <w:rPr>
          <w:rFonts w:ascii="Arial" w:cs="Arial" w:eastAsia="Arial" w:hAnsi="Arial"/>
          <w:sz w:val="18"/>
          <w:szCs w:val="18"/>
          <w:color w:val="auto"/>
        </w:rPr>
      </w:pPr>
    </w:p>
    <w:p>
      <w:pPr>
        <w:ind w:left="980" w:hanging="315"/>
        <w:spacing w:after="0" w:line="262"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Unifies Board leadership and strategic direction as implemented by management team</w:t>
      </w:r>
    </w:p>
    <w:p>
      <w:pPr>
        <w:spacing w:after="0" w:line="95" w:lineRule="exact"/>
        <w:rPr>
          <w:rFonts w:ascii="Arial" w:cs="Arial" w:eastAsia="Arial" w:hAnsi="Arial"/>
          <w:sz w:val="18"/>
          <w:szCs w:val="18"/>
          <w:color w:val="auto"/>
        </w:rPr>
      </w:pPr>
    </w:p>
    <w:p>
      <w:pPr>
        <w:jc w:val="both"/>
        <w:ind w:left="980" w:hanging="315"/>
        <w:spacing w:after="0" w:line="237"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Provides appropriate balance of risks relating to concentration of authority through the oversight of the independent and engaged Lead Independent Director and Board</w:t>
      </w:r>
    </w:p>
    <w:p>
      <w:pPr>
        <w:spacing w:after="0" w:line="22" w:lineRule="exact"/>
        <w:rPr>
          <w:rFonts w:ascii="Arial" w:cs="Arial" w:eastAsia="Arial" w:hAnsi="Arial"/>
          <w:sz w:val="18"/>
          <w:szCs w:val="18"/>
          <w:color w:val="auto"/>
        </w:rPr>
      </w:pPr>
    </w:p>
    <w:p>
      <w:pPr>
        <w:ind w:left="980" w:hanging="315"/>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Coordinates the work of the Board's committees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-3233420</wp:posOffset>
            </wp:positionH>
            <wp:positionV relativeFrom="paragraph">
              <wp:posOffset>-142875</wp:posOffset>
            </wp:positionV>
            <wp:extent cx="6617335" cy="169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17335" cy="169545"/>
                    </a:xfrm>
                    <a:prstGeom prst="rect">
                      <a:avLst/>
                    </a:prstGeom>
                    <a:noFill/>
                  </pic:spPr>
                </pic:pic>
              </a:graphicData>
            </a:graphic>
          </wp:anchor>
        </w:drawing>
      </w:r>
    </w:p>
    <w:p>
      <w:pPr>
        <w:spacing w:after="0" w:line="124" w:lineRule="exact"/>
        <w:rPr>
          <w:sz w:val="20"/>
          <w:szCs w:val="20"/>
          <w:color w:val="auto"/>
        </w:rPr>
      </w:pPr>
    </w:p>
    <w:p>
      <w:pPr>
        <w:jc w:val="both"/>
        <w:ind w:left="320" w:right="200" w:hanging="312"/>
        <w:spacing w:after="0" w:line="235" w:lineRule="auto"/>
        <w:tabs>
          <w:tab w:leader="none" w:pos="3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 more than 20 years of service on our Board and considerable knowledge of our Company, business and industry, Mr. Ellis assists the Chairman and CEO in establishing the agendas for Board meetings and the schedule of agenda subjects to be discussed during the year, to the extent such subjects can be foreseen</w:t>
      </w:r>
    </w:p>
    <w:p>
      <w:pPr>
        <w:spacing w:after="0" w:line="11" w:lineRule="exact"/>
        <w:rPr>
          <w:rFonts w:ascii="Arial" w:cs="Arial" w:eastAsia="Arial" w:hAnsi="Arial"/>
          <w:sz w:val="18"/>
          <w:szCs w:val="18"/>
          <w:color w:val="auto"/>
        </w:rPr>
      </w:pPr>
    </w:p>
    <w:p>
      <w:pPr>
        <w:ind w:left="320" w:right="260" w:hanging="312"/>
        <w:spacing w:after="0" w:line="246" w:lineRule="auto"/>
        <w:tabs>
          <w:tab w:leader="none" w:pos="3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Presides at regularly scheduled executive sessions of the non-employee directors without management present</w:t>
      </w:r>
    </w:p>
    <w:p>
      <w:pPr>
        <w:spacing w:after="0" w:line="229" w:lineRule="exact"/>
        <w:rPr>
          <w:rFonts w:ascii="Arial" w:cs="Arial" w:eastAsia="Arial" w:hAnsi="Arial"/>
          <w:sz w:val="18"/>
          <w:szCs w:val="18"/>
          <w:color w:val="auto"/>
        </w:rPr>
      </w:pPr>
    </w:p>
    <w:p>
      <w:pPr>
        <w:jc w:val="both"/>
        <w:ind w:left="320" w:right="200" w:hanging="312"/>
        <w:spacing w:after="0" w:line="237" w:lineRule="auto"/>
        <w:tabs>
          <w:tab w:leader="none" w:pos="3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Together with the Chair of the Compensation &amp; Human Resources Committee, communicates to the Chairman and CEO the results of his annual performance review and compensation</w:t>
      </w:r>
    </w:p>
    <w:p>
      <w:pPr>
        <w:spacing w:after="0" w:line="129" w:lineRule="exact"/>
        <w:rPr>
          <w:rFonts w:ascii="Arial" w:cs="Arial" w:eastAsia="Arial" w:hAnsi="Arial"/>
          <w:sz w:val="18"/>
          <w:szCs w:val="18"/>
          <w:color w:val="auto"/>
        </w:rPr>
      </w:pPr>
    </w:p>
    <w:p>
      <w:pPr>
        <w:ind w:left="320" w:right="200" w:hanging="312"/>
        <w:spacing w:after="0" w:line="262" w:lineRule="auto"/>
        <w:tabs>
          <w:tab w:leader="none" w:pos="3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Together with the Chair of the Nominating and Governance Committee, leads the Board's annual self-evaluation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-3233420</wp:posOffset>
            </wp:positionH>
            <wp:positionV relativeFrom="paragraph">
              <wp:posOffset>-1301115</wp:posOffset>
            </wp:positionV>
            <wp:extent cx="6617335" cy="3473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17335" cy="347345"/>
                    </a:xfrm>
                    <a:prstGeom prst="rect">
                      <a:avLst/>
                    </a:prstGeom>
                    <a:noFill/>
                  </pic:spPr>
                </pic:pic>
              </a:graphicData>
            </a:graphic>
          </wp:anchor>
        </w:drawing>
        <w:drawing>
          <wp:anchor simplePos="0" relativeHeight="251657728" behindDoc="1" locked="0" layoutInCell="0" allowOverlap="1">
            <wp:simplePos x="0" y="0"/>
            <wp:positionH relativeFrom="column">
              <wp:posOffset>-3233420</wp:posOffset>
            </wp:positionH>
            <wp:positionV relativeFrom="paragraph">
              <wp:posOffset>-351790</wp:posOffset>
            </wp:positionV>
            <wp:extent cx="6617335" cy="3473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17335" cy="3473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500"/>
          </w:cols>
          <w:pgMar w:left="320" w:top="1097" w:right="3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Director Attendance; Executive Sessions</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Board member is expected to dedicate to the Company sufficient time, energy and attention to ensure the diligent performance</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of the director’s duties. Our Corporate Governance Guidelines provide that, except in exigent circumstances, each member of the Board is expected to attend Board and committee meetings. Each director attended at least 75% of the combined total meetings of the full Board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committees on which such director served in fiscal 2025. Directors are also expected to attend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29" w:name="page30"/>
    <w:bookmarkEnd w:id="29"/>
    <w:p>
      <w:pPr>
        <w:jc w:val="both"/>
        <w:spacing w:after="0" w:line="262" w:lineRule="auto"/>
        <w:rPr>
          <w:sz w:val="20"/>
          <w:szCs w:val="20"/>
          <w:color w:val="auto"/>
        </w:rPr>
      </w:pPr>
      <w:r>
        <w:rPr>
          <w:rFonts w:ascii="Arial" w:cs="Arial" w:eastAsia="Arial" w:hAnsi="Arial"/>
          <w:sz w:val="18"/>
          <w:szCs w:val="18"/>
          <w:color w:val="auto"/>
        </w:rPr>
        <w:t>annual meeting of stockholders, but are not required to do so. Eight of our nine directors serving at the time of the Annual Meeting of Stockholders held on March 18, 2025 attended that meeting.</w:t>
      </w:r>
    </w:p>
    <w:p>
      <w:pPr>
        <w:spacing w:after="0" w:line="42"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18"/>
          <w:szCs w:val="18"/>
          <w:color w:val="auto"/>
        </w:rPr>
        <w:t>Our Corporate Governance Guidelines provide that the non-employee directors will meet in regularly scheduled executive sessions without management. At each regular Board meeting held during fiscal 2025 our non-employee directors met in executive session without</w:t>
      </w:r>
    </w:p>
    <w:p>
      <w:pPr>
        <w:spacing w:after="0" w:line="1"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management present and such meetings were presided over by our Lead Independent Director, Gary L. Ellis. Each committee also holds executive sessions without any members of management present, generally at each meeting.</w:t>
      </w:r>
    </w:p>
    <w:p>
      <w:pPr>
        <w:spacing w:after="0" w:line="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fiscal 2025, the Board and each of its committees held the following number of meetings.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shd w:val="clear" w:color="auto" w:fill="BF2115"/>
          </w:tcPr>
          <w:p>
            <w:pPr>
              <w:spacing w:after="0"/>
              <w:rPr>
                <w:sz w:val="17"/>
                <w:szCs w:val="17"/>
                <w:color w:val="auto"/>
              </w:rPr>
            </w:pPr>
          </w:p>
        </w:tc>
        <w:tc>
          <w:tcPr>
            <w:tcW w:w="1220" w:type="dxa"/>
            <w:vAlign w:val="bottom"/>
            <w:vMerge w:val="restart"/>
            <w:shd w:val="clear" w:color="auto" w:fill="BF2115"/>
          </w:tcPr>
          <w:p>
            <w:pPr>
              <w:jc w:val="center"/>
              <w:spacing w:after="0"/>
              <w:rPr>
                <w:sz w:val="20"/>
                <w:szCs w:val="20"/>
                <w:color w:val="auto"/>
              </w:rPr>
            </w:pPr>
            <w:r>
              <w:rPr>
                <w:rFonts w:ascii="Arial" w:cs="Arial" w:eastAsia="Arial" w:hAnsi="Arial"/>
                <w:sz w:val="18"/>
                <w:szCs w:val="18"/>
                <w:b w:val="1"/>
                <w:bCs w:val="1"/>
                <w:color w:val="FFFFFF"/>
                <w:w w:val="99"/>
              </w:rPr>
              <w:t>Board</w:t>
            </w:r>
          </w:p>
        </w:tc>
        <w:tc>
          <w:tcPr>
            <w:tcW w:w="1000" w:type="dxa"/>
            <w:vAlign w:val="bottom"/>
            <w:vMerge w:val="restart"/>
            <w:shd w:val="clear" w:color="auto" w:fill="BF2115"/>
          </w:tcPr>
          <w:p>
            <w:pPr>
              <w:jc w:val="center"/>
              <w:ind w:left="11"/>
              <w:spacing w:after="0"/>
              <w:rPr>
                <w:sz w:val="20"/>
                <w:szCs w:val="20"/>
                <w:color w:val="auto"/>
              </w:rPr>
            </w:pPr>
            <w:r>
              <w:rPr>
                <w:rFonts w:ascii="Arial" w:cs="Arial" w:eastAsia="Arial" w:hAnsi="Arial"/>
                <w:sz w:val="18"/>
                <w:szCs w:val="18"/>
                <w:b w:val="1"/>
                <w:bCs w:val="1"/>
                <w:color w:val="FFFFFF"/>
                <w:w w:val="99"/>
              </w:rPr>
              <w:t>Audit</w:t>
            </w:r>
          </w:p>
        </w:tc>
        <w:tc>
          <w:tcPr>
            <w:tcW w:w="2380" w:type="dxa"/>
            <w:vAlign w:val="bottom"/>
            <w:shd w:val="clear" w:color="auto" w:fill="BF2115"/>
          </w:tcPr>
          <w:p>
            <w:pPr>
              <w:jc w:val="center"/>
              <w:ind w:left="11"/>
              <w:spacing w:after="0"/>
              <w:rPr>
                <w:sz w:val="20"/>
                <w:szCs w:val="20"/>
                <w:color w:val="auto"/>
              </w:rPr>
            </w:pPr>
            <w:r>
              <w:rPr>
                <w:rFonts w:ascii="Arial" w:cs="Arial" w:eastAsia="Arial" w:hAnsi="Arial"/>
                <w:sz w:val="18"/>
                <w:szCs w:val="18"/>
                <w:b w:val="1"/>
                <w:bCs w:val="1"/>
                <w:color w:val="FFFFFF"/>
                <w:w w:val="99"/>
              </w:rPr>
              <w:t>Compensation &amp; Human</w:t>
            </w:r>
          </w:p>
        </w:tc>
        <w:tc>
          <w:tcPr>
            <w:tcW w:w="2300" w:type="dxa"/>
            <w:vAlign w:val="bottom"/>
            <w:shd w:val="clear" w:color="auto" w:fill="BF2115"/>
          </w:tcPr>
          <w:p>
            <w:pPr>
              <w:jc w:val="center"/>
              <w:ind w:right="11"/>
              <w:spacing w:after="0"/>
              <w:rPr>
                <w:sz w:val="20"/>
                <w:szCs w:val="20"/>
                <w:color w:val="auto"/>
              </w:rPr>
            </w:pPr>
            <w:r>
              <w:rPr>
                <w:rFonts w:ascii="Arial" w:cs="Arial" w:eastAsia="Arial" w:hAnsi="Arial"/>
                <w:sz w:val="18"/>
                <w:szCs w:val="18"/>
                <w:b w:val="1"/>
                <w:bCs w:val="1"/>
                <w:color w:val="FFFFFF"/>
                <w:w w:val="99"/>
              </w:rPr>
              <w:t>Nominating and</w:t>
            </w:r>
          </w:p>
        </w:tc>
        <w:tc>
          <w:tcPr>
            <w:tcW w:w="2160" w:type="dxa"/>
            <w:vAlign w:val="bottom"/>
            <w:vMerge w:val="restart"/>
            <w:shd w:val="clear" w:color="auto" w:fill="BF2115"/>
          </w:tcPr>
          <w:p>
            <w:pPr>
              <w:jc w:val="center"/>
              <w:spacing w:after="0"/>
              <w:rPr>
                <w:sz w:val="20"/>
                <w:szCs w:val="20"/>
                <w:color w:val="auto"/>
              </w:rPr>
            </w:pPr>
            <w:r>
              <w:rPr>
                <w:rFonts w:ascii="Arial" w:cs="Arial" w:eastAsia="Arial" w:hAnsi="Arial"/>
                <w:sz w:val="18"/>
                <w:szCs w:val="18"/>
                <w:b w:val="1"/>
                <w:bCs w:val="1"/>
                <w:color w:val="FFFFFF"/>
                <w:w w:val="98"/>
              </w:rPr>
              <w:t>Finance Committee</w:t>
            </w:r>
          </w:p>
        </w:tc>
        <w:tc>
          <w:tcPr>
            <w:tcW w:w="0" w:type="dxa"/>
            <w:vAlign w:val="bottom"/>
          </w:tcPr>
          <w:p>
            <w:pPr>
              <w:spacing w:after="0"/>
              <w:rPr>
                <w:sz w:val="1"/>
                <w:szCs w:val="1"/>
                <w:color w:val="auto"/>
              </w:rPr>
            </w:pPr>
          </w:p>
        </w:tc>
      </w:tr>
      <w:tr>
        <w:trPr>
          <w:trHeight w:val="240"/>
        </w:trPr>
        <w:tc>
          <w:tcPr>
            <w:tcW w:w="2180" w:type="dxa"/>
            <w:vAlign w:val="bottom"/>
            <w:shd w:val="clear" w:color="auto" w:fill="BF2115"/>
          </w:tcPr>
          <w:p>
            <w:pPr>
              <w:spacing w:after="0"/>
              <w:rPr>
                <w:sz w:val="20"/>
                <w:szCs w:val="20"/>
                <w:color w:val="auto"/>
              </w:rPr>
            </w:pPr>
          </w:p>
        </w:tc>
        <w:tc>
          <w:tcPr>
            <w:tcW w:w="1220" w:type="dxa"/>
            <w:vAlign w:val="bottom"/>
            <w:vMerge w:val="continue"/>
            <w:shd w:val="clear" w:color="auto" w:fill="BF2115"/>
          </w:tcPr>
          <w:p>
            <w:pPr>
              <w:spacing w:after="0"/>
              <w:rPr>
                <w:sz w:val="20"/>
                <w:szCs w:val="20"/>
                <w:color w:val="auto"/>
              </w:rPr>
            </w:pPr>
          </w:p>
        </w:tc>
        <w:tc>
          <w:tcPr>
            <w:tcW w:w="1000" w:type="dxa"/>
            <w:vAlign w:val="bottom"/>
            <w:vMerge w:val="continue"/>
            <w:shd w:val="clear" w:color="auto" w:fill="BF2115"/>
          </w:tcPr>
          <w:p>
            <w:pPr>
              <w:spacing w:after="0"/>
              <w:rPr>
                <w:sz w:val="20"/>
                <w:szCs w:val="20"/>
                <w:color w:val="auto"/>
              </w:rPr>
            </w:pPr>
          </w:p>
        </w:tc>
        <w:tc>
          <w:tcPr>
            <w:tcW w:w="2380" w:type="dxa"/>
            <w:vAlign w:val="bottom"/>
            <w:shd w:val="clear" w:color="auto" w:fill="BF2115"/>
          </w:tcPr>
          <w:p>
            <w:pPr>
              <w:jc w:val="center"/>
              <w:ind w:left="11"/>
              <w:spacing w:after="0"/>
              <w:rPr>
                <w:sz w:val="20"/>
                <w:szCs w:val="20"/>
                <w:color w:val="auto"/>
              </w:rPr>
            </w:pPr>
            <w:r>
              <w:rPr>
                <w:rFonts w:ascii="Arial" w:cs="Arial" w:eastAsia="Arial" w:hAnsi="Arial"/>
                <w:sz w:val="18"/>
                <w:szCs w:val="18"/>
                <w:b w:val="1"/>
                <w:bCs w:val="1"/>
                <w:color w:val="FFFFFF"/>
                <w:w w:val="98"/>
              </w:rPr>
              <w:t>Resources Committee</w:t>
            </w:r>
          </w:p>
        </w:tc>
        <w:tc>
          <w:tcPr>
            <w:tcW w:w="2300" w:type="dxa"/>
            <w:vAlign w:val="bottom"/>
            <w:shd w:val="clear" w:color="auto" w:fill="BF2115"/>
          </w:tcPr>
          <w:p>
            <w:pPr>
              <w:jc w:val="center"/>
              <w:ind w:right="11"/>
              <w:spacing w:after="0"/>
              <w:rPr>
                <w:sz w:val="20"/>
                <w:szCs w:val="20"/>
                <w:color w:val="auto"/>
              </w:rPr>
            </w:pPr>
            <w:r>
              <w:rPr>
                <w:rFonts w:ascii="Arial" w:cs="Arial" w:eastAsia="Arial" w:hAnsi="Arial"/>
                <w:sz w:val="18"/>
                <w:szCs w:val="18"/>
                <w:b w:val="1"/>
                <w:bCs w:val="1"/>
                <w:color w:val="FFFFFF"/>
                <w:w w:val="98"/>
              </w:rPr>
              <w:t>Governance Committee</w:t>
            </w:r>
          </w:p>
        </w:tc>
        <w:tc>
          <w:tcPr>
            <w:tcW w:w="2160" w:type="dxa"/>
            <w:vAlign w:val="bottom"/>
            <w:vMerge w:val="continue"/>
            <w:shd w:val="clear" w:color="auto" w:fill="BF2115"/>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180" w:type="dxa"/>
            <w:vAlign w:val="bottom"/>
          </w:tcPr>
          <w:p>
            <w:pPr>
              <w:ind w:left="20"/>
              <w:spacing w:after="0" w:line="174" w:lineRule="exact"/>
              <w:rPr>
                <w:sz w:val="20"/>
                <w:szCs w:val="20"/>
                <w:color w:val="auto"/>
              </w:rPr>
            </w:pPr>
            <w:r>
              <w:rPr>
                <w:rFonts w:ascii="Arial" w:cs="Arial" w:eastAsia="Arial" w:hAnsi="Arial"/>
                <w:sz w:val="18"/>
                <w:szCs w:val="18"/>
                <w:color w:val="auto"/>
              </w:rPr>
              <w:t>Number of meetings in</w:t>
            </w: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8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1220" w:type="dxa"/>
            <w:vAlign w:val="bottom"/>
          </w:tcPr>
          <w:p>
            <w:pPr>
              <w:jc w:val="right"/>
              <w:ind w:right="451"/>
              <w:spacing w:after="0"/>
              <w:rPr>
                <w:sz w:val="20"/>
                <w:szCs w:val="20"/>
                <w:color w:val="auto"/>
              </w:rPr>
            </w:pPr>
            <w:r>
              <w:rPr>
                <w:rFonts w:ascii="Arial" w:cs="Arial" w:eastAsia="Arial" w:hAnsi="Arial"/>
                <w:sz w:val="18"/>
                <w:szCs w:val="18"/>
                <w:color w:val="auto"/>
              </w:rPr>
              <w:t>7</w:t>
            </w:r>
          </w:p>
        </w:tc>
        <w:tc>
          <w:tcPr>
            <w:tcW w:w="1000" w:type="dxa"/>
            <w:vAlign w:val="bottom"/>
          </w:tcPr>
          <w:p>
            <w:pPr>
              <w:jc w:val="right"/>
              <w:ind w:right="311"/>
              <w:spacing w:after="0"/>
              <w:rPr>
                <w:sz w:val="20"/>
                <w:szCs w:val="20"/>
                <w:color w:val="auto"/>
              </w:rPr>
            </w:pPr>
            <w:r>
              <w:rPr>
                <w:rFonts w:ascii="Arial" w:cs="Arial" w:eastAsia="Arial" w:hAnsi="Arial"/>
                <w:sz w:val="18"/>
                <w:szCs w:val="18"/>
                <w:color w:val="auto"/>
              </w:rPr>
              <w:t>8</w:t>
            </w: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300" w:type="dxa"/>
            <w:vAlign w:val="bottom"/>
          </w:tcPr>
          <w:p>
            <w:pPr>
              <w:jc w:val="center"/>
              <w:ind w:right="31"/>
              <w:spacing w:after="0"/>
              <w:rPr>
                <w:sz w:val="20"/>
                <w:szCs w:val="20"/>
                <w:color w:val="auto"/>
              </w:rPr>
            </w:pPr>
            <w:r>
              <w:rPr>
                <w:rFonts w:ascii="Arial" w:cs="Arial" w:eastAsia="Arial" w:hAnsi="Arial"/>
                <w:sz w:val="18"/>
                <w:szCs w:val="18"/>
                <w:color w:val="auto"/>
                <w:w w:val="99"/>
              </w:rPr>
              <w:t>2</w:t>
            </w:r>
          </w:p>
        </w:tc>
        <w:tc>
          <w:tcPr>
            <w:tcW w:w="2160" w:type="dxa"/>
            <w:vAlign w:val="bottom"/>
          </w:tcPr>
          <w:p>
            <w:pPr>
              <w:jc w:val="right"/>
              <w:ind w:right="97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Board Committees</w:t>
      </w:r>
    </w:p>
    <w:p>
      <w:pPr>
        <w:spacing w:after="0" w:line="84"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The Board has four standing committees: the Audit Committee; Compensation &amp; Human Resources Committee; Nominating and Governance Committee; and Finance Committee. Each of the Board committees is chaired by an independent director and Mr. Olson does not serve on any Board committees. The following table reflects the Board's current committee composition.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shd w:val="clear" w:color="auto" w:fill="BF2115"/>
          </w:tcPr>
          <w:p>
            <w:pPr>
              <w:spacing w:after="0"/>
              <w:rPr>
                <w:sz w:val="17"/>
                <w:szCs w:val="17"/>
                <w:color w:val="auto"/>
              </w:rPr>
            </w:pPr>
          </w:p>
        </w:tc>
        <w:tc>
          <w:tcPr>
            <w:tcW w:w="2160" w:type="dxa"/>
            <w:vAlign w:val="bottom"/>
            <w:vMerge w:val="restart"/>
            <w:shd w:val="clear" w:color="auto" w:fill="BF2115"/>
          </w:tcPr>
          <w:p>
            <w:pPr>
              <w:ind w:left="480"/>
              <w:spacing w:after="0"/>
              <w:rPr>
                <w:sz w:val="20"/>
                <w:szCs w:val="20"/>
                <w:color w:val="auto"/>
              </w:rPr>
            </w:pPr>
            <w:r>
              <w:rPr>
                <w:rFonts w:ascii="Arial" w:cs="Arial" w:eastAsia="Arial" w:hAnsi="Arial"/>
                <w:sz w:val="18"/>
                <w:szCs w:val="18"/>
                <w:b w:val="1"/>
                <w:bCs w:val="1"/>
                <w:color w:val="FFFFFF"/>
              </w:rPr>
              <w:t>Audit Committee</w:t>
            </w:r>
          </w:p>
        </w:tc>
        <w:tc>
          <w:tcPr>
            <w:tcW w:w="2420" w:type="dxa"/>
            <w:vAlign w:val="bottom"/>
            <w:shd w:val="clear" w:color="auto" w:fill="BF2115"/>
          </w:tcPr>
          <w:p>
            <w:pPr>
              <w:jc w:val="center"/>
              <w:ind w:left="45"/>
              <w:spacing w:after="0"/>
              <w:rPr>
                <w:sz w:val="20"/>
                <w:szCs w:val="20"/>
                <w:color w:val="auto"/>
              </w:rPr>
            </w:pPr>
            <w:r>
              <w:rPr>
                <w:rFonts w:ascii="Arial" w:cs="Arial" w:eastAsia="Arial" w:hAnsi="Arial"/>
                <w:sz w:val="18"/>
                <w:szCs w:val="18"/>
                <w:b w:val="1"/>
                <w:bCs w:val="1"/>
                <w:color w:val="FFFFFF"/>
                <w:w w:val="99"/>
              </w:rPr>
              <w:t>Compensation &amp; Human</w:t>
            </w:r>
          </w:p>
        </w:tc>
        <w:tc>
          <w:tcPr>
            <w:tcW w:w="2300" w:type="dxa"/>
            <w:vAlign w:val="bottom"/>
            <w:shd w:val="clear" w:color="auto" w:fill="BF2115"/>
          </w:tcPr>
          <w:p>
            <w:pPr>
              <w:jc w:val="center"/>
              <w:ind w:right="5"/>
              <w:spacing w:after="0"/>
              <w:rPr>
                <w:sz w:val="20"/>
                <w:szCs w:val="20"/>
                <w:color w:val="auto"/>
              </w:rPr>
            </w:pPr>
            <w:r>
              <w:rPr>
                <w:rFonts w:ascii="Arial" w:cs="Arial" w:eastAsia="Arial" w:hAnsi="Arial"/>
                <w:sz w:val="18"/>
                <w:szCs w:val="18"/>
                <w:b w:val="1"/>
                <w:bCs w:val="1"/>
                <w:color w:val="FFFFFF"/>
                <w:w w:val="99"/>
              </w:rPr>
              <w:t>Nominating and</w:t>
            </w:r>
          </w:p>
        </w:tc>
        <w:tc>
          <w:tcPr>
            <w:tcW w:w="2160" w:type="dxa"/>
            <w:vAlign w:val="bottom"/>
            <w:vMerge w:val="restart"/>
            <w:shd w:val="clear" w:color="auto" w:fill="BF2115"/>
          </w:tcPr>
          <w:p>
            <w:pPr>
              <w:ind w:left="220"/>
              <w:spacing w:after="0"/>
              <w:rPr>
                <w:sz w:val="20"/>
                <w:szCs w:val="20"/>
                <w:color w:val="auto"/>
              </w:rPr>
            </w:pPr>
            <w:r>
              <w:rPr>
                <w:rFonts w:ascii="Arial" w:cs="Arial" w:eastAsia="Arial" w:hAnsi="Arial"/>
                <w:sz w:val="18"/>
                <w:szCs w:val="18"/>
                <w:b w:val="1"/>
                <w:bCs w:val="1"/>
                <w:color w:val="FFFFFF"/>
              </w:rPr>
              <w:t>Finance Committee</w:t>
            </w:r>
          </w:p>
        </w:tc>
        <w:tc>
          <w:tcPr>
            <w:tcW w:w="0" w:type="dxa"/>
            <w:vAlign w:val="bottom"/>
          </w:tcPr>
          <w:p>
            <w:pPr>
              <w:spacing w:after="0"/>
              <w:rPr>
                <w:sz w:val="1"/>
                <w:szCs w:val="1"/>
                <w:color w:val="auto"/>
              </w:rPr>
            </w:pPr>
          </w:p>
        </w:tc>
      </w:tr>
      <w:tr>
        <w:trPr>
          <w:trHeight w:val="232"/>
        </w:trPr>
        <w:tc>
          <w:tcPr>
            <w:tcW w:w="2160" w:type="dxa"/>
            <w:vAlign w:val="bottom"/>
            <w:shd w:val="clear" w:color="auto" w:fill="BF2115"/>
          </w:tcPr>
          <w:p>
            <w:pPr>
              <w:spacing w:after="0"/>
              <w:rPr>
                <w:sz w:val="20"/>
                <w:szCs w:val="20"/>
                <w:color w:val="auto"/>
              </w:rPr>
            </w:pPr>
          </w:p>
        </w:tc>
        <w:tc>
          <w:tcPr>
            <w:tcW w:w="2160" w:type="dxa"/>
            <w:vAlign w:val="bottom"/>
            <w:vMerge w:val="continue"/>
            <w:shd w:val="clear" w:color="auto" w:fill="BF2115"/>
          </w:tcPr>
          <w:p>
            <w:pPr>
              <w:spacing w:after="0"/>
              <w:rPr>
                <w:sz w:val="20"/>
                <w:szCs w:val="20"/>
                <w:color w:val="auto"/>
              </w:rPr>
            </w:pPr>
          </w:p>
        </w:tc>
        <w:tc>
          <w:tcPr>
            <w:tcW w:w="2420" w:type="dxa"/>
            <w:vAlign w:val="bottom"/>
            <w:shd w:val="clear" w:color="auto" w:fill="BF2115"/>
          </w:tcPr>
          <w:p>
            <w:pPr>
              <w:jc w:val="center"/>
              <w:ind w:left="45"/>
              <w:spacing w:after="0"/>
              <w:rPr>
                <w:sz w:val="20"/>
                <w:szCs w:val="20"/>
                <w:color w:val="auto"/>
              </w:rPr>
            </w:pPr>
            <w:r>
              <w:rPr>
                <w:rFonts w:ascii="Arial" w:cs="Arial" w:eastAsia="Arial" w:hAnsi="Arial"/>
                <w:sz w:val="18"/>
                <w:szCs w:val="18"/>
                <w:b w:val="1"/>
                <w:bCs w:val="1"/>
                <w:color w:val="FFFFFF"/>
                <w:w w:val="98"/>
              </w:rPr>
              <w:t>Resources Committee</w:t>
            </w:r>
          </w:p>
        </w:tc>
        <w:tc>
          <w:tcPr>
            <w:tcW w:w="2300" w:type="dxa"/>
            <w:vAlign w:val="bottom"/>
            <w:shd w:val="clear" w:color="auto" w:fill="BF2115"/>
          </w:tcPr>
          <w:p>
            <w:pPr>
              <w:jc w:val="center"/>
              <w:ind w:right="5"/>
              <w:spacing w:after="0"/>
              <w:rPr>
                <w:sz w:val="20"/>
                <w:szCs w:val="20"/>
                <w:color w:val="auto"/>
              </w:rPr>
            </w:pPr>
            <w:r>
              <w:rPr>
                <w:rFonts w:ascii="Arial" w:cs="Arial" w:eastAsia="Arial" w:hAnsi="Arial"/>
                <w:sz w:val="18"/>
                <w:szCs w:val="18"/>
                <w:b w:val="1"/>
                <w:bCs w:val="1"/>
                <w:color w:val="FFFFFF"/>
                <w:w w:val="98"/>
              </w:rPr>
              <w:t>Governance Committee</w:t>
            </w:r>
          </w:p>
        </w:tc>
        <w:tc>
          <w:tcPr>
            <w:tcW w:w="2160" w:type="dxa"/>
            <w:vAlign w:val="bottom"/>
            <w:vMerge w:val="continue"/>
            <w:shd w:val="clear" w:color="auto" w:fill="BF2115"/>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160" w:type="dxa"/>
            <w:vAlign w:val="bottom"/>
          </w:tcPr>
          <w:p>
            <w:pPr>
              <w:ind w:left="20"/>
              <w:spacing w:after="0"/>
              <w:rPr>
                <w:sz w:val="20"/>
                <w:szCs w:val="20"/>
                <w:color w:val="auto"/>
              </w:rPr>
            </w:pPr>
            <w:r>
              <w:rPr>
                <w:rFonts w:ascii="Arial" w:cs="Arial" w:eastAsia="Arial" w:hAnsi="Arial"/>
                <w:sz w:val="18"/>
                <w:szCs w:val="18"/>
                <w:color w:val="auto"/>
              </w:rPr>
              <w:t>Dianne C. Craig</w:t>
            </w:r>
          </w:p>
        </w:tc>
        <w:tc>
          <w:tcPr>
            <w:tcW w:w="2160" w:type="dxa"/>
            <w:vAlign w:val="bottom"/>
          </w:tcPr>
          <w:p>
            <w:pPr>
              <w:jc w:val="center"/>
              <w:ind w:left="124"/>
              <w:spacing w:after="0"/>
              <w:rPr>
                <w:sz w:val="20"/>
                <w:szCs w:val="20"/>
                <w:color w:val="auto"/>
              </w:rPr>
            </w:pPr>
            <w:r>
              <w:rPr>
                <w:rFonts w:ascii="Arial" w:cs="Arial" w:eastAsia="Arial" w:hAnsi="Arial"/>
                <w:sz w:val="18"/>
                <w:szCs w:val="18"/>
                <w:color w:val="auto"/>
                <w:w w:val="99"/>
              </w:rPr>
              <w:t>†</w:t>
            </w:r>
          </w:p>
        </w:tc>
        <w:tc>
          <w:tcPr>
            <w:tcW w:w="24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7"/>
        </w:trPr>
        <w:tc>
          <w:tcPr>
            <w:tcW w:w="2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Gary L. Ellis*</w:t>
            </w:r>
          </w:p>
        </w:tc>
        <w:tc>
          <w:tcPr>
            <w:tcW w:w="2160" w:type="dxa"/>
            <w:vAlign w:val="bottom"/>
            <w:shd w:val="clear" w:color="auto" w:fill="DBDBDB"/>
          </w:tcPr>
          <w:p>
            <w:pPr>
              <w:jc w:val="center"/>
              <w:ind w:left="124"/>
              <w:spacing w:after="0"/>
              <w:rPr>
                <w:sz w:val="20"/>
                <w:szCs w:val="20"/>
                <w:color w:val="auto"/>
              </w:rPr>
            </w:pPr>
            <w:r>
              <w:rPr>
                <w:rFonts w:ascii="Arial" w:cs="Arial" w:eastAsia="Arial" w:hAnsi="Arial"/>
                <w:sz w:val="18"/>
                <w:szCs w:val="18"/>
                <w:color w:val="auto"/>
                <w:w w:val="99"/>
              </w:rPr>
              <w:t>†</w:t>
            </w:r>
          </w:p>
        </w:tc>
        <w:tc>
          <w:tcPr>
            <w:tcW w:w="2420" w:type="dxa"/>
            <w:vAlign w:val="bottom"/>
            <w:shd w:val="clear" w:color="auto" w:fill="DBDBDB"/>
          </w:tcPr>
          <w:p>
            <w:pPr>
              <w:spacing w:after="0"/>
              <w:rPr>
                <w:sz w:val="19"/>
                <w:szCs w:val="19"/>
                <w:color w:val="auto"/>
              </w:rPr>
            </w:pPr>
          </w:p>
        </w:tc>
        <w:tc>
          <w:tcPr>
            <w:tcW w:w="2300" w:type="dxa"/>
            <w:vAlign w:val="bottom"/>
            <w:shd w:val="clear" w:color="auto" w:fill="DBDBDB"/>
          </w:tcPr>
          <w:p>
            <w:pPr>
              <w:spacing w:after="0"/>
              <w:rPr>
                <w:sz w:val="19"/>
                <w:szCs w:val="19"/>
                <w:color w:val="auto"/>
              </w:rPr>
            </w:pPr>
          </w:p>
        </w:tc>
        <w:tc>
          <w:tcPr>
            <w:tcW w:w="21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7"/>
        </w:trPr>
        <w:tc>
          <w:tcPr>
            <w:tcW w:w="2160" w:type="dxa"/>
            <w:vAlign w:val="bottom"/>
          </w:tcPr>
          <w:p>
            <w:pPr>
              <w:ind w:left="20"/>
              <w:spacing w:after="0"/>
              <w:rPr>
                <w:sz w:val="20"/>
                <w:szCs w:val="20"/>
                <w:color w:val="auto"/>
              </w:rPr>
            </w:pPr>
            <w:r>
              <w:rPr>
                <w:rFonts w:ascii="Arial" w:cs="Arial" w:eastAsia="Arial" w:hAnsi="Arial"/>
                <w:sz w:val="18"/>
                <w:szCs w:val="18"/>
                <w:color w:val="auto"/>
              </w:rPr>
              <w:t>Eric P. Hansotia</w:t>
            </w:r>
          </w:p>
        </w:tc>
        <w:tc>
          <w:tcPr>
            <w:tcW w:w="2160" w:type="dxa"/>
            <w:vAlign w:val="bottom"/>
          </w:tcPr>
          <w:p>
            <w:pPr>
              <w:spacing w:after="0"/>
              <w:rPr>
                <w:sz w:val="19"/>
                <w:szCs w:val="19"/>
                <w:color w:val="auto"/>
              </w:rPr>
            </w:pPr>
          </w:p>
        </w:tc>
        <w:tc>
          <w:tcPr>
            <w:tcW w:w="2420" w:type="dxa"/>
            <w:vAlign w:val="bottom"/>
          </w:tcPr>
          <w:p>
            <w:pPr>
              <w:jc w:val="center"/>
              <w:ind w:left="25"/>
              <w:spacing w:after="0"/>
              <w:rPr>
                <w:sz w:val="20"/>
                <w:szCs w:val="20"/>
                <w:color w:val="auto"/>
              </w:rPr>
            </w:pPr>
            <w:r>
              <w:rPr>
                <w:rFonts w:ascii="Arial" w:cs="Arial" w:eastAsia="Arial" w:hAnsi="Arial"/>
                <w:sz w:val="18"/>
                <w:szCs w:val="18"/>
                <w:color w:val="auto"/>
                <w:w w:val="99"/>
              </w:rPr>
              <w:t>†</w:t>
            </w:r>
          </w:p>
        </w:tc>
        <w:tc>
          <w:tcPr>
            <w:tcW w:w="2300" w:type="dxa"/>
            <w:vAlign w:val="bottom"/>
          </w:tcPr>
          <w:p>
            <w:pPr>
              <w:jc w:val="center"/>
              <w:ind w:right="25"/>
              <w:spacing w:after="0"/>
              <w:rPr>
                <w:sz w:val="20"/>
                <w:szCs w:val="20"/>
                <w:color w:val="auto"/>
              </w:rPr>
            </w:pPr>
            <w:r>
              <w:rPr>
                <w:rFonts w:ascii="Arial" w:cs="Arial" w:eastAsia="Arial" w:hAnsi="Arial"/>
                <w:sz w:val="18"/>
                <w:szCs w:val="18"/>
                <w:color w:val="auto"/>
                <w:w w:val="99"/>
              </w:rPr>
              <w:t>†</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2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Jeffrey L. Harmening</w:t>
            </w:r>
          </w:p>
        </w:tc>
        <w:tc>
          <w:tcPr>
            <w:tcW w:w="2160" w:type="dxa"/>
            <w:vAlign w:val="bottom"/>
            <w:shd w:val="clear" w:color="auto" w:fill="DBDBDB"/>
          </w:tcPr>
          <w:p>
            <w:pPr>
              <w:jc w:val="center"/>
              <w:ind w:left="124"/>
              <w:spacing w:after="0"/>
              <w:rPr>
                <w:sz w:val="20"/>
                <w:szCs w:val="20"/>
                <w:color w:val="auto"/>
              </w:rPr>
            </w:pPr>
            <w:r>
              <w:rPr>
                <w:rFonts w:ascii="Arial" w:cs="Arial" w:eastAsia="Arial" w:hAnsi="Arial"/>
                <w:sz w:val="18"/>
                <w:szCs w:val="18"/>
                <w:color w:val="auto"/>
                <w:w w:val="99"/>
              </w:rPr>
              <w:t>†</w:t>
            </w:r>
          </w:p>
        </w:tc>
        <w:tc>
          <w:tcPr>
            <w:tcW w:w="2420" w:type="dxa"/>
            <w:vAlign w:val="bottom"/>
            <w:shd w:val="clear" w:color="auto" w:fill="DBDBDB"/>
          </w:tcPr>
          <w:p>
            <w:pPr>
              <w:spacing w:after="0"/>
              <w:rPr>
                <w:sz w:val="24"/>
                <w:szCs w:val="24"/>
                <w:color w:val="auto"/>
              </w:rPr>
            </w:pPr>
          </w:p>
        </w:tc>
        <w:tc>
          <w:tcPr>
            <w:tcW w:w="2300" w:type="dxa"/>
            <w:vAlign w:val="bottom"/>
            <w:shd w:val="clear" w:color="auto" w:fill="DBDBDB"/>
          </w:tcPr>
          <w:p>
            <w:pPr>
              <w:spacing w:after="0"/>
              <w:rPr>
                <w:sz w:val="24"/>
                <w:szCs w:val="24"/>
                <w:color w:val="auto"/>
              </w:rPr>
            </w:pPr>
          </w:p>
        </w:tc>
        <w:tc>
          <w:tcPr>
            <w:tcW w:w="2160" w:type="dxa"/>
            <w:vAlign w:val="bottom"/>
            <w:shd w:val="clear" w:color="auto" w:fill="DBDBDB"/>
          </w:tcPr>
          <w:p>
            <w:pPr>
              <w:jc w:val="center"/>
              <w:spacing w:after="0" w:line="251" w:lineRule="exact"/>
              <w:rPr>
                <w:sz w:val="20"/>
                <w:szCs w:val="20"/>
                <w:color w:val="auto"/>
              </w:rPr>
            </w:pPr>
            <w:r>
              <w:rPr>
                <w:rFonts w:ascii="MS PGothic" w:cs="MS PGothic" w:eastAsia="MS PGothic" w:hAnsi="MS PGothic"/>
                <w:sz w:val="25"/>
                <w:szCs w:val="25"/>
                <w:color w:val="auto"/>
                <w:w w:val="95"/>
                <w:shd w:val="clear" w:color="auto" w:fill="BF2115"/>
              </w:rPr>
              <w:t>☑</w:t>
            </w:r>
          </w:p>
        </w:tc>
        <w:tc>
          <w:tcPr>
            <w:tcW w:w="0" w:type="dxa"/>
            <w:vAlign w:val="bottom"/>
          </w:tcPr>
          <w:p>
            <w:pPr>
              <w:spacing w:after="0"/>
              <w:rPr>
                <w:sz w:val="1"/>
                <w:szCs w:val="1"/>
                <w:color w:val="auto"/>
              </w:rPr>
            </w:pPr>
          </w:p>
        </w:tc>
      </w:tr>
      <w:tr>
        <w:trPr>
          <w:trHeight w:val="440"/>
        </w:trPr>
        <w:tc>
          <w:tcPr>
            <w:tcW w:w="2160" w:type="dxa"/>
            <w:vAlign w:val="bottom"/>
          </w:tcPr>
          <w:p>
            <w:pPr>
              <w:ind w:left="20"/>
              <w:spacing w:after="0"/>
              <w:rPr>
                <w:sz w:val="20"/>
                <w:szCs w:val="20"/>
                <w:color w:val="auto"/>
              </w:rPr>
            </w:pPr>
            <w:r>
              <w:rPr>
                <w:rFonts w:ascii="Arial" w:cs="Arial" w:eastAsia="Arial" w:hAnsi="Arial"/>
                <w:sz w:val="18"/>
                <w:szCs w:val="18"/>
                <w:color w:val="auto"/>
              </w:rPr>
              <w:t>D. Christian Koch</w:t>
            </w:r>
          </w:p>
        </w:tc>
        <w:tc>
          <w:tcPr>
            <w:tcW w:w="2160" w:type="dxa"/>
            <w:vAlign w:val="bottom"/>
          </w:tcPr>
          <w:p>
            <w:pPr>
              <w:spacing w:after="0"/>
              <w:rPr>
                <w:sz w:val="24"/>
                <w:szCs w:val="24"/>
                <w:color w:val="auto"/>
              </w:rPr>
            </w:pPr>
          </w:p>
        </w:tc>
        <w:tc>
          <w:tcPr>
            <w:tcW w:w="2420" w:type="dxa"/>
            <w:vAlign w:val="bottom"/>
          </w:tcPr>
          <w:p>
            <w:pPr>
              <w:jc w:val="center"/>
              <w:ind w:left="25"/>
              <w:spacing w:after="0"/>
              <w:rPr>
                <w:sz w:val="20"/>
                <w:szCs w:val="20"/>
                <w:color w:val="auto"/>
              </w:rPr>
            </w:pPr>
            <w:r>
              <w:rPr>
                <w:rFonts w:ascii="Arial" w:cs="Arial" w:eastAsia="Arial" w:hAnsi="Arial"/>
                <w:sz w:val="18"/>
                <w:szCs w:val="18"/>
                <w:color w:val="auto"/>
                <w:w w:val="99"/>
              </w:rPr>
              <w:t>†</w:t>
            </w:r>
          </w:p>
        </w:tc>
        <w:tc>
          <w:tcPr>
            <w:tcW w:w="2300" w:type="dxa"/>
            <w:vAlign w:val="bottom"/>
          </w:tcPr>
          <w:p>
            <w:pPr>
              <w:jc w:val="center"/>
              <w:ind w:right="25"/>
              <w:spacing w:after="0" w:line="251" w:lineRule="exact"/>
              <w:rPr>
                <w:sz w:val="20"/>
                <w:szCs w:val="20"/>
                <w:color w:val="auto"/>
              </w:rPr>
            </w:pPr>
            <w:r>
              <w:rPr>
                <w:rFonts w:ascii="MS PGothic" w:cs="MS PGothic" w:eastAsia="MS PGothic" w:hAnsi="MS PGothic"/>
                <w:sz w:val="25"/>
                <w:szCs w:val="25"/>
                <w:color w:val="auto"/>
                <w:w w:val="87"/>
                <w:shd w:val="clear" w:color="auto" w:fill="BF2115"/>
              </w:rPr>
              <w:t>☑</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Joyce A. Mullen</w:t>
            </w:r>
          </w:p>
        </w:tc>
        <w:tc>
          <w:tcPr>
            <w:tcW w:w="2160" w:type="dxa"/>
            <w:vAlign w:val="bottom"/>
            <w:shd w:val="clear" w:color="auto" w:fill="DBDBDB"/>
          </w:tcPr>
          <w:p>
            <w:pPr>
              <w:spacing w:after="0"/>
              <w:rPr>
                <w:sz w:val="19"/>
                <w:szCs w:val="19"/>
                <w:color w:val="auto"/>
              </w:rPr>
            </w:pPr>
          </w:p>
        </w:tc>
        <w:tc>
          <w:tcPr>
            <w:tcW w:w="2420" w:type="dxa"/>
            <w:vAlign w:val="bottom"/>
            <w:shd w:val="clear" w:color="auto" w:fill="DBDBDB"/>
          </w:tcPr>
          <w:p>
            <w:pPr>
              <w:jc w:val="center"/>
              <w:ind w:left="25"/>
              <w:spacing w:after="0"/>
              <w:rPr>
                <w:sz w:val="20"/>
                <w:szCs w:val="20"/>
                <w:color w:val="auto"/>
              </w:rPr>
            </w:pPr>
            <w:r>
              <w:rPr>
                <w:rFonts w:ascii="Arial" w:cs="Arial" w:eastAsia="Arial" w:hAnsi="Arial"/>
                <w:sz w:val="18"/>
                <w:szCs w:val="18"/>
                <w:color w:val="auto"/>
                <w:w w:val="99"/>
              </w:rPr>
              <w:t>†</w:t>
            </w:r>
          </w:p>
        </w:tc>
        <w:tc>
          <w:tcPr>
            <w:tcW w:w="2300" w:type="dxa"/>
            <w:vAlign w:val="bottom"/>
            <w:shd w:val="clear" w:color="auto" w:fill="DBDBDB"/>
          </w:tcPr>
          <w:p>
            <w:pPr>
              <w:jc w:val="center"/>
              <w:ind w:right="25"/>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2160" w:type="dxa"/>
            <w:vAlign w:val="bottom"/>
          </w:tcPr>
          <w:p>
            <w:pPr>
              <w:ind w:left="20"/>
              <w:spacing w:after="0"/>
              <w:rPr>
                <w:sz w:val="20"/>
                <w:szCs w:val="20"/>
                <w:color w:val="auto"/>
              </w:rPr>
            </w:pPr>
            <w:r>
              <w:rPr>
                <w:rFonts w:ascii="Arial" w:cs="Arial" w:eastAsia="Arial" w:hAnsi="Arial"/>
                <w:sz w:val="18"/>
                <w:szCs w:val="18"/>
                <w:color w:val="auto"/>
              </w:rPr>
              <w:t>James C. O'Rourke</w:t>
            </w:r>
          </w:p>
        </w:tc>
        <w:tc>
          <w:tcPr>
            <w:tcW w:w="2160" w:type="dxa"/>
            <w:vAlign w:val="bottom"/>
          </w:tcPr>
          <w:p>
            <w:pPr>
              <w:spacing w:after="0"/>
              <w:rPr>
                <w:sz w:val="24"/>
                <w:szCs w:val="24"/>
                <w:color w:val="auto"/>
              </w:rPr>
            </w:pPr>
          </w:p>
        </w:tc>
        <w:tc>
          <w:tcPr>
            <w:tcW w:w="2420" w:type="dxa"/>
            <w:vAlign w:val="bottom"/>
          </w:tcPr>
          <w:p>
            <w:pPr>
              <w:jc w:val="center"/>
              <w:ind w:left="25"/>
              <w:spacing w:after="0" w:line="251" w:lineRule="exact"/>
              <w:rPr>
                <w:sz w:val="20"/>
                <w:szCs w:val="20"/>
                <w:color w:val="auto"/>
              </w:rPr>
            </w:pPr>
            <w:r>
              <w:rPr>
                <w:rFonts w:ascii="MS PGothic" w:cs="MS PGothic" w:eastAsia="MS PGothic" w:hAnsi="MS PGothic"/>
                <w:sz w:val="25"/>
                <w:szCs w:val="25"/>
                <w:color w:val="auto"/>
                <w:w w:val="87"/>
                <w:shd w:val="clear" w:color="auto" w:fill="BF2115"/>
              </w:rPr>
              <w:t>☑</w:t>
            </w:r>
          </w:p>
        </w:tc>
        <w:tc>
          <w:tcPr>
            <w:tcW w:w="2300" w:type="dxa"/>
            <w:vAlign w:val="bottom"/>
          </w:tcPr>
          <w:p>
            <w:pPr>
              <w:jc w:val="center"/>
              <w:ind w:right="25"/>
              <w:spacing w:after="0"/>
              <w:rPr>
                <w:sz w:val="20"/>
                <w:szCs w:val="20"/>
                <w:color w:val="auto"/>
              </w:rPr>
            </w:pPr>
            <w:r>
              <w:rPr>
                <w:rFonts w:ascii="Arial" w:cs="Arial" w:eastAsia="Arial" w:hAnsi="Arial"/>
                <w:sz w:val="18"/>
                <w:szCs w:val="18"/>
                <w:color w:val="auto"/>
                <w:w w:val="99"/>
              </w:rPr>
              <w:t>†</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2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Jill M. Pemberton</w:t>
            </w:r>
          </w:p>
        </w:tc>
        <w:tc>
          <w:tcPr>
            <w:tcW w:w="2160" w:type="dxa"/>
            <w:vAlign w:val="bottom"/>
            <w:shd w:val="clear" w:color="auto" w:fill="DBDBDB"/>
          </w:tcPr>
          <w:p>
            <w:pPr>
              <w:jc w:val="center"/>
              <w:ind w:left="124"/>
              <w:spacing w:after="0" w:line="251" w:lineRule="exact"/>
              <w:rPr>
                <w:sz w:val="20"/>
                <w:szCs w:val="20"/>
                <w:color w:val="auto"/>
              </w:rPr>
            </w:pPr>
            <w:r>
              <w:rPr>
                <w:rFonts w:ascii="MS PGothic" w:cs="MS PGothic" w:eastAsia="MS PGothic" w:hAnsi="MS PGothic"/>
                <w:sz w:val="25"/>
                <w:szCs w:val="25"/>
                <w:color w:val="auto"/>
                <w:w w:val="87"/>
                <w:shd w:val="clear" w:color="auto" w:fill="BF2115"/>
              </w:rPr>
              <w:t>☑</w:t>
            </w:r>
          </w:p>
        </w:tc>
        <w:tc>
          <w:tcPr>
            <w:tcW w:w="2420" w:type="dxa"/>
            <w:vAlign w:val="bottom"/>
            <w:shd w:val="clear" w:color="auto" w:fill="DBDBDB"/>
          </w:tcPr>
          <w:p>
            <w:pPr>
              <w:spacing w:after="0"/>
              <w:rPr>
                <w:sz w:val="24"/>
                <w:szCs w:val="24"/>
                <w:color w:val="auto"/>
              </w:rPr>
            </w:pPr>
          </w:p>
        </w:tc>
        <w:tc>
          <w:tcPr>
            <w:tcW w:w="2300" w:type="dxa"/>
            <w:vAlign w:val="bottom"/>
            <w:shd w:val="clear" w:color="auto" w:fill="DBDBDB"/>
          </w:tcPr>
          <w:p>
            <w:pPr>
              <w:spacing w:after="0"/>
              <w:rPr>
                <w:sz w:val="24"/>
                <w:szCs w:val="24"/>
                <w:color w:val="auto"/>
              </w:rPr>
            </w:pPr>
          </w:p>
        </w:tc>
        <w:tc>
          <w:tcPr>
            <w:tcW w:w="21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line="276" w:lineRule="exact"/>
        <w:rPr>
          <w:sz w:val="20"/>
          <w:szCs w:val="20"/>
          <w:color w:val="auto"/>
        </w:rPr>
      </w:pPr>
      <w:r>
        <w:rPr>
          <w:rFonts w:ascii="Arial" w:cs="Arial" w:eastAsia="Arial" w:hAnsi="Arial"/>
          <w:sz w:val="18"/>
          <w:szCs w:val="18"/>
          <w:i w:val="1"/>
          <w:iCs w:val="1"/>
          <w:color w:val="auto"/>
        </w:rPr>
        <w:t xml:space="preserve">* Lead Independent Director </w:t>
      </w:r>
      <w:r>
        <w:rPr>
          <w:rFonts w:ascii="MS PGothic" w:cs="MS PGothic" w:eastAsia="MS PGothic" w:hAnsi="MS PGothic"/>
          <w:sz w:val="24"/>
          <w:szCs w:val="24"/>
          <w:color w:val="auto"/>
          <w:shd w:val="clear" w:color="auto" w:fill="BF2115"/>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Denotes Committee Chair.</w:t>
      </w:r>
    </w:p>
    <w:p>
      <w:pPr>
        <w:spacing w:after="0" w:line="172"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b w:val="1"/>
          <w:bCs w:val="1"/>
          <w:i w:val="1"/>
          <w:iCs w:val="1"/>
          <w:color w:val="auto"/>
        </w:rPr>
        <w:t xml:space="preserve">Committee Charters. </w:t>
      </w:r>
      <w:r>
        <w:rPr>
          <w:rFonts w:ascii="Arial" w:cs="Arial" w:eastAsia="Arial" w:hAnsi="Arial"/>
          <w:sz w:val="18"/>
          <w:szCs w:val="18"/>
          <w:color w:val="auto"/>
        </w:rPr>
        <w:t>Each committee has a charter that describes the principal functions of the committee and is posted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website at www.thetorocompany.com/corporategovernance. As provided in its respective charter, each of the Compensation &amp; Human</w:t>
      </w:r>
    </w:p>
    <w:p>
      <w:pPr>
        <w:spacing w:after="0" w:line="233" w:lineRule="auto"/>
        <w:rPr>
          <w:sz w:val="20"/>
          <w:szCs w:val="20"/>
          <w:color w:val="auto"/>
        </w:rPr>
      </w:pPr>
      <w:r>
        <w:rPr>
          <w:rFonts w:ascii="Arial" w:cs="Arial" w:eastAsia="Arial" w:hAnsi="Arial"/>
          <w:sz w:val="18"/>
          <w:szCs w:val="18"/>
          <w:color w:val="auto"/>
        </w:rPr>
        <w:t>Resources Committee, Nominating and Governance Committee and Finance Committee may form and delegate authority to subcommittees</w:t>
      </w:r>
    </w:p>
    <w:p>
      <w:pPr>
        <w:spacing w:after="0" w:line="224" w:lineRule="auto"/>
        <w:rPr>
          <w:sz w:val="20"/>
          <w:szCs w:val="20"/>
          <w:color w:val="auto"/>
        </w:rPr>
      </w:pPr>
      <w:r>
        <w:rPr>
          <w:rFonts w:ascii="Arial" w:cs="Arial" w:eastAsia="Arial" w:hAnsi="Arial"/>
          <w:sz w:val="18"/>
          <w:szCs w:val="18"/>
          <w:color w:val="auto"/>
        </w:rPr>
        <w:t>when appropriate. Additionally, the Compensation &amp; Human Resources Committee may delegate to one or more executive officers of the Company the authority to approve equity compensation awards under established equity compensation plans of the Company to employees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other than the executive officers of the Company. On an annual basis the Audit Committee, Finance Committee, Nominating and Governance Committee and Compensation &amp; Human Resources Committee review the adequacy of their respective charter and performance. The Chair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each Board committee provides to the full Board a summary of the matters discussed in the committee meeting.</w:t>
      </w:r>
    </w:p>
    <w:p>
      <w:pPr>
        <w:spacing w:after="0" w:line="84" w:lineRule="exact"/>
        <w:rPr>
          <w:sz w:val="20"/>
          <w:szCs w:val="20"/>
          <w:color w:val="auto"/>
        </w:rPr>
      </w:pPr>
    </w:p>
    <w:p>
      <w:pPr>
        <w:ind w:firstLine="640"/>
        <w:spacing w:after="0" w:line="247" w:lineRule="auto"/>
        <w:rPr>
          <w:sz w:val="20"/>
          <w:szCs w:val="20"/>
          <w:color w:val="auto"/>
        </w:rPr>
      </w:pPr>
      <w:r>
        <w:rPr>
          <w:rFonts w:ascii="Arial" w:cs="Arial" w:eastAsia="Arial" w:hAnsi="Arial"/>
          <w:sz w:val="17"/>
          <w:szCs w:val="17"/>
          <w:b w:val="1"/>
          <w:bCs w:val="1"/>
          <w:i w:val="1"/>
          <w:iCs w:val="1"/>
          <w:color w:val="auto"/>
        </w:rPr>
        <w:t xml:space="preserve">Committee Independence and Other Qualifications. </w:t>
      </w:r>
      <w:r>
        <w:rPr>
          <w:rFonts w:ascii="Arial" w:cs="Arial" w:eastAsia="Arial" w:hAnsi="Arial"/>
          <w:sz w:val="17"/>
          <w:szCs w:val="17"/>
          <w:color w:val="auto"/>
        </w:rPr>
        <w:t>The Board has determined that each of the current and former members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Audit Committee, Compensation &amp; Human Resources Committee and Nominating and Governance Committee meets the independence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other requirements established by applicable law, the rules and regulations of the SEC, the NYSE listing standards, and the Internal Revenue</w:t>
      </w:r>
    </w:p>
    <w:p>
      <w:pPr>
        <w:spacing w:after="0" w:line="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Code of 1986, as amended, or Code, as applicable. In addition, the Board has determined that all members of the Audit Committee are financially literate and that both Gary L. Ellis and Jill M. Pemberton meet the definition of "audit committee financial expert." Other members of</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Audit Committee who currently are serving or have served as chief executive officers or chief financial officers of other public companies also may be considered financial experts, but the Board has not so designated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0" w:name="page31"/>
    <w:bookmarkEnd w:id="30"/>
    <w:p>
      <w:pPr>
        <w:ind w:left="640"/>
        <w:spacing w:after="0"/>
        <w:rPr>
          <w:sz w:val="20"/>
          <w:szCs w:val="20"/>
          <w:color w:val="auto"/>
        </w:rPr>
      </w:pPr>
      <w:r>
        <w:rPr>
          <w:rFonts w:ascii="Arial" w:cs="Arial" w:eastAsia="Arial" w:hAnsi="Arial"/>
          <w:sz w:val="17"/>
          <w:szCs w:val="17"/>
          <w:b w:val="1"/>
          <w:bCs w:val="1"/>
          <w:i w:val="1"/>
          <w:iCs w:val="1"/>
          <w:color w:val="auto"/>
        </w:rPr>
        <w:t xml:space="preserve">Committee Key Responsibilities. </w:t>
      </w:r>
      <w:r>
        <w:rPr>
          <w:rFonts w:ascii="Arial" w:cs="Arial" w:eastAsia="Arial" w:hAnsi="Arial"/>
          <w:sz w:val="17"/>
          <w:szCs w:val="17"/>
          <w:color w:val="auto"/>
        </w:rPr>
        <w:t>The following are the key functions of each Board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wp:posOffset>
            </wp:positionV>
            <wp:extent cx="1050290" cy="15417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50290" cy="1541780"/>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420"/>
        <w:spacing w:after="0"/>
        <w:rPr>
          <w:sz w:val="20"/>
          <w:szCs w:val="20"/>
          <w:color w:val="auto"/>
        </w:rPr>
      </w:pPr>
      <w:r>
        <w:rPr>
          <w:rFonts w:ascii="Arial" w:cs="Arial" w:eastAsia="Arial" w:hAnsi="Arial"/>
          <w:sz w:val="16"/>
          <w:szCs w:val="16"/>
          <w:b w:val="1"/>
          <w:bCs w:val="1"/>
          <w:color w:val="FFFFFF"/>
        </w:rPr>
        <w:t>Audit</w:t>
      </w:r>
    </w:p>
    <w:p>
      <w:pPr>
        <w:spacing w:after="0" w:line="32" w:lineRule="exact"/>
        <w:rPr>
          <w:sz w:val="20"/>
          <w:szCs w:val="20"/>
          <w:color w:val="auto"/>
        </w:rPr>
      </w:pPr>
    </w:p>
    <w:p>
      <w:pPr>
        <w:jc w:val="center"/>
        <w:ind w:left="420"/>
        <w:spacing w:after="0"/>
        <w:rPr>
          <w:sz w:val="20"/>
          <w:szCs w:val="20"/>
          <w:color w:val="auto"/>
        </w:rPr>
      </w:pPr>
      <w:r>
        <w:rPr>
          <w:rFonts w:ascii="Arial" w:cs="Arial" w:eastAsia="Arial" w:hAnsi="Arial"/>
          <w:sz w:val="15"/>
          <w:szCs w:val="15"/>
          <w:b w:val="1"/>
          <w:bCs w:val="1"/>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999490</wp:posOffset>
            </wp:positionV>
            <wp:extent cx="1050290" cy="12198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50290" cy="12198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161" w:right="100" w:hanging="161"/>
        <w:spacing w:after="0" w:line="242" w:lineRule="auto"/>
        <w:tabs>
          <w:tab w:leader="none" w:pos="15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Oversees the accounting and financial reporting processes, audits of consolidated financial statements and internal controls over financial reporting</w:t>
      </w:r>
    </w:p>
    <w:p>
      <w:pPr>
        <w:spacing w:after="0" w:line="1" w:lineRule="exact"/>
        <w:rPr>
          <w:rFonts w:ascii="Arial" w:cs="Arial" w:eastAsia="Arial" w:hAnsi="Arial"/>
          <w:sz w:val="16"/>
          <w:szCs w:val="16"/>
          <w:color w:val="auto"/>
        </w:rPr>
      </w:pPr>
    </w:p>
    <w:p>
      <w:pPr>
        <w:ind w:left="161" w:right="60" w:hanging="161"/>
        <w:spacing w:after="0" w:line="238" w:lineRule="auto"/>
        <w:tabs>
          <w:tab w:leader="none" w:pos="15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Selects, compensates, evaluates and reviews critical audit matters with independent external auditor</w:t>
      </w:r>
    </w:p>
    <w:p>
      <w:pPr>
        <w:jc w:val="both"/>
        <w:ind w:left="161" w:hanging="161"/>
        <w:spacing w:after="0" w:line="256" w:lineRule="auto"/>
        <w:tabs>
          <w:tab w:leader="none" w:pos="150"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Reviews with management and external auditor Annual Reports on Form 10-K, Quarterly Reports on Form 10-Q and earnings releases</w:t>
      </w:r>
    </w:p>
    <w:p>
      <w:pPr>
        <w:ind w:left="161" w:right="60" w:hanging="161"/>
        <w:spacing w:after="0" w:line="239" w:lineRule="auto"/>
        <w:tabs>
          <w:tab w:leader="none" w:pos="15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Reviews and approves internal audit's functions and effectiveness; reviews scope and performance of internal audit's plans; and oversees internal audit's significant findings, including responses from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240030</wp:posOffset>
            </wp:positionV>
            <wp:extent cx="71342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151" w:right="400" w:hanging="151"/>
        <w:spacing w:after="0" w:line="250" w:lineRule="auto"/>
        <w:tabs>
          <w:tab w:leader="none" w:pos="140" w:val="left"/>
        </w:tabs>
        <w:numPr>
          <w:ilvl w:val="0"/>
          <w:numId w:val="39"/>
        </w:numPr>
        <w:rPr>
          <w:rFonts w:ascii="Arial" w:cs="Arial" w:eastAsia="Arial" w:hAnsi="Arial"/>
          <w:sz w:val="16"/>
          <w:szCs w:val="16"/>
          <w:b w:val="1"/>
          <w:bCs w:val="1"/>
          <w:color w:val="auto"/>
        </w:rPr>
      </w:pPr>
      <w:r>
        <w:rPr>
          <w:rFonts w:ascii="Arial" w:cs="Arial" w:eastAsia="Arial" w:hAnsi="Arial"/>
          <w:sz w:val="16"/>
          <w:szCs w:val="16"/>
          <w:color w:val="auto"/>
        </w:rPr>
        <w:t>Reviews Information Technology strategy and security activities, including Company use of artificial intelligence</w:t>
      </w:r>
    </w:p>
    <w:p>
      <w:pPr>
        <w:spacing w:after="0" w:line="1" w:lineRule="exact"/>
        <w:rPr>
          <w:rFonts w:ascii="Arial" w:cs="Arial" w:eastAsia="Arial" w:hAnsi="Arial"/>
          <w:sz w:val="16"/>
          <w:szCs w:val="16"/>
          <w:b w:val="1"/>
          <w:bCs w:val="1"/>
          <w:color w:val="auto"/>
        </w:rPr>
      </w:pPr>
    </w:p>
    <w:p>
      <w:pPr>
        <w:ind w:left="151" w:right="380" w:hanging="151"/>
        <w:spacing w:after="0" w:line="234" w:lineRule="auto"/>
        <w:tabs>
          <w:tab w:leader="none" w:pos="1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Reviews general policies and procedures with respect to accounting and financial matters, internal controls and disclosure controls and procedures, and sustainability metrics and disclosures</w:t>
      </w:r>
    </w:p>
    <w:p>
      <w:pPr>
        <w:spacing w:after="0" w:line="2" w:lineRule="exact"/>
        <w:rPr>
          <w:rFonts w:ascii="Arial" w:cs="Arial" w:eastAsia="Arial" w:hAnsi="Arial"/>
          <w:sz w:val="16"/>
          <w:szCs w:val="16"/>
          <w:color w:val="auto"/>
        </w:rPr>
      </w:pPr>
    </w:p>
    <w:p>
      <w:pPr>
        <w:ind w:left="151" w:right="140" w:hanging="151"/>
        <w:spacing w:after="0" w:line="233" w:lineRule="auto"/>
        <w:tabs>
          <w:tab w:leader="none" w:pos="1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Reviews Code of Conduct and Code of Ethics for CEO and Senior Financial Personnel, and policies and procedures for the receipt, retention and treatment of complaints from employees on accounting, internal accounting controls or auditing matters</w:t>
      </w:r>
    </w:p>
    <w:p>
      <w:pPr>
        <w:ind w:left="151" w:right="220" w:hanging="151"/>
        <w:spacing w:after="0" w:line="247" w:lineRule="auto"/>
        <w:tabs>
          <w:tab w:leader="none" w:pos="1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Provides oversight for the Enterprise Risk management, or ERM, process</w:t>
      </w:r>
    </w:p>
    <w:p>
      <w:pPr>
        <w:spacing w:after="0" w:line="200" w:lineRule="exact"/>
        <w:rPr>
          <w:sz w:val="20"/>
          <w:szCs w:val="20"/>
          <w:color w:val="auto"/>
        </w:rPr>
      </w:pPr>
    </w:p>
    <w:p>
      <w:pPr>
        <w:sectPr>
          <w:pgSz w:w="11900" w:h="16838" w:orient="portrait"/>
          <w:cols w:equalWidth="0" w:num="3">
            <w:col w:w="1240" w:space="439"/>
            <w:col w:w="4921" w:space="109"/>
            <w:col w:w="4531"/>
          </w:cols>
          <w:pgMar w:left="320" w:top="135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left="60"/>
        <w:spacing w:after="0"/>
        <w:rPr>
          <w:sz w:val="20"/>
          <w:szCs w:val="20"/>
          <w:color w:val="auto"/>
        </w:rPr>
      </w:pPr>
      <w:r>
        <w:rPr>
          <w:rFonts w:ascii="Arial" w:cs="Arial" w:eastAsia="Arial" w:hAnsi="Arial"/>
          <w:sz w:val="16"/>
          <w:szCs w:val="16"/>
          <w:b w:val="1"/>
          <w:bCs w:val="1"/>
          <w:color w:val="FFFFFF"/>
        </w:rPr>
        <w:t>Compensation</w:t>
      </w:r>
    </w:p>
    <w:p>
      <w:pPr>
        <w:spacing w:after="0" w:line="32" w:lineRule="exact"/>
        <w:rPr>
          <w:sz w:val="20"/>
          <w:szCs w:val="20"/>
          <w:color w:val="auto"/>
        </w:rPr>
      </w:pPr>
    </w:p>
    <w:p>
      <w:pPr>
        <w:ind w:left="420" w:hanging="369"/>
        <w:spacing w:after="0" w:line="270" w:lineRule="auto"/>
        <w:tabs>
          <w:tab w:leader="none" w:pos="211" w:val="left"/>
        </w:tabs>
        <w:numPr>
          <w:ilvl w:val="0"/>
          <w:numId w:val="40"/>
        </w:numPr>
        <w:rPr>
          <w:rFonts w:ascii="Arial" w:cs="Arial" w:eastAsia="Arial" w:hAnsi="Arial"/>
          <w:sz w:val="16"/>
          <w:szCs w:val="16"/>
          <w:b w:val="1"/>
          <w:bCs w:val="1"/>
          <w:color w:val="FFFFFF"/>
        </w:rPr>
      </w:pPr>
      <w:r>
        <w:rPr>
          <w:rFonts w:ascii="Arial" w:cs="Arial" w:eastAsia="Arial" w:hAnsi="Arial"/>
          <w:sz w:val="16"/>
          <w:szCs w:val="16"/>
          <w:b w:val="1"/>
          <w:bCs w:val="1"/>
          <w:color w:val="FFFFFF"/>
        </w:rPr>
        <w:t>Human Resources Committee</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left="161" w:right="40" w:hanging="161"/>
        <w:spacing w:after="0" w:line="244" w:lineRule="auto"/>
        <w:tabs>
          <w:tab w:leader="none" w:pos="150" w:val="left"/>
        </w:tabs>
        <w:numPr>
          <w:ilvl w:val="0"/>
          <w:numId w:val="41"/>
        </w:numPr>
        <w:rPr>
          <w:rFonts w:ascii="Times New Roman" w:cs="Times New Roman" w:eastAsia="Times New Roman" w:hAnsi="Times New Roman"/>
          <w:sz w:val="16"/>
          <w:szCs w:val="16"/>
          <w:b w:val="1"/>
          <w:bCs w:val="1"/>
          <w:color w:val="auto"/>
        </w:rPr>
      </w:pPr>
      <w:r>
        <w:rPr>
          <w:rFonts w:ascii="Arial" w:cs="Arial" w:eastAsia="Arial" w:hAnsi="Arial"/>
          <w:sz w:val="16"/>
          <w:szCs w:val="16"/>
          <w:color w:val="auto"/>
        </w:rPr>
        <w:t>Approves the annual base salaries, annual and long-term incentive opportunities and other compensation arrangements for the CEO and other executive officers</w:t>
      </w:r>
    </w:p>
    <w:p>
      <w:pPr>
        <w:spacing w:after="0" w:line="1" w:lineRule="exact"/>
        <w:rPr>
          <w:rFonts w:ascii="Times New Roman" w:cs="Times New Roman" w:eastAsia="Times New Roman" w:hAnsi="Times New Roman"/>
          <w:sz w:val="16"/>
          <w:szCs w:val="16"/>
          <w:b w:val="1"/>
          <w:bCs w:val="1"/>
          <w:color w:val="auto"/>
        </w:rPr>
      </w:pPr>
    </w:p>
    <w:p>
      <w:pPr>
        <w:ind w:left="161" w:hanging="161"/>
        <w:spacing w:after="0" w:line="237" w:lineRule="auto"/>
        <w:tabs>
          <w:tab w:leader="none" w:pos="15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Reviews compensation policies and practices as they affect all employees and relate to risk management practices and risk-taking incentives</w:t>
      </w:r>
    </w:p>
    <w:p>
      <w:pPr>
        <w:spacing w:after="0" w:line="1" w:lineRule="exact"/>
        <w:rPr>
          <w:rFonts w:ascii="Times New Roman" w:cs="Times New Roman" w:eastAsia="Times New Roman" w:hAnsi="Times New Roman"/>
          <w:sz w:val="16"/>
          <w:szCs w:val="16"/>
          <w:color w:val="auto"/>
        </w:rPr>
      </w:pPr>
    </w:p>
    <w:p>
      <w:pPr>
        <w:ind w:left="141" w:hanging="141"/>
        <w:spacing w:after="0"/>
        <w:tabs>
          <w:tab w:leader="none" w:pos="141"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Reviews strategies for human capital management initiatives</w:t>
      </w:r>
    </w:p>
    <w:p>
      <w:pPr>
        <w:spacing w:after="0" w:line="10" w:lineRule="exact"/>
        <w:rPr>
          <w:rFonts w:ascii="Times New Roman" w:cs="Times New Roman" w:eastAsia="Times New Roman" w:hAnsi="Times New Roman"/>
          <w:sz w:val="16"/>
          <w:szCs w:val="16"/>
          <w:color w:val="auto"/>
        </w:rPr>
      </w:pPr>
    </w:p>
    <w:p>
      <w:pPr>
        <w:ind w:left="161" w:right="140" w:hanging="161"/>
        <w:spacing w:after="0" w:line="238" w:lineRule="auto"/>
        <w:tabs>
          <w:tab w:leader="none" w:pos="15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Reviews stock ownership guidelines for the CEO, other executive officers, senior management and the Board</w:t>
      </w:r>
    </w:p>
    <w:p>
      <w:pPr>
        <w:ind w:left="201" w:hanging="201"/>
        <w:spacing w:after="0"/>
        <w:tabs>
          <w:tab w:leader="none" w:pos="201" w:val="left"/>
        </w:tabs>
        <w:numPr>
          <w:ilvl w:val="0"/>
          <w:numId w:val="41"/>
        </w:numPr>
        <w:rPr>
          <w:rFonts w:ascii="Arial" w:cs="Arial" w:eastAsia="Arial" w:hAnsi="Arial"/>
          <w:sz w:val="16"/>
          <w:szCs w:val="16"/>
          <w:color w:val="auto"/>
        </w:rPr>
      </w:pPr>
      <w:r>
        <w:rPr>
          <w:rFonts w:ascii="Arial" w:cs="Arial" w:eastAsia="Arial" w:hAnsi="Arial"/>
          <w:sz w:val="16"/>
          <w:szCs w:val="16"/>
          <w:color w:val="auto"/>
        </w:rPr>
        <w:t>Evaluates the CEO's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34290</wp:posOffset>
            </wp:positionV>
            <wp:extent cx="71342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left="144" w:hanging="144"/>
        <w:spacing w:after="0"/>
        <w:tabs>
          <w:tab w:leader="none" w:pos="144"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Approves performance goals for performance-based awards</w:t>
      </w:r>
    </w:p>
    <w:p>
      <w:pPr>
        <w:spacing w:after="0" w:line="26" w:lineRule="exact"/>
        <w:rPr>
          <w:rFonts w:ascii="Times New Roman" w:cs="Times New Roman" w:eastAsia="Times New Roman" w:hAnsi="Times New Roman"/>
          <w:sz w:val="16"/>
          <w:szCs w:val="16"/>
          <w:color w:val="auto"/>
        </w:rPr>
      </w:pPr>
    </w:p>
    <w:p>
      <w:pPr>
        <w:ind w:left="164" w:right="100" w:hanging="164"/>
        <w:spacing w:after="0" w:line="234" w:lineRule="auto"/>
        <w:tabs>
          <w:tab w:leader="none" w:pos="153"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Reviews with management the Compensation Discussion and Analysis, the Committee report on executive compensation and any compensation-related proposals, including say-on-pay and frequency of say-on-pay proposals</w:t>
      </w:r>
    </w:p>
    <w:p>
      <w:pPr>
        <w:spacing w:after="0" w:line="2" w:lineRule="exact"/>
        <w:rPr>
          <w:rFonts w:ascii="Times New Roman" w:cs="Times New Roman" w:eastAsia="Times New Roman" w:hAnsi="Times New Roman"/>
          <w:sz w:val="16"/>
          <w:szCs w:val="16"/>
          <w:color w:val="auto"/>
        </w:rPr>
      </w:pPr>
    </w:p>
    <w:p>
      <w:pPr>
        <w:ind w:left="164" w:right="200" w:hanging="164"/>
        <w:spacing w:after="0" w:line="243" w:lineRule="auto"/>
        <w:tabs>
          <w:tab w:leader="none" w:pos="153"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Reviews non-employee director compensation components and amounts</w:t>
      </w:r>
    </w:p>
    <w:p>
      <w:pPr>
        <w:ind w:left="164" w:right="320" w:hanging="164"/>
        <w:spacing w:after="0" w:line="237" w:lineRule="auto"/>
        <w:tabs>
          <w:tab w:leader="none" w:pos="153"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Reviews succession planning and short-term contingency plans for emergencies for the CEO and other executive officers</w:t>
      </w:r>
    </w:p>
    <w:p>
      <w:pPr>
        <w:spacing w:after="0" w:line="192" w:lineRule="exact"/>
        <w:rPr>
          <w:sz w:val="20"/>
          <w:szCs w:val="20"/>
          <w:color w:val="auto"/>
        </w:rPr>
      </w:pPr>
    </w:p>
    <w:p>
      <w:pPr>
        <w:sectPr>
          <w:pgSz w:w="11900" w:h="16838" w:orient="portrait"/>
          <w:cols w:equalWidth="0" w:num="3">
            <w:col w:w="1620" w:space="59"/>
            <w:col w:w="4921" w:space="96"/>
            <w:col w:w="4544"/>
          </w:cols>
          <w:pgMar w:left="320" w:top="1350" w:right="3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1660" w:type="dxa"/>
            <w:vAlign w:val="bottom"/>
            <w:shd w:val="clear" w:color="auto" w:fill="BF2115"/>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660" w:type="dxa"/>
            <w:vAlign w:val="bottom"/>
          </w:tcPr>
          <w:p>
            <w:pPr>
              <w:ind w:left="40"/>
              <w:spacing w:after="0"/>
              <w:rPr>
                <w:sz w:val="20"/>
                <w:szCs w:val="20"/>
                <w:color w:val="auto"/>
              </w:rPr>
            </w:pPr>
            <w:r>
              <w:rPr>
                <w:rFonts w:ascii="Arial" w:cs="Arial" w:eastAsia="Arial" w:hAnsi="Arial"/>
                <w:sz w:val="16"/>
                <w:szCs w:val="16"/>
                <w:color w:val="auto"/>
                <w:w w:val="99"/>
              </w:rPr>
              <w:t>Reviews and recommends to the Board the size and composition</w:t>
            </w:r>
          </w:p>
        </w:tc>
      </w:tr>
      <w:tr>
        <w:trPr>
          <w:trHeight w:val="200"/>
        </w:trPr>
        <w:tc>
          <w:tcPr>
            <w:tcW w:w="1660" w:type="dxa"/>
            <w:vAlign w:val="bottom"/>
            <w:shd w:val="clear" w:color="auto" w:fill="BF2115"/>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tcPr>
          <w:p>
            <w:pPr>
              <w:ind w:left="60"/>
              <w:spacing w:after="0"/>
              <w:rPr>
                <w:sz w:val="20"/>
                <w:szCs w:val="20"/>
                <w:color w:val="auto"/>
              </w:rPr>
            </w:pPr>
            <w:r>
              <w:rPr>
                <w:rFonts w:ascii="Arial" w:cs="Arial" w:eastAsia="Arial" w:hAnsi="Arial"/>
                <w:sz w:val="16"/>
                <w:szCs w:val="16"/>
                <w:color w:val="auto"/>
              </w:rPr>
              <w:t>of the Board and its committees</w:t>
            </w:r>
          </w:p>
        </w:tc>
      </w:tr>
      <w:tr>
        <w:trPr>
          <w:trHeight w:val="173"/>
        </w:trPr>
        <w:tc>
          <w:tcPr>
            <w:tcW w:w="166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rPr>
              <w:t>Nominating and</w:t>
            </w:r>
          </w:p>
        </w:tc>
        <w:tc>
          <w:tcPr>
            <w:tcW w:w="12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4660" w:type="dxa"/>
            <w:vAlign w:val="bottom"/>
          </w:tcPr>
          <w:p>
            <w:pPr>
              <w:ind w:left="40"/>
              <w:spacing w:after="0" w:line="174" w:lineRule="exact"/>
              <w:rPr>
                <w:sz w:val="20"/>
                <w:szCs w:val="20"/>
                <w:color w:val="auto"/>
              </w:rPr>
            </w:pPr>
            <w:r>
              <w:rPr>
                <w:rFonts w:ascii="Arial" w:cs="Arial" w:eastAsia="Arial" w:hAnsi="Arial"/>
                <w:sz w:val="16"/>
                <w:szCs w:val="16"/>
                <w:color w:val="auto"/>
              </w:rPr>
              <w:t>Identifies individuals qualified to become Board members</w:t>
            </w:r>
          </w:p>
        </w:tc>
      </w:tr>
      <w:tr>
        <w:trPr>
          <w:trHeight w:val="187"/>
        </w:trPr>
        <w:tc>
          <w:tcPr>
            <w:tcW w:w="16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Governance</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60" w:type="dxa"/>
            <w:vAlign w:val="bottom"/>
          </w:tcPr>
          <w:p>
            <w:pPr>
              <w:ind w:left="40"/>
              <w:spacing w:after="0"/>
              <w:rPr>
                <w:sz w:val="20"/>
                <w:szCs w:val="20"/>
                <w:color w:val="auto"/>
              </w:rPr>
            </w:pPr>
            <w:r>
              <w:rPr>
                <w:rFonts w:ascii="Arial" w:cs="Arial" w:eastAsia="Arial" w:hAnsi="Arial"/>
                <w:sz w:val="16"/>
                <w:szCs w:val="16"/>
                <w:color w:val="auto"/>
              </w:rPr>
              <w:t>Recommends to the Board director nominees for election at the</w:t>
            </w:r>
          </w:p>
        </w:tc>
      </w:tr>
      <w:tr>
        <w:trPr>
          <w:trHeight w:val="200"/>
        </w:trPr>
        <w:tc>
          <w:tcPr>
            <w:tcW w:w="16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Committee</w:t>
            </w:r>
          </w:p>
        </w:tc>
        <w:tc>
          <w:tcPr>
            <w:tcW w:w="120" w:type="dxa"/>
            <w:vAlign w:val="bottom"/>
          </w:tcPr>
          <w:p>
            <w:pPr>
              <w:spacing w:after="0"/>
              <w:rPr>
                <w:sz w:val="17"/>
                <w:szCs w:val="17"/>
                <w:color w:val="auto"/>
              </w:rPr>
            </w:pPr>
          </w:p>
        </w:tc>
        <w:tc>
          <w:tcPr>
            <w:tcW w:w="4660" w:type="dxa"/>
            <w:vAlign w:val="bottom"/>
          </w:tcPr>
          <w:p>
            <w:pPr>
              <w:ind w:left="60"/>
              <w:spacing w:after="0"/>
              <w:rPr>
                <w:sz w:val="20"/>
                <w:szCs w:val="20"/>
                <w:color w:val="auto"/>
              </w:rPr>
            </w:pPr>
            <w:r>
              <w:rPr>
                <w:rFonts w:ascii="Arial" w:cs="Arial" w:eastAsia="Arial" w:hAnsi="Arial"/>
                <w:sz w:val="16"/>
                <w:szCs w:val="16"/>
                <w:color w:val="auto"/>
              </w:rPr>
              <w:t>annual meeting</w:t>
            </w:r>
          </w:p>
        </w:tc>
      </w:tr>
      <w:tr>
        <w:trPr>
          <w:trHeight w:val="187"/>
        </w:trPr>
        <w:tc>
          <w:tcPr>
            <w:tcW w:w="1660" w:type="dxa"/>
            <w:vAlign w:val="bottom"/>
            <w:shd w:val="clear" w:color="auto" w:fill="BF2115"/>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60" w:type="dxa"/>
            <w:vAlign w:val="bottom"/>
          </w:tcPr>
          <w:p>
            <w:pPr>
              <w:ind w:left="40"/>
              <w:spacing w:after="0"/>
              <w:rPr>
                <w:sz w:val="20"/>
                <w:szCs w:val="20"/>
                <w:color w:val="auto"/>
              </w:rPr>
            </w:pPr>
            <w:r>
              <w:rPr>
                <w:rFonts w:ascii="Arial" w:cs="Arial" w:eastAsia="Arial" w:hAnsi="Arial"/>
                <w:sz w:val="16"/>
                <w:szCs w:val="16"/>
                <w:color w:val="auto"/>
              </w:rPr>
              <w:t>Oversees the annual evaluation of the Board</w:t>
            </w:r>
          </w:p>
        </w:tc>
      </w:tr>
      <w:tr>
        <w:trPr>
          <w:trHeight w:val="211"/>
        </w:trPr>
        <w:tc>
          <w:tcPr>
            <w:tcW w:w="1660" w:type="dxa"/>
            <w:vAlign w:val="bottom"/>
            <w:shd w:val="clear" w:color="auto" w:fill="BF2115"/>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4660" w:type="dxa"/>
            <w:vAlign w:val="bottom"/>
          </w:tcPr>
          <w:p>
            <w:pPr>
              <w:ind w:left="40"/>
              <w:spacing w:after="0"/>
              <w:rPr>
                <w:sz w:val="20"/>
                <w:szCs w:val="20"/>
                <w:color w:val="auto"/>
              </w:rPr>
            </w:pPr>
            <w:r>
              <w:rPr>
                <w:rFonts w:ascii="Arial" w:cs="Arial" w:eastAsia="Arial" w:hAnsi="Arial"/>
                <w:sz w:val="16"/>
                <w:szCs w:val="16"/>
                <w:color w:val="auto"/>
              </w:rPr>
              <w:t>Oversees sustainability program</w:t>
            </w:r>
          </w:p>
        </w:tc>
      </w:tr>
      <w:tr>
        <w:trPr>
          <w:trHeight w:val="43"/>
        </w:trPr>
        <w:tc>
          <w:tcPr>
            <w:tcW w:w="1660" w:type="dxa"/>
            <w:vAlign w:val="bottom"/>
            <w:shd w:val="clear" w:color="auto" w:fill="BF2115"/>
          </w:tcPr>
          <w:p>
            <w:pPr>
              <w:spacing w:after="0"/>
              <w:rPr>
                <w:sz w:val="3"/>
                <w:szCs w:val="3"/>
                <w:color w:val="auto"/>
              </w:rPr>
            </w:pPr>
          </w:p>
        </w:tc>
        <w:tc>
          <w:tcPr>
            <w:tcW w:w="120" w:type="dxa"/>
            <w:vAlign w:val="bottom"/>
          </w:tcPr>
          <w:p>
            <w:pPr>
              <w:spacing w:after="0"/>
              <w:rPr>
                <w:sz w:val="3"/>
                <w:szCs w:val="3"/>
                <w:color w:val="auto"/>
              </w:rPr>
            </w:pPr>
          </w:p>
        </w:tc>
        <w:tc>
          <w:tcPr>
            <w:tcW w:w="466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134225" cy="1059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225" cy="1059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51" w:right="560" w:hanging="151"/>
        <w:spacing w:after="0" w:line="242" w:lineRule="auto"/>
        <w:tabs>
          <w:tab w:leader="none" w:pos="14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Reviews and recommends to the Board any proposed amendments or changes to Restated Certificate of Incorporation or Amended and Restated Bylaws</w:t>
      </w:r>
    </w:p>
    <w:p>
      <w:pPr>
        <w:ind w:left="151" w:right="1000" w:hanging="151"/>
        <w:spacing w:after="0" w:line="243" w:lineRule="auto"/>
        <w:tabs>
          <w:tab w:leader="none" w:pos="14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Reviews Corporate Governance Guidelines and recommends to the Board any changes</w:t>
      </w:r>
    </w:p>
    <w:p>
      <w:pPr>
        <w:ind w:left="151" w:hanging="151"/>
        <w:spacing w:after="0"/>
        <w:tabs>
          <w:tab w:leader="none" w:pos="151"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Monitors corporate governance trends</w:t>
      </w:r>
    </w:p>
    <w:p>
      <w:pPr>
        <w:spacing w:after="0" w:line="404" w:lineRule="exact"/>
        <w:rPr>
          <w:sz w:val="20"/>
          <w:szCs w:val="20"/>
          <w:color w:val="auto"/>
        </w:rPr>
      </w:pPr>
    </w:p>
    <w:p>
      <w:pPr>
        <w:sectPr>
          <w:pgSz w:w="11900" w:h="16838" w:orient="portrait"/>
          <w:cols w:equalWidth="0" w:num="2">
            <w:col w:w="6440" w:space="269"/>
            <w:col w:w="4531"/>
          </w:cols>
          <w:pgMar w:left="320" w:top="1350" w:right="339" w:bottom="1440" w:gutter="0" w:footer="0" w:header="0"/>
          <w:type w:val="continuous"/>
        </w:sectPr>
      </w:pPr>
    </w:p>
    <w:p>
      <w:pPr>
        <w:ind w:left="1840" w:hanging="161"/>
        <w:spacing w:after="0" w:line="238" w:lineRule="auto"/>
        <w:tabs>
          <w:tab w:leader="none" w:pos="1829"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Reviews, and recommends to the Board as required, capital structure and related financial policies and long-range objectives, capital expenditures, tax strategies and restructuring projects,</w:t>
      </w:r>
    </w:p>
    <w:p>
      <w:pPr>
        <w:spacing w:after="0" w:line="2" w:lineRule="exact"/>
        <w:rPr>
          <w:sz w:val="20"/>
          <w:szCs w:val="20"/>
          <w:color w:val="auto"/>
        </w:rPr>
      </w:pPr>
    </w:p>
    <w:p>
      <w:pPr>
        <w:ind w:left="540"/>
        <w:spacing w:after="0"/>
        <w:tabs>
          <w:tab w:leader="none" w:pos="1820" w:val="left"/>
        </w:tabs>
        <w:rPr>
          <w:sz w:val="20"/>
          <w:szCs w:val="20"/>
          <w:color w:val="auto"/>
        </w:rPr>
      </w:pPr>
      <w:r>
        <w:rPr>
          <w:rFonts w:ascii="Arial" w:cs="Arial" w:eastAsia="Arial" w:hAnsi="Arial"/>
          <w:sz w:val="16"/>
          <w:szCs w:val="16"/>
          <w:b w:val="1"/>
          <w:bCs w:val="1"/>
          <w:color w:val="FFFFFF"/>
        </w:rPr>
        <w:t>Finance</w:t>
      </w:r>
      <w:r>
        <w:rPr>
          <w:sz w:val="20"/>
          <w:szCs w:val="20"/>
          <w:color w:val="auto"/>
        </w:rPr>
        <w:tab/>
      </w:r>
      <w:r>
        <w:rPr>
          <w:rFonts w:ascii="Arial" w:cs="Arial" w:eastAsia="Arial" w:hAnsi="Arial"/>
          <w:sz w:val="16"/>
          <w:szCs w:val="16"/>
          <w:color w:val="auto"/>
        </w:rPr>
        <w:t>financing arrangements and cash or any special dividends</w:t>
      </w:r>
    </w:p>
    <w:p>
      <w:pPr>
        <w:spacing w:after="0" w:line="3" w:lineRule="exact"/>
        <w:rPr>
          <w:sz w:val="20"/>
          <w:szCs w:val="20"/>
          <w:color w:val="auto"/>
        </w:rPr>
      </w:pPr>
    </w:p>
    <w:p>
      <w:pPr>
        <w:ind w:left="1680" w:right="80" w:hanging="1418"/>
        <w:spacing w:after="0" w:line="256" w:lineRule="auto"/>
        <w:tabs>
          <w:tab w:leader="none" w:pos="1660" w:val="left"/>
        </w:tabs>
        <w:rPr>
          <w:sz w:val="20"/>
          <w:szCs w:val="20"/>
          <w:color w:val="auto"/>
        </w:rPr>
      </w:pPr>
      <w:r>
        <w:rPr>
          <w:rFonts w:ascii="Arial" w:cs="Arial" w:eastAsia="Arial" w:hAnsi="Arial"/>
          <w:sz w:val="16"/>
          <w:szCs w:val="16"/>
          <w:b w:val="1"/>
          <w:bCs w:val="1"/>
          <w:color w:val="FFFFFF"/>
        </w:rPr>
        <w:t>Committee</w:t>
      </w:r>
      <w:r>
        <w:rPr>
          <w:sz w:val="20"/>
          <w:szCs w:val="20"/>
          <w:color w:val="auto"/>
        </w:rPr>
        <w:tab/>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Reviews and recommends to the Board the authorization for the</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issuance or repurchase of equity or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248285</wp:posOffset>
            </wp:positionV>
            <wp:extent cx="71342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64" w:right="240" w:hanging="164"/>
        <w:spacing w:after="0" w:line="266" w:lineRule="auto"/>
        <w:tabs>
          <w:tab w:leader="none" w:pos="153" w:val="left"/>
        </w:tabs>
        <w:numPr>
          <w:ilvl w:val="0"/>
          <w:numId w:val="45"/>
        </w:numPr>
        <w:rPr>
          <w:rFonts w:ascii="Times New Roman" w:cs="Times New Roman" w:eastAsia="Times New Roman" w:hAnsi="Times New Roman"/>
          <w:sz w:val="15"/>
          <w:szCs w:val="15"/>
          <w:b w:val="1"/>
          <w:bCs w:val="1"/>
          <w:color w:val="auto"/>
        </w:rPr>
      </w:pPr>
      <w:r>
        <w:rPr>
          <w:rFonts w:ascii="Arial" w:cs="Arial" w:eastAsia="Arial" w:hAnsi="Arial"/>
          <w:sz w:val="15"/>
          <w:szCs w:val="15"/>
          <w:color w:val="auto"/>
        </w:rPr>
        <w:t>Reviews use of derivative, hedging and similar instruments to manage financial, currency and interest rate exposure</w:t>
      </w:r>
    </w:p>
    <w:p>
      <w:pPr>
        <w:spacing w:after="0" w:line="1" w:lineRule="exact"/>
        <w:rPr>
          <w:rFonts w:ascii="Times New Roman" w:cs="Times New Roman" w:eastAsia="Times New Roman" w:hAnsi="Times New Roman"/>
          <w:sz w:val="15"/>
          <w:szCs w:val="15"/>
          <w:b w:val="1"/>
          <w:bCs w:val="1"/>
          <w:color w:val="auto"/>
        </w:rPr>
      </w:pPr>
    </w:p>
    <w:p>
      <w:pPr>
        <w:ind w:left="164" w:right="460" w:hanging="164"/>
        <w:spacing w:after="0" w:line="236" w:lineRule="auto"/>
        <w:tabs>
          <w:tab w:leader="none" w:pos="153"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Evaluates, and recommends to the Board as required, financing implications of certain proposed merger, acquisition, divestiture, joint venture and other business combination transactions or investments</w:t>
      </w:r>
    </w:p>
    <w:p>
      <w:pPr>
        <w:spacing w:after="0" w:line="1" w:lineRule="exact"/>
        <w:rPr>
          <w:rFonts w:ascii="Times New Roman" w:cs="Times New Roman" w:eastAsia="Times New Roman" w:hAnsi="Times New Roman"/>
          <w:sz w:val="16"/>
          <w:szCs w:val="16"/>
          <w:color w:val="auto"/>
        </w:rPr>
      </w:pPr>
    </w:p>
    <w:p>
      <w:pPr>
        <w:ind w:left="164" w:right="140" w:hanging="164"/>
        <w:spacing w:after="0" w:line="239" w:lineRule="auto"/>
        <w:tabs>
          <w:tab w:leader="none" w:pos="153"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Oversees investor relations program, including sustainability engagement and disclosures</w:t>
      </w:r>
    </w:p>
    <w:p>
      <w:pPr>
        <w:spacing w:after="0" w:line="200" w:lineRule="exact"/>
        <w:rPr>
          <w:sz w:val="20"/>
          <w:szCs w:val="20"/>
          <w:color w:val="auto"/>
        </w:rPr>
      </w:pPr>
    </w:p>
    <w:p>
      <w:pPr>
        <w:sectPr>
          <w:pgSz w:w="11900" w:h="16838" w:orient="portrait"/>
          <w:cols w:equalWidth="0" w:num="2">
            <w:col w:w="6440" w:space="256"/>
            <w:col w:w="4544"/>
          </w:cols>
          <w:pgMar w:left="320" w:top="1350" w:right="339" w:bottom="1440" w:gutter="0" w:footer="0" w:header="0"/>
          <w:type w:val="continuous"/>
        </w:sect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Director Refreshment, Recruitment, Nomination and Qualifications</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Board Refreshment, Director Tenure and Retirement Policy. </w:t>
      </w:r>
      <w:r>
        <w:rPr>
          <w:rFonts w:ascii="Arial" w:cs="Arial" w:eastAsia="Arial" w:hAnsi="Arial"/>
          <w:sz w:val="18"/>
          <w:szCs w:val="18"/>
          <w:color w:val="auto"/>
        </w:rPr>
        <w:t>The Board is committed to effective and ongoing refreshment that is</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reflective of the evolution of the Company’s strategy and provides a balanced mix of skills, backgrounds and tenure. The Company does not set specific term limits on director service and believes that a mix of director tenures on the Board can strengthen Board effectiveness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dynamics. Longer tenured directors possess experience and organizational knowledge while newer directors bring fresh insight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7"/>
          <w:szCs w:val="17"/>
          <w:color w:val="auto"/>
        </w:rPr>
        <w:t>perspective. Our current Board reflects this perspective, and the Board is committed to ongoing Board refreshment. As part of the objective of</w:t>
      </w:r>
    </w:p>
    <w:p>
      <w:pPr>
        <w:spacing w:after="0" w:line="2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continuously engaging in Board refreshment, no person may serve as a director of the Company if such person would be 70 or older on the date of election or re-election.</w:t>
      </w:r>
    </w:p>
    <w:p>
      <w:pPr>
        <w:spacing w:after="0" w:line="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Additional Board and Audit Committee Service and Director Commitments. </w:t>
      </w:r>
      <w:r>
        <w:rPr>
          <w:rFonts w:ascii="Arial" w:cs="Arial" w:eastAsia="Arial" w:hAnsi="Arial"/>
          <w:sz w:val="18"/>
          <w:szCs w:val="18"/>
          <w:color w:val="auto"/>
        </w:rPr>
        <w:t>While the Board acknowledges the value of having</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directors with significant leadership experience in other businesses and organizations, directors are expected to ensure that their other commitments do not interfere with their duties and responsibilities as directors of the Company. As such, absent special or interim</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circumstances, no independent director may serve on more than four public company boards (including the Company’s Board) and no director</w:t>
      </w:r>
    </w:p>
    <w:p>
      <w:pPr>
        <w:spacing w:after="0" w:line="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who is a sitting chief executive officer, including the Company’s Chief Executive Officer, may serve on more than two public company boards (including the Company’s Board). Further, no Audit Committee member may simultaneously serve on the audit committees of more than three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public companies (including the Company’s Audit Committee).</w:t>
      </w:r>
    </w:p>
    <w:p>
      <w:pPr>
        <w:spacing w:after="0" w:line="84" w:lineRule="exact"/>
        <w:rPr>
          <w:sz w:val="20"/>
          <w:szCs w:val="20"/>
          <w:color w:val="auto"/>
        </w:rPr>
      </w:pPr>
    </w:p>
    <w:p>
      <w:pPr>
        <w:ind w:firstLine="640"/>
        <w:spacing w:after="0" w:line="247" w:lineRule="auto"/>
        <w:rPr>
          <w:sz w:val="20"/>
          <w:szCs w:val="20"/>
          <w:color w:val="auto"/>
        </w:rPr>
      </w:pPr>
      <w:r>
        <w:rPr>
          <w:rFonts w:ascii="Arial" w:cs="Arial" w:eastAsia="Arial" w:hAnsi="Arial"/>
          <w:sz w:val="17"/>
          <w:szCs w:val="17"/>
          <w:color w:val="auto"/>
        </w:rPr>
        <w:t>In addition, in considering each director’s ability to discharge such director's duties, the Nominating and Governance Committee annually reviews a director’s commitments to other boards, including committee memberships and leadership positions, as well as service with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private company boards and non-profit organizations, in light of such director’s other professional responsibilities.</w:t>
      </w:r>
    </w:p>
    <w:p>
      <w:pPr>
        <w:spacing w:after="0" w:line="84"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b w:val="1"/>
          <w:bCs w:val="1"/>
          <w:i w:val="1"/>
          <w:iCs w:val="1"/>
          <w:color w:val="auto"/>
        </w:rPr>
        <w:t xml:space="preserve">Director Recruitment and Nomination. </w:t>
      </w:r>
      <w:r>
        <w:rPr>
          <w:rFonts w:ascii="Arial" w:cs="Arial" w:eastAsia="Arial" w:hAnsi="Arial"/>
          <w:sz w:val="18"/>
          <w:szCs w:val="18"/>
          <w:color w:val="auto"/>
        </w:rPr>
        <w:t>The Nominating and Governance Committee establishes criteria for the selection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nomination of directors to serve on the Board and identifies and recommends individuals to serve on the Board. In connection with director</w:t>
      </w:r>
    </w:p>
    <w:p>
      <w:pPr>
        <w:spacing w:after="0" w:line="233" w:lineRule="auto"/>
        <w:rPr>
          <w:sz w:val="20"/>
          <w:szCs w:val="20"/>
          <w:color w:val="auto"/>
        </w:rPr>
      </w:pPr>
      <w:r>
        <w:rPr>
          <w:rFonts w:ascii="Arial" w:cs="Arial" w:eastAsia="Arial" w:hAnsi="Arial"/>
          <w:sz w:val="18"/>
          <w:szCs w:val="18"/>
          <w:color w:val="auto"/>
        </w:rPr>
        <w:t>recruitment, the Nominating and Governance Committee has authority to retain and to terminate any search firm to be used to assist it in</w:t>
      </w:r>
    </w:p>
    <w:p>
      <w:pPr>
        <w:spacing w:after="0" w:line="224" w:lineRule="auto"/>
        <w:rPr>
          <w:sz w:val="20"/>
          <w:szCs w:val="20"/>
          <w:color w:val="auto"/>
        </w:rPr>
      </w:pPr>
      <w:r>
        <w:rPr>
          <w:rFonts w:ascii="Arial" w:cs="Arial" w:eastAsia="Arial" w:hAnsi="Arial"/>
          <w:sz w:val="18"/>
          <w:szCs w:val="18"/>
          <w:color w:val="auto"/>
        </w:rPr>
        <w:t>identifying candidates to serve as directors of the Company. The Nominating and Governance Committee reviews and makes recommendations to the Board regarding the composition and size of the Board in order to ensure the Board has the requisite expertise and</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that its membership consists of persons with sufficiently diverse and independent backgrounds. As part of the nomination process for director candidates, the Nominating and Governance Committee considers the criteria described under “Director Qualifications” below and the skills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experiences of current directors as illustrated in the matrix on page 3.</w:t>
      </w:r>
    </w:p>
    <w:p>
      <w:pPr>
        <w:spacing w:after="0" w:line="84" w:lineRule="exact"/>
        <w:rPr>
          <w:sz w:val="20"/>
          <w:szCs w:val="20"/>
          <w:color w:val="auto"/>
        </w:rPr>
      </w:pPr>
    </w:p>
    <w:p>
      <w:pPr>
        <w:ind w:firstLine="640"/>
        <w:spacing w:after="0" w:line="247" w:lineRule="auto"/>
        <w:rPr>
          <w:sz w:val="20"/>
          <w:szCs w:val="20"/>
          <w:color w:val="auto"/>
        </w:rPr>
      </w:pPr>
      <w:r>
        <w:rPr>
          <w:rFonts w:ascii="Arial" w:cs="Arial" w:eastAsia="Arial" w:hAnsi="Arial"/>
          <w:sz w:val="17"/>
          <w:szCs w:val="17"/>
          <w:b w:val="1"/>
          <w:bCs w:val="1"/>
          <w:i w:val="1"/>
          <w:iCs w:val="1"/>
          <w:color w:val="auto"/>
        </w:rPr>
        <w:t xml:space="preserve">Director Qualifications. </w:t>
      </w:r>
      <w:r>
        <w:rPr>
          <w:rFonts w:ascii="Arial" w:cs="Arial" w:eastAsia="Arial" w:hAnsi="Arial"/>
          <w:sz w:val="17"/>
          <w:szCs w:val="17"/>
          <w:color w:val="auto"/>
        </w:rPr>
        <w:t>In identifying candidates for membership on the Board, the Nominating and Governance Committee looks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criteria set forth in the Company’s Corporate Governance Guidelines and takes into account all factors it considers appropriate, which may</w:t>
      </w:r>
    </w:p>
    <w:p>
      <w:pPr>
        <w:spacing w:after="0" w:line="232" w:lineRule="auto"/>
        <w:rPr>
          <w:sz w:val="20"/>
          <w:szCs w:val="20"/>
          <w:color w:val="auto"/>
        </w:rPr>
      </w:pPr>
      <w:r>
        <w:rPr>
          <w:rFonts w:ascii="Arial" w:cs="Arial" w:eastAsia="Arial" w:hAnsi="Arial"/>
          <w:sz w:val="18"/>
          <w:szCs w:val="18"/>
          <w:color w:val="auto"/>
        </w:rPr>
        <w:t>include among other factors, meaningful experience, independence, leadership, integrity, accountability, informed judgment, financial literacy,</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mature confidence, interpersonal skills and high performance standards, and the extent to which the candidate would fill a present need on the Board. Although the Nominating and Governance Committee does not have a policy regarding consideration of diversity in identifying director</w:t>
      </w:r>
    </w:p>
    <w:p>
      <w:pPr>
        <w:spacing w:after="0" w:line="233" w:lineRule="auto"/>
        <w:rPr>
          <w:sz w:val="20"/>
          <w:szCs w:val="20"/>
          <w:color w:val="auto"/>
        </w:rPr>
      </w:pPr>
      <w:r>
        <w:rPr>
          <w:rFonts w:ascii="Arial" w:cs="Arial" w:eastAsia="Arial" w:hAnsi="Arial"/>
          <w:sz w:val="18"/>
          <w:szCs w:val="18"/>
          <w:color w:val="auto"/>
        </w:rPr>
        <w:t>nominees, it considers a candidate's background in recruitment and nomination of the Company’s directors when it makes recommendations</w:t>
      </w:r>
    </w:p>
    <w:p>
      <w:pPr>
        <w:spacing w:after="0" w:line="234" w:lineRule="auto"/>
        <w:rPr>
          <w:sz w:val="20"/>
          <w:szCs w:val="20"/>
          <w:color w:val="auto"/>
        </w:rPr>
      </w:pPr>
      <w:r>
        <w:rPr>
          <w:rFonts w:ascii="Arial" w:cs="Arial" w:eastAsia="Arial" w:hAnsi="Arial"/>
          <w:sz w:val="18"/>
          <w:szCs w:val="18"/>
          <w:color w:val="auto"/>
        </w:rPr>
        <w:t>to the Board regarding director candidates. The Board believes that having a variety of points of view improves the quality of dialogue, contributes to a more effective decision-making process and enhances the overall culture in the boardroom.</w:t>
      </w:r>
    </w:p>
    <w:p>
      <w:pPr>
        <w:spacing w:after="0" w:line="7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 xml:space="preserve">Process for Identifying and Adding New Directors. </w:t>
      </w:r>
      <w:r>
        <w:rPr>
          <w:rFonts w:ascii="Arial" w:cs="Arial" w:eastAsia="Arial" w:hAnsi="Arial"/>
          <w:sz w:val="17"/>
          <w:szCs w:val="17"/>
          <w:color w:val="auto"/>
        </w:rPr>
        <w:t>In identifying new nominees for election to the Board when vacancies occur, the</w:t>
      </w:r>
    </w:p>
    <w:p>
      <w:pPr>
        <w:spacing w:after="0" w:line="2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Nominating and Governance Committee may solicit recommendations for nominees from other members of our Board or senior management. In addition, the Nominating and Governance Committee may: (i) formally engage search or placement firms to assist it in identifying and</w:t>
      </w:r>
    </w:p>
    <w:p>
      <w:pPr>
        <w:spacing w:after="0" w:line="233" w:lineRule="auto"/>
        <w:rPr>
          <w:sz w:val="20"/>
          <w:szCs w:val="20"/>
          <w:color w:val="auto"/>
        </w:rPr>
      </w:pPr>
      <w:r>
        <w:rPr>
          <w:rFonts w:ascii="Arial" w:cs="Arial" w:eastAsia="Arial" w:hAnsi="Arial"/>
          <w:sz w:val="18"/>
          <w:szCs w:val="18"/>
          <w:color w:val="auto"/>
        </w:rPr>
        <w:t>evaluating qualified nominees; (ii) consider candidates put forth by external search or placement firms; and/or (iii) consider certain individuals</w:t>
      </w:r>
    </w:p>
    <w:p>
      <w:pPr>
        <w:spacing w:after="0" w:line="234" w:lineRule="auto"/>
        <w:rPr>
          <w:sz w:val="20"/>
          <w:szCs w:val="20"/>
          <w:color w:val="auto"/>
        </w:rPr>
      </w:pPr>
      <w:r>
        <w:rPr>
          <w:rFonts w:ascii="Arial" w:cs="Arial" w:eastAsia="Arial" w:hAnsi="Arial"/>
          <w:sz w:val="18"/>
          <w:szCs w:val="18"/>
          <w:color w:val="auto"/>
        </w:rPr>
        <w:t>who contacted the Chair of the Board, the Lead Independent Director and/or the Board of Directors and expressed an interest in serving on the Board.</w:t>
      </w:r>
    </w:p>
    <w:p>
      <w:pPr>
        <w:spacing w:after="0" w:line="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Once a proposed candidate is identified, the Nominating and Governance Committee may solicit the views of senior management,</w:t>
      </w:r>
    </w:p>
    <w:p>
      <w:pPr>
        <w:spacing w:after="0" w:line="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Board members and any other individuals it believes may have insight into a particular candidate. The Nominating and Governance Committee may designate one or more of its members and/or other Board members to interview a proposed candidate. The Nominating and Governance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Committee then will recommend a director nominee to the Board based on its evaluation of such criteria.</w:t>
      </w:r>
    </w:p>
    <w:p>
      <w:pPr>
        <w:spacing w:after="0" w:line="84"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b w:val="1"/>
          <w:bCs w:val="1"/>
          <w:i w:val="1"/>
          <w:iCs w:val="1"/>
          <w:color w:val="auto"/>
        </w:rPr>
        <w:t xml:space="preserve">Stockholder Recommendations for Director Candidates. </w:t>
      </w:r>
      <w:r>
        <w:rPr>
          <w:rFonts w:ascii="Arial" w:cs="Arial" w:eastAsia="Arial" w:hAnsi="Arial"/>
          <w:sz w:val="18"/>
          <w:szCs w:val="18"/>
          <w:color w:val="auto"/>
        </w:rPr>
        <w:t>The Nominating and Governance Committee will consider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candidates recommended to it by our stockholders. Those candidates must be qualified and exhibit the experience and expertise required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Board's own pool of candidates, as well as have an interest in our business, and the demonstrated ability to attend and prepare for Board,</w:t>
      </w:r>
    </w:p>
    <w:p>
      <w:pPr>
        <w:spacing w:after="0" w:line="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committee and stockholder meetings. Any candidate must state in advance a willingness and interest in serving on the Board. Candidates should represent the interests of all stockholders and not those of a special interest group. The Nominating and Governance Committee will</w:t>
      </w:r>
    </w:p>
    <w:p>
      <w:pPr>
        <w:spacing w:after="0" w:line="232" w:lineRule="auto"/>
        <w:rPr>
          <w:sz w:val="20"/>
          <w:szCs w:val="20"/>
          <w:color w:val="auto"/>
        </w:rPr>
      </w:pPr>
      <w:r>
        <w:rPr>
          <w:rFonts w:ascii="Arial" w:cs="Arial" w:eastAsia="Arial" w:hAnsi="Arial"/>
          <w:sz w:val="18"/>
          <w:szCs w:val="18"/>
          <w:color w:val="auto"/>
        </w:rPr>
        <w:t>evaluate candidates recommended by stockholders using the same criteria it uses to evaluate candidates recommended by others as</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described above. A stockholder that desires to nominate a person for election to the Board at a meeting of stockholders must follow the specified advance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2" w:name="page33"/>
    <w:bookmarkEnd w:id="32"/>
    <w:p>
      <w:pPr>
        <w:jc w:val="both"/>
        <w:spacing w:after="0" w:line="262" w:lineRule="auto"/>
        <w:rPr>
          <w:sz w:val="20"/>
          <w:szCs w:val="20"/>
          <w:color w:val="auto"/>
        </w:rPr>
      </w:pPr>
      <w:r>
        <w:rPr>
          <w:rFonts w:ascii="Arial" w:cs="Arial" w:eastAsia="Arial" w:hAnsi="Arial"/>
          <w:sz w:val="18"/>
          <w:szCs w:val="18"/>
          <w:color w:val="auto"/>
        </w:rPr>
        <w:t>requirements contained in, and provide the specific information required by, our Amended and Restated Bylaws, as referred to under "Stockholder Proposals and Director Nominations for the 2027 Annual Meeting."</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Director Independence</w:t>
      </w:r>
    </w:p>
    <w:p>
      <w:pPr>
        <w:spacing w:after="0" w:line="8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7"/>
          <w:szCs w:val="17"/>
          <w:color w:val="auto"/>
        </w:rPr>
        <w:t>In compliance with the listing standards applicable to us under the NYSE Listed Company Manual, the Board has adopted categorical standards to assist in evaluating the independence of the Company’s directors. These standards are included in our Corporate Governance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Guidelines available under the “Corporate Governance” subsection of the “Investor Relations” section of our website at https://www.thetorocompany.com/corporate-governance/highlights.</w:t>
      </w:r>
    </w:p>
    <w:p>
      <w:pPr>
        <w:spacing w:after="0" w:line="314"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18"/>
          <w:szCs w:val="18"/>
          <w:color w:val="auto"/>
        </w:rPr>
        <w:t>The Board, after consideration of all relevant facts and circumstances, including the director independence standards, and upon recommendation of the Nominating and Governance Committee, has affirmatively determined that the following directors, comprising all our current non-employee directors, are independent: Dianne C. Craig, Gary L. Ellis, Eric P. Hansotia, Jeffrey L. Harmening, D. Christian Koch, Joyce A. Mullen, Jill M. Pemberton and James C. O'Rourke. These directors have no material relationship with our Company, our management, our external auditor, compensation consultant, or compensation legal advisers, and otherwise meet the independence requirements as established by applicable law, the rules and regulations of the SEC, and the NYSE listing standards. In making these independence determinations, the Board considered, among other factors, transactions between us and the employers of certain of our</w:t>
      </w:r>
    </w:p>
    <w:p>
      <w:pPr>
        <w:spacing w:after="0" w:line="4"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directors, which transactions were pre-approved under our Corporate Governance Guidelines since they were in the ordinary course of business, at arm's length, at prices and on terms customarily available to unrelated third party vendors or customers generally, in amounts that</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are not material to us or such unaffiliated corporations and none of the directors had any direct or indirect personal interest, or received any personal benefit in the transactions. Richard M. Olson, our Chairman and CEO, is not independent.</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Board and Committee Evaluations</w:t>
      </w:r>
    </w:p>
    <w:p>
      <w:pPr>
        <w:spacing w:after="0" w:line="84"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18"/>
          <w:szCs w:val="18"/>
          <w:color w:val="auto"/>
        </w:rPr>
        <w:t>The Nominating and Governance Committee facilitates an evaluation of the Board at least annually. Each Board committee also conducts an annual evaluation of its performance. The annual Board and committee evaluations inform the annual director nomination</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process. Actions taken in response to director feedback received through the evaluation process include continued Board education on emerging and industry topics and continued enhancement of meeting materials to focus on key areas of strategic significance. The evaluation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results are discussed by the Board and its committees during executive sessions.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Director Orientation and Continuing Education</w:t>
      </w:r>
    </w:p>
    <w:p>
      <w:pPr>
        <w:spacing w:after="0" w:line="84" w:lineRule="exact"/>
        <w:rPr>
          <w:sz w:val="20"/>
          <w:szCs w:val="20"/>
          <w:color w:val="auto"/>
        </w:rPr>
      </w:pPr>
    </w:p>
    <w:p>
      <w:pPr>
        <w:jc w:val="both"/>
        <w:ind w:firstLine="640"/>
        <w:spacing w:after="0" w:line="233" w:lineRule="auto"/>
        <w:rPr>
          <w:sz w:val="20"/>
          <w:szCs w:val="20"/>
          <w:color w:val="auto"/>
        </w:rPr>
      </w:pPr>
      <w:r>
        <w:rPr>
          <w:rFonts w:ascii="Arial" w:cs="Arial" w:eastAsia="Arial" w:hAnsi="Arial"/>
          <w:sz w:val="18"/>
          <w:szCs w:val="18"/>
          <w:color w:val="auto"/>
        </w:rPr>
        <w:t>The Nominating and Governance Committee develops and oversees (with the assistance of the Chairman of the Board, Lead Independent Director and Corporate Secretary) an orientation program for all newly elected directors and a continuing education program for</w:t>
      </w:r>
    </w:p>
    <w:p>
      <w:pPr>
        <w:spacing w:after="0" w:line="233" w:lineRule="auto"/>
        <w:rPr>
          <w:sz w:val="20"/>
          <w:szCs w:val="20"/>
          <w:color w:val="auto"/>
        </w:rPr>
      </w:pPr>
      <w:r>
        <w:rPr>
          <w:rFonts w:ascii="Arial" w:cs="Arial" w:eastAsia="Arial" w:hAnsi="Arial"/>
          <w:sz w:val="18"/>
          <w:szCs w:val="18"/>
          <w:color w:val="auto"/>
        </w:rPr>
        <w:t>all directors to ensure that the directors are fully informed as to their responsibilities and the means at their disposal to fulfill their</w:t>
      </w:r>
    </w:p>
    <w:p>
      <w:pPr>
        <w:jc w:val="both"/>
        <w:spacing w:after="0" w:line="224" w:lineRule="auto"/>
        <w:rPr>
          <w:sz w:val="20"/>
          <w:szCs w:val="20"/>
          <w:color w:val="auto"/>
        </w:rPr>
      </w:pPr>
      <w:r>
        <w:rPr>
          <w:rFonts w:ascii="Arial" w:cs="Arial" w:eastAsia="Arial" w:hAnsi="Arial"/>
          <w:sz w:val="18"/>
          <w:szCs w:val="18"/>
          <w:color w:val="auto"/>
        </w:rPr>
        <w:t>responsibilities effectively. In addition, the Nominating and Governance Committee has adopted a director education reimbursement policy to encourage directors to seek additional education opportunities regarding corporate governance and other subject matters relevant to their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service.</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Management Succession Planning</w:t>
      </w:r>
    </w:p>
    <w:p>
      <w:pPr>
        <w:spacing w:after="0" w:line="84" w:lineRule="exact"/>
        <w:rPr>
          <w:sz w:val="20"/>
          <w:szCs w:val="20"/>
          <w:color w:val="auto"/>
        </w:rPr>
      </w:pPr>
    </w:p>
    <w:p>
      <w:pPr>
        <w:jc w:val="both"/>
        <w:ind w:firstLine="640"/>
        <w:spacing w:after="0" w:line="233" w:lineRule="auto"/>
        <w:rPr>
          <w:sz w:val="20"/>
          <w:szCs w:val="20"/>
          <w:color w:val="auto"/>
        </w:rPr>
      </w:pPr>
      <w:r>
        <w:rPr>
          <w:rFonts w:ascii="Arial" w:cs="Arial" w:eastAsia="Arial" w:hAnsi="Arial"/>
          <w:sz w:val="18"/>
          <w:szCs w:val="18"/>
          <w:color w:val="auto"/>
        </w:rPr>
        <w:t>An important element of our talent strategy is succession planning and building leadership pipelines for critical roles across the organization. We assess the performance and potential of current officers and key employees, identify and assess potential successors, and</w:t>
      </w:r>
    </w:p>
    <w:p>
      <w:pPr>
        <w:spacing w:after="0" w:line="233" w:lineRule="auto"/>
        <w:rPr>
          <w:sz w:val="20"/>
          <w:szCs w:val="20"/>
          <w:color w:val="auto"/>
        </w:rPr>
      </w:pPr>
      <w:r>
        <w:rPr>
          <w:rFonts w:ascii="Arial" w:cs="Arial" w:eastAsia="Arial" w:hAnsi="Arial"/>
          <w:sz w:val="18"/>
          <w:szCs w:val="18"/>
          <w:color w:val="auto"/>
        </w:rPr>
        <w:t>create development plans to strengthen the preparedness of our talent pipeline. Annually, we conduct a comprehensive talent review to</w:t>
      </w:r>
    </w:p>
    <w:p>
      <w:pPr>
        <w:jc w:val="both"/>
        <w:spacing w:after="0" w:line="237" w:lineRule="auto"/>
        <w:rPr>
          <w:sz w:val="20"/>
          <w:szCs w:val="20"/>
          <w:color w:val="auto"/>
        </w:rPr>
      </w:pPr>
      <w:r>
        <w:rPr>
          <w:rFonts w:ascii="Arial" w:cs="Arial" w:eastAsia="Arial" w:hAnsi="Arial"/>
          <w:sz w:val="17"/>
          <w:szCs w:val="17"/>
          <w:color w:val="auto"/>
        </w:rPr>
        <w:t>discuss potential successors of our Enterprise Leadership team and other key leadership roles, as well as a broader group of top talent as we look to ensure better visibility into our strengths and opportunities for prioritized roles. The Compensation &amp; Human Resources Committee</w:t>
      </w:r>
    </w:p>
    <w:p>
      <w:pPr>
        <w:spacing w:after="0" w:line="233" w:lineRule="auto"/>
        <w:rPr>
          <w:sz w:val="20"/>
          <w:szCs w:val="20"/>
          <w:color w:val="auto"/>
        </w:rPr>
      </w:pPr>
      <w:r>
        <w:rPr>
          <w:rFonts w:ascii="Arial" w:cs="Arial" w:eastAsia="Arial" w:hAnsi="Arial"/>
          <w:sz w:val="18"/>
          <w:szCs w:val="18"/>
          <w:color w:val="auto"/>
        </w:rPr>
        <w:t>annually reviews the CEO succession plan and succession plans for other members of senior management, which include emergency</w:t>
      </w:r>
    </w:p>
    <w:p>
      <w:pPr>
        <w:jc w:val="both"/>
        <w:spacing w:after="0" w:line="224" w:lineRule="auto"/>
        <w:rPr>
          <w:sz w:val="20"/>
          <w:szCs w:val="20"/>
          <w:color w:val="auto"/>
        </w:rPr>
      </w:pPr>
      <w:r>
        <w:rPr>
          <w:rFonts w:ascii="Arial" w:cs="Arial" w:eastAsia="Arial" w:hAnsi="Arial"/>
          <w:sz w:val="18"/>
          <w:szCs w:val="18"/>
          <w:color w:val="auto"/>
        </w:rPr>
        <w:t>successors for each role, and conducts a broader talent review with the goal to ensure we have the right leadership in place to execute our long-term strategic plans. Directors engage with senior management at Board and committee meetings and in less formal settings to allow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directors to assess potential candidates for CEO and other senior management roles.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Board's Role in Risk Oversight</w:t>
      </w:r>
    </w:p>
    <w:p>
      <w:pPr>
        <w:spacing w:after="0" w:line="84" w:lineRule="exact"/>
        <w:rPr>
          <w:sz w:val="20"/>
          <w:szCs w:val="20"/>
          <w:color w:val="auto"/>
        </w:rPr>
      </w:pPr>
    </w:p>
    <w:p>
      <w:pPr>
        <w:jc w:val="both"/>
        <w:ind w:firstLine="640"/>
        <w:spacing w:after="0" w:line="275" w:lineRule="auto"/>
        <w:rPr>
          <w:sz w:val="20"/>
          <w:szCs w:val="20"/>
          <w:color w:val="auto"/>
        </w:rPr>
      </w:pPr>
      <w:r>
        <w:rPr>
          <w:rFonts w:ascii="Arial" w:cs="Arial" w:eastAsia="Arial" w:hAnsi="Arial"/>
          <w:sz w:val="17"/>
          <w:szCs w:val="17"/>
          <w:color w:val="auto"/>
        </w:rPr>
        <w:t>Management is primarily responsible for the identification, assessment and management of the key risks faced by our Company. We engage in an Enterprise Risk Management, or ERM, process, which is coordinated primarily through our enterprise risk function, and involves: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3" w:name="page34"/>
    <w:bookmarkEnd w:id="33"/>
    <w:p>
      <w:pPr>
        <w:ind w:left="640" w:hanging="313"/>
        <w:spacing w:after="0" w:line="262"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identification by our senior management and other leaders of the risks relevant to our strategic priorities of accelerating profitable growth, driving productivity and operational excellence, and empowering people;</w:t>
      </w:r>
    </w:p>
    <w:p>
      <w:pPr>
        <w:spacing w:after="0" w:line="41" w:lineRule="exact"/>
        <w:rPr>
          <w:rFonts w:ascii="Arial" w:cs="Arial" w:eastAsia="Arial" w:hAnsi="Arial"/>
          <w:sz w:val="18"/>
          <w:szCs w:val="18"/>
          <w:color w:val="auto"/>
        </w:rPr>
      </w:pPr>
    </w:p>
    <w:p>
      <w:pPr>
        <w:ind w:left="640" w:hanging="313"/>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the extent prudent and feasible, development of strategies and plans to monitor, mitigate and control such risks; and</w:t>
      </w:r>
    </w:p>
    <w:p>
      <w:pPr>
        <w:spacing w:after="0" w:line="99" w:lineRule="exact"/>
        <w:rPr>
          <w:rFonts w:ascii="Arial" w:cs="Arial" w:eastAsia="Arial" w:hAnsi="Arial"/>
          <w:sz w:val="18"/>
          <w:szCs w:val="18"/>
          <w:color w:val="auto"/>
        </w:rPr>
      </w:pPr>
    </w:p>
    <w:p>
      <w:pPr>
        <w:ind w:left="640" w:hanging="313"/>
        <w:spacing w:after="0" w:line="262"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reports of the identified risks as part of the applicable strategy review or separately as a particular risk review, as considered necessary, to the Board and/or relevant committee, as applicable.</w:t>
      </w:r>
    </w:p>
    <w:p>
      <w:pPr>
        <w:spacing w:after="0" w:line="42"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17"/>
          <w:szCs w:val="17"/>
          <w:color w:val="auto"/>
        </w:rPr>
        <w:t>The Board's oversight of these risks primarily occurs in connection with the exercise of its responsibility to oversee our business, including through the review of our long-term strategic plans, overall sustainability strategy and its alignment with our business strategy, annual operating plans, financial results, merger and acquisition related activities, material legal proceedings, and executive succession plans.</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Board relies on its committees to assist with risk oversight within their respective areas of responsibility and expertise as follows:</w:t>
      </w:r>
    </w:p>
    <w:p>
      <w:pPr>
        <w:spacing w:after="0" w:line="127" w:lineRule="exact"/>
        <w:rPr>
          <w:sz w:val="20"/>
          <w:szCs w:val="20"/>
          <w:color w:val="auto"/>
        </w:rPr>
      </w:pPr>
    </w:p>
    <w:p>
      <w:pPr>
        <w:jc w:val="both"/>
        <w:ind w:left="640" w:hanging="313"/>
        <w:spacing w:after="0" w:line="228" w:lineRule="auto"/>
        <w:tabs>
          <w:tab w:leader="none" w:pos="628" w:val="left"/>
        </w:tabs>
        <w:numPr>
          <w:ilvl w:val="0"/>
          <w:numId w:val="47"/>
        </w:numPr>
        <w:rPr>
          <w:rFonts w:ascii="Arial" w:cs="Arial" w:eastAsia="Arial" w:hAnsi="Arial"/>
          <w:sz w:val="20"/>
          <w:szCs w:val="20"/>
          <w:color w:val="auto"/>
        </w:rPr>
      </w:pPr>
      <w:r>
        <w:rPr>
          <w:rFonts w:ascii="Arial" w:cs="Arial" w:eastAsia="Arial" w:hAnsi="Arial"/>
          <w:sz w:val="18"/>
          <w:szCs w:val="18"/>
          <w:color w:val="auto"/>
        </w:rPr>
        <w:t>The Audit Committee assists through its oversight of the quality and integrity of our financial reports; compliance with applicable legal and regulatory requirements; qualifications, performance and independence of our external auditor; performance of our internal audit function; accounting and reporting processes, including those in connection with business combinations and accounting and financial reporting integration activities; strategy, performance and experience of our information technology and security function and practices, including those related to artificial intelligence and cybersecurity; performance of our health and safety program; our Code of Conduct and ethics program; our general policies and procedures regarding accounting and financial matters and internal controls; and disclosure controls and procedures, including as to the accuracy of sustainability metrics and disclosures. The Audit Committee is also responsible for providing oversight of our ERM process by discussing our procedures with respect to risk assessment and risk management, including our major financial and business risk exposures and the steps management has taken to monitor, mitigate and control such exposures.</w:t>
      </w:r>
    </w:p>
    <w:p>
      <w:pPr>
        <w:spacing w:after="0" w:line="66" w:lineRule="exact"/>
        <w:rPr>
          <w:rFonts w:ascii="Arial" w:cs="Arial" w:eastAsia="Arial" w:hAnsi="Arial"/>
          <w:sz w:val="20"/>
          <w:szCs w:val="20"/>
          <w:color w:val="auto"/>
        </w:rPr>
      </w:pPr>
    </w:p>
    <w:p>
      <w:pPr>
        <w:jc w:val="both"/>
        <w:ind w:left="640" w:hanging="313"/>
        <w:spacing w:after="0" w:line="235"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Compensation &amp; Human Resources Committee assists through its oversight of our compensation and human capital management programs and policies, including executive compensation, corporate culture, engagement plans and strategies. In general, the Compensation &amp; Human Resources Committee has oversight for social factors included as part of our sustainability program. A discussion of the Compensation &amp; Human Resources Committee's assessment of compensation policies and practices as they relate to our Company's risk management is found under "Risk Assessment" within the Compensation Discussion and Analysis section.</w:t>
      </w:r>
    </w:p>
    <w:p>
      <w:pPr>
        <w:spacing w:after="0" w:line="91" w:lineRule="exact"/>
        <w:rPr>
          <w:rFonts w:ascii="Arial" w:cs="Arial" w:eastAsia="Arial" w:hAnsi="Arial"/>
          <w:sz w:val="18"/>
          <w:szCs w:val="18"/>
          <w:color w:val="auto"/>
        </w:rPr>
      </w:pPr>
    </w:p>
    <w:p>
      <w:pPr>
        <w:jc w:val="both"/>
        <w:ind w:left="640" w:hanging="313"/>
        <w:spacing w:after="0" w:line="229" w:lineRule="auto"/>
        <w:tabs>
          <w:tab w:leader="none" w:pos="628" w:val="left"/>
        </w:tabs>
        <w:numPr>
          <w:ilvl w:val="0"/>
          <w:numId w:val="47"/>
        </w:numPr>
        <w:rPr>
          <w:rFonts w:ascii="Arial" w:cs="Arial" w:eastAsia="Arial" w:hAnsi="Arial"/>
          <w:sz w:val="20"/>
          <w:szCs w:val="20"/>
          <w:color w:val="auto"/>
        </w:rPr>
      </w:pPr>
      <w:r>
        <w:rPr>
          <w:rFonts w:ascii="Arial" w:cs="Arial" w:eastAsia="Arial" w:hAnsi="Arial"/>
          <w:sz w:val="18"/>
          <w:szCs w:val="18"/>
          <w:color w:val="auto"/>
        </w:rPr>
        <w:t>The Finance Committee assists through its oversight of our capital structure and related policies; long- range objectives; tax strategies and restructuring projects; financing requirements and arrangements, including any pricing or other performance metrics tied to our sustainability performance; equity and debt issuances and repurchases; use of derivative, hedging and similar instruments; annual capital budget and capital expenditures; global insurance program, including D&amp;O and liability insurance coverage; the delegated responsibilities of our Management Investment Committee relating to our ERISA-regulated employee benefit plans; through its evaluation of, among other things, the financial impact of certain proposed business combination transactions; and stockholder engagement activities and disclosures, including with regard to environmental, social and governance, or ESG, and our sustainability platform.</w:t>
      </w:r>
    </w:p>
    <w:p>
      <w:pPr>
        <w:spacing w:after="0" w:line="79" w:lineRule="exact"/>
        <w:rPr>
          <w:rFonts w:ascii="Arial" w:cs="Arial" w:eastAsia="Arial" w:hAnsi="Arial"/>
          <w:sz w:val="20"/>
          <w:szCs w:val="20"/>
          <w:color w:val="auto"/>
        </w:rPr>
      </w:pPr>
    </w:p>
    <w:p>
      <w:pPr>
        <w:jc w:val="both"/>
        <w:ind w:left="640" w:hanging="313"/>
        <w:spacing w:after="0" w:line="233"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Nominating and Governance Committee assists through its oversight of our overall corporate governance structure and policies, including director nominations; director retirements; director independence and qualifications; Board leadership structure; Board committee structure; sustainability considerations not included as part of the sustainability oversight allocated to the Board or other committees of the Board, which, in particular, includes review of certain sustainability ratings; and monitoring of corporate governance trends.</w:t>
      </w:r>
    </w:p>
    <w:p>
      <w:pPr>
        <w:spacing w:after="0" w:line="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Board believes that its oversight of risk is enhanced by its current leadership structure, as previously discussed, because our</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Chairman and CEO, who is ultimately responsible for the Company's risk responsibility, also chairs regular Board meetings and, with his in-depth knowledge and understanding of our Company, is well positioned to bring key business issues and risks to the attention of the full Board.</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Executive Compensation Process</w:t>
      </w:r>
    </w:p>
    <w:p>
      <w:pPr>
        <w:spacing w:after="0" w:line="84" w:lineRule="exact"/>
        <w:rPr>
          <w:sz w:val="20"/>
          <w:szCs w:val="20"/>
          <w:color w:val="auto"/>
        </w:rPr>
      </w:pPr>
    </w:p>
    <w:p>
      <w:pPr>
        <w:ind w:firstLine="640"/>
        <w:spacing w:after="0" w:line="262" w:lineRule="auto"/>
        <w:rPr>
          <w:sz w:val="20"/>
          <w:szCs w:val="20"/>
          <w:color w:val="auto"/>
        </w:rPr>
      </w:pPr>
      <w:r>
        <w:rPr>
          <w:rFonts w:ascii="Arial" w:cs="Arial" w:eastAsia="Arial" w:hAnsi="Arial"/>
          <w:sz w:val="18"/>
          <w:szCs w:val="18"/>
          <w:color w:val="auto"/>
        </w:rPr>
        <w:t>At the beginning of each fiscal year, the Compensation &amp; Human Resources Committee reviews and approves compensation, including base salary, annual cash targets and long-term incentive targets,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4" w:name="page35"/>
    <w:bookmarkEnd w:id="34"/>
    <w:p>
      <w:pPr>
        <w:spacing w:after="0" w:line="255" w:lineRule="auto"/>
        <w:rPr>
          <w:sz w:val="20"/>
          <w:szCs w:val="20"/>
          <w:color w:val="auto"/>
        </w:rPr>
      </w:pPr>
      <w:r>
        <w:rPr>
          <w:rFonts w:ascii="Arial" w:cs="Arial" w:eastAsia="Arial" w:hAnsi="Arial"/>
          <w:sz w:val="18"/>
          <w:szCs w:val="18"/>
          <w:color w:val="auto"/>
        </w:rPr>
        <w:t>certification of incentive award payouts, for each of our executive officers. In so doing, the Compensation &amp; Human Resources Committee evaluates information regarding:</w:t>
      </w:r>
    </w:p>
    <w:p>
      <w:pPr>
        <w:ind w:left="640" w:hanging="313"/>
        <w:spacing w:after="0" w:line="262"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market base salary, total cash compensation, and total direct compensation data and analysis prepared by its independent external compensation consultant;</w:t>
      </w:r>
    </w:p>
    <w:p>
      <w:pPr>
        <w:spacing w:after="0" w:line="1" w:lineRule="exact"/>
        <w:rPr>
          <w:rFonts w:ascii="Arial" w:cs="Arial" w:eastAsia="Arial" w:hAnsi="Arial"/>
          <w:sz w:val="18"/>
          <w:szCs w:val="18"/>
          <w:color w:val="auto"/>
        </w:rPr>
      </w:pPr>
    </w:p>
    <w:p>
      <w:pPr>
        <w:ind w:left="640" w:hanging="313"/>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total cash compensation to be paid for the fiscal year if annual cash incentive awards are achieved and paid at target;</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prior fiscal year target long-term incentive values; and</w:t>
      </w:r>
    </w:p>
    <w:p>
      <w:pPr>
        <w:spacing w:after="0" w:line="46" w:lineRule="exact"/>
        <w:rPr>
          <w:rFonts w:ascii="Arial" w:cs="Arial" w:eastAsia="Arial" w:hAnsi="Arial"/>
          <w:sz w:val="18"/>
          <w:szCs w:val="18"/>
          <w:color w:val="auto"/>
        </w:rPr>
      </w:pPr>
    </w:p>
    <w:p>
      <w:pPr>
        <w:ind w:left="640" w:hanging="313"/>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total direct compensation for the fiscal year, assuming long-term incentive awards at target.</w:t>
      </w:r>
    </w:p>
    <w:p>
      <w:pPr>
        <w:spacing w:after="0" w:line="100" w:lineRule="exact"/>
        <w:rPr>
          <w:sz w:val="20"/>
          <w:szCs w:val="20"/>
          <w:color w:val="auto"/>
        </w:rPr>
      </w:pPr>
    </w:p>
    <w:p>
      <w:pPr>
        <w:jc w:val="both"/>
        <w:ind w:firstLine="640"/>
        <w:spacing w:after="0" w:line="233" w:lineRule="auto"/>
        <w:rPr>
          <w:sz w:val="20"/>
          <w:szCs w:val="20"/>
          <w:color w:val="auto"/>
        </w:rPr>
      </w:pPr>
      <w:r>
        <w:rPr>
          <w:rFonts w:ascii="Arial" w:cs="Arial" w:eastAsia="Arial" w:hAnsi="Arial"/>
          <w:sz w:val="18"/>
          <w:szCs w:val="18"/>
          <w:color w:val="auto"/>
        </w:rPr>
        <w:t>Additionally, the Committee obtains executive compensation recommendations from our Chairman and CEO, Vice President, Human Resources, and Managing Director, Total Rewards and Employee Services that reflect individual performance; future potential; corporate,</w:t>
      </w:r>
    </w:p>
    <w:p>
      <w:pPr>
        <w:spacing w:after="0" w:line="233" w:lineRule="auto"/>
        <w:rPr>
          <w:sz w:val="20"/>
          <w:szCs w:val="20"/>
          <w:color w:val="auto"/>
        </w:rPr>
      </w:pPr>
      <w:r>
        <w:rPr>
          <w:rFonts w:ascii="Arial" w:cs="Arial" w:eastAsia="Arial" w:hAnsi="Arial"/>
          <w:sz w:val="18"/>
          <w:szCs w:val="18"/>
          <w:color w:val="auto"/>
        </w:rPr>
        <w:t>group and/or division performance, as applicable; tenure in the position; comparison to market; level of professional experience; duties and</w:t>
      </w:r>
    </w:p>
    <w:p>
      <w:pPr>
        <w:spacing w:after="0" w:line="224" w:lineRule="auto"/>
        <w:rPr>
          <w:sz w:val="20"/>
          <w:szCs w:val="20"/>
          <w:color w:val="auto"/>
        </w:rPr>
      </w:pPr>
      <w:r>
        <w:rPr>
          <w:rFonts w:ascii="Arial" w:cs="Arial" w:eastAsia="Arial" w:hAnsi="Arial"/>
          <w:sz w:val="18"/>
          <w:szCs w:val="18"/>
          <w:color w:val="auto"/>
        </w:rPr>
        <w:t>responsibilities; internal pay equity comparisons; and outside market factors, including general economic conditions. As needed, the Committee reviews significant events that have occurred at our Company, including merger and acquisition activity, and assesses whether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such events necessitate a change in compensation for our executive officers. No officers provide input or recommendations with respect to his</w:t>
      </w:r>
    </w:p>
    <w:p>
      <w:pPr>
        <w:spacing w:after="0" w:line="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or her own compensation. The Chair of the Committee is also responsible for coordinating a performance evaluation for the Chairman and CEO based on feedback from all non-employee directors in connection with the ratification of the Chairman and CEO's compensation by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Board. Information on the compensation of our named executive officers, or NEOs is found under "Executive Compensation."</w:t>
      </w:r>
    </w:p>
    <w:p>
      <w:pPr>
        <w:spacing w:after="0" w:line="84"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color w:val="auto"/>
        </w:rPr>
        <w:t>The Compensation &amp; Human Resources Committee retained Willis Towers Watson to assist in the evaluation and review of our executive compensation program during fiscal 2025. Additional information regarding the role of Willis Towers Watson during fiscal 2025 is</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found under "Compensation Discussion and Analysis—How We Make Compensation Decisions—Independent External Compensation Consultant." From time to time, the Committee also has engaged Willis Towers Watson to perform other compensation consulting services,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including a review of non-employee director compensation.</w:t>
      </w:r>
    </w:p>
    <w:p>
      <w:pPr>
        <w:spacing w:after="0" w:line="84" w:lineRule="exact"/>
        <w:rPr>
          <w:sz w:val="20"/>
          <w:szCs w:val="20"/>
          <w:color w:val="auto"/>
        </w:rPr>
      </w:pPr>
    </w:p>
    <w:p>
      <w:pPr>
        <w:ind w:firstLine="640"/>
        <w:spacing w:after="0" w:line="247" w:lineRule="auto"/>
        <w:rPr>
          <w:sz w:val="20"/>
          <w:szCs w:val="20"/>
          <w:color w:val="auto"/>
        </w:rPr>
      </w:pPr>
      <w:r>
        <w:rPr>
          <w:rFonts w:ascii="Arial" w:cs="Arial" w:eastAsia="Arial" w:hAnsi="Arial"/>
          <w:sz w:val="17"/>
          <w:szCs w:val="17"/>
          <w:color w:val="auto"/>
        </w:rPr>
        <w:t>For the services performed for us in fiscal 2025, the Committee assessed the independence of Willis Towers Watson pursuant to SEC and NYSE rules and concluded that the work of Willis Towers Watson did not raise any conflicts of interest. Representatives from Willis Towers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Watson attended all of the Committee meetings in fiscal 2025, including executive sessions without management present, to act as a resource</w:t>
      </w:r>
    </w:p>
    <w:p>
      <w:pPr>
        <w:spacing w:after="0" w:line="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to the Committee in carrying out its responsibilities. The Committee, through its Chair, can request an independent meeting with representatives from our independent external compensation consultant at any time. The Committee also has the authority to obtain advice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assistance from external legal, accounting or other advisors.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Related Person Transactions and Policies and Procedures Regarding Related Person Transactions</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Corporate Governance Guidelines disclose our procedures regarding related person transactions. All reportable related person</w:t>
      </w:r>
    </w:p>
    <w:p>
      <w:pPr>
        <w:spacing w:after="0" w:line="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transactions are subject to reasonable prior review by our Nominating and Governance Committee. In determining whether to approve or ratify such transactions, the Committee will take into account, among other factors and information it deems appropriate:</w:t>
      </w:r>
    </w:p>
    <w:p>
      <w:pPr>
        <w:spacing w:after="0" w:line="21" w:lineRule="exact"/>
        <w:rPr>
          <w:sz w:val="20"/>
          <w:szCs w:val="20"/>
          <w:color w:val="auto"/>
        </w:rPr>
      </w:pPr>
    </w:p>
    <w:p>
      <w:pPr>
        <w:ind w:left="640" w:hanging="313"/>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related person’s relationship to our Company and interest in the transaction;</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material facts of the transaction;</w:t>
      </w:r>
    </w:p>
    <w:p>
      <w:pPr>
        <w:spacing w:after="0" w:line="46" w:lineRule="exact"/>
        <w:rPr>
          <w:rFonts w:ascii="Arial" w:cs="Arial" w:eastAsia="Arial" w:hAnsi="Arial"/>
          <w:sz w:val="18"/>
          <w:szCs w:val="18"/>
          <w:color w:val="auto"/>
        </w:rPr>
      </w:pPr>
    </w:p>
    <w:p>
      <w:pPr>
        <w:ind w:left="640" w:hanging="313"/>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benefits to our Company of the transaction; and</w:t>
      </w:r>
    </w:p>
    <w:p>
      <w:pPr>
        <w:spacing w:after="0" w:line="46" w:lineRule="exact"/>
        <w:rPr>
          <w:rFonts w:ascii="Arial" w:cs="Arial" w:eastAsia="Arial" w:hAnsi="Arial"/>
          <w:sz w:val="18"/>
          <w:szCs w:val="18"/>
          <w:color w:val="auto"/>
        </w:rPr>
      </w:pPr>
    </w:p>
    <w:p>
      <w:pPr>
        <w:jc w:val="both"/>
        <w:ind w:left="640" w:hanging="313"/>
        <w:spacing w:after="0" w:line="239"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assessment of whether the transaction is (to the extent applicable) in the ordinary course of business, at arm’s length, at prices and on terms customarily available to unrelated third party vendors or customers generally, and whether the related person had any direct or indirect personal interest in, or received any personal benefit from, such transaction.</w:t>
      </w:r>
    </w:p>
    <w:p>
      <w:pPr>
        <w:spacing w:after="0" w:line="75"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color w:val="auto"/>
        </w:rPr>
        <w:t>Transactions between us and an unaffiliated corporation of which one of our non-employee directors or director nominees serves as an officer, that have been assessed as noted above, and are in amounts that are not material to our business or the business of such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unaffiliated corporation, are deemed conclusively pre-approved.</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Board of Directors Business Ethics Policy Statement</w:t>
      </w:r>
    </w:p>
    <w:p>
      <w:pPr>
        <w:spacing w:after="0" w:line="70"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color w:val="auto"/>
        </w:rPr>
        <w:t>It is our policy to maintain the highest level of moral, ethical and legal standards in the conduct of our business. Pursuant to our Corporate Governance Guidelines, the Board has adopted, and each director annually signs, a Board of Directors Business Ethics Policy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Statement. The policy can be found on our website at www.thetorocompany.com/ethics.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5" w:name="page36"/>
    <w:bookmarkEnd w:id="35"/>
    <w:p>
      <w:pPr>
        <w:spacing w:after="0"/>
        <w:rPr>
          <w:sz w:val="20"/>
          <w:szCs w:val="20"/>
          <w:color w:val="auto"/>
        </w:rPr>
      </w:pPr>
      <w:r>
        <w:rPr>
          <w:rFonts w:ascii="Arial" w:cs="Arial" w:eastAsia="Arial" w:hAnsi="Arial"/>
          <w:sz w:val="20"/>
          <w:szCs w:val="20"/>
          <w:b w:val="1"/>
          <w:bCs w:val="1"/>
          <w:color w:val="C00000"/>
        </w:rPr>
        <w:t>Code of Conduct and Code of Ethics for our CEO and Senior Financial Personnel</w:t>
      </w:r>
    </w:p>
    <w:p>
      <w:pPr>
        <w:spacing w:after="0" w:line="70"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color w:val="auto"/>
        </w:rPr>
        <w:t>All of our directors and employees are required to comply with our Code of Conduct to help ensure that our business is conducted in accordance with the highest level of moral, ethical and legal standards. We also have a Code of Ethics for our CEO and Senior Financial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Personnel applicable to our CEO, our Vice President, Chief Financial Officer, and certain senior accounting and/or treasury personnel who are</w:t>
      </w:r>
    </w:p>
    <w:p>
      <w:pPr>
        <w:spacing w:after="0" w:line="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also bound by the provisions set forth in the Code of Conduct relating to ethical conduct, conflicts of interest and compliance with the law. Our Code of Conduct and Code of Ethics for our CEO and Senior Financial Personnel can be found on our website at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www.thetorocompany.com/ethics. If necessary, we intend to satisfy the disclosure requirements of Item 5.05 of the Current Report on Form 8-K</w:t>
      </w:r>
    </w:p>
    <w:p>
      <w:pPr>
        <w:spacing w:after="0" w:line="5"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regarding amendments to or waivers from any provision of our Code of Ethics for our CEO and Senior Financial Personnel by posting such information on our website as noted above.</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Communications with Directors</w:t>
      </w:r>
    </w:p>
    <w:p>
      <w:pPr>
        <w:spacing w:after="0" w:line="70"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color w:val="auto"/>
        </w:rPr>
        <w:t>Stockholders and other interested parties may communicate directly with our Board, our Board committees, our non-employee directors as a group, our Lead Independent Director, or any other specified individual director in writing by: (i) sending a letter addressed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Board of Directors, c/o General Counsel, 8111 Lyndale Avenue South, Bloomington, Minnesota, 55420-1196, or (ii) sending</w:t>
      </w:r>
    </w:p>
    <w:p>
      <w:pPr>
        <w:spacing w:after="0" w:line="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an email to boardofdirectors@toro.com. Substantive communications, such as corporate governance matters or potential issues relating to accounting, internal controls or other auditing matters, are forwarded by our General Counsel to the relevant director(s) as appropriate.</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Communications not requiring the substantive attention of our Board, such as employment inquiries, sales solicitations, donation requests, questions about our products, and other such matters, are appropriately handled by management.</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Complaint Procedures</w:t>
      </w:r>
    </w:p>
    <w:p>
      <w:pPr>
        <w:spacing w:after="0" w:line="7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7"/>
          <w:szCs w:val="17"/>
          <w:color w:val="auto"/>
        </w:rPr>
        <w:t>We maintain procedures to receive, retain and treat complaints regarding accounting, internal accounting controls or auditing matters and to allow for the confidential and anonymous submission by employees of concerns regarding questionable accounting or auditing matters.</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 24-hour, toll-free confidential ethics helpline and a confidential web-based reporting tool are available for the submission of concerns regarding these and other matters by any employee. Concerns and questions received through these methods relating to accounting, internal</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accounting controls or auditing matters are promptly brought to the attention of the Chair of the Audit Committee and are handled in accordance with procedures established by the Audit Committee. Complete information regarding our complaint procedures is contained within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Code of Conduct, which may be accessed on our website as noted above.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Insider Trading Policy</w:t>
      </w:r>
    </w:p>
    <w:p>
      <w:pPr>
        <w:spacing w:after="0" w:line="70"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color w:val="auto"/>
        </w:rPr>
        <w:t>We have adopted an Insider Trading Policy that governs the purchase, sale and/or other dispositions of our securities by directors, officers, and employees, together with their immediate family members and other persons living in their households. We believe our Insider</w:t>
      </w:r>
    </w:p>
    <w:p>
      <w:pPr>
        <w:spacing w:after="0" w:line="233" w:lineRule="auto"/>
        <w:rPr>
          <w:sz w:val="20"/>
          <w:szCs w:val="20"/>
          <w:color w:val="auto"/>
        </w:rPr>
      </w:pPr>
      <w:r>
        <w:rPr>
          <w:rFonts w:ascii="Arial" w:cs="Arial" w:eastAsia="Arial" w:hAnsi="Arial"/>
          <w:sz w:val="18"/>
          <w:szCs w:val="18"/>
          <w:color w:val="auto"/>
        </w:rPr>
        <w:t>Trading Policy is reasonably designed to promote compliance with insider trading laws, rules and regulations, and any applicable NYSE</w:t>
      </w:r>
    </w:p>
    <w:p>
      <w:pPr>
        <w:ind w:right="20"/>
        <w:spacing w:after="0" w:line="234" w:lineRule="auto"/>
        <w:rPr>
          <w:sz w:val="20"/>
          <w:szCs w:val="20"/>
          <w:color w:val="auto"/>
        </w:rPr>
      </w:pPr>
      <w:r>
        <w:rPr>
          <w:rFonts w:ascii="Arial" w:cs="Arial" w:eastAsia="Arial" w:hAnsi="Arial"/>
          <w:sz w:val="18"/>
          <w:szCs w:val="18"/>
          <w:color w:val="auto"/>
        </w:rPr>
        <w:t>standards. A copy of our Insider Trading Policy was filed as an exhibit to our Annual Report on Form 10-K for the year ended October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21"/>
          <w:szCs w:val="21"/>
          <w:b w:val="1"/>
          <w:bCs w:val="1"/>
          <w:color w:val="FFFFFF"/>
        </w:rPr>
        <w:t>PROPOSAL TWO—RATIFICATION OF THE SELECTION OF KPMG LLP AS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-151765</wp:posOffset>
            </wp:positionV>
            <wp:extent cx="6998335" cy="4997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8335" cy="499745"/>
                    </a:xfrm>
                    <a:prstGeom prst="rect">
                      <a:avLst/>
                    </a:prstGeom>
                    <a:noFill/>
                  </pic:spPr>
                </pic:pic>
              </a:graphicData>
            </a:graphic>
          </wp:anchor>
        </w:drawing>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FFFFFF"/>
        </w:rPr>
        <w:t>INDEPENDENT REGISTERED PUBLIC ACCOUNTING FIRM FOR OUR FISCAL YEAR ENDING OCTOBER 31,</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FFFFFF"/>
        </w:rPr>
        <w:t>2026</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Annual Evaluation and Selection of Independent Registered Public Accounting Firm</w:t>
      </w:r>
    </w:p>
    <w:p>
      <w:pPr>
        <w:spacing w:after="0" w:line="84"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7"/>
          <w:szCs w:val="17"/>
          <w:color w:val="auto"/>
        </w:rPr>
        <w:t>The Audit Committee selects our independent registered public accounting firm, or external auditor. In this regard, the Audit Committee evaluates the qualifications, performance and independence of our external auditor. As part of its evaluation, the Audit Committee considers,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among other factors, the quality and efficiency of the services provided by the external auditor, including the performance, technical expertise,</w:t>
      </w:r>
    </w:p>
    <w:p>
      <w:pPr>
        <w:spacing w:after="0" w:line="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and industry knowledge of the lead audit partner and the audit team assigned to our account; the overall strength and reputation of the external audit firm; the external auditor's global capabilities relative to our business; the external auditor's knowledge of our operations; and the external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auditor's fees. Upon consideration of these and other factors, the Audit Committee has selected KPMG LLP, or KPMG, to serve as our external</w:t>
      </w:r>
    </w:p>
    <w:p>
      <w:pPr>
        <w:spacing w:after="0" w:line="5"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auditor for fiscal 2026 as it believes that the retention of KPMG to serve as the Company’s independent registered public accounting firm is in the best interest of the Company and its stockholders.</w:t>
      </w:r>
    </w:p>
    <w:p>
      <w:pPr>
        <w:spacing w:after="0" w:line="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Sarbanes-Oxley Act of 2002 requires the lead audit engagement partner to rotate every five years. In conjunction with this</w:t>
      </w:r>
    </w:p>
    <w:p>
      <w:pPr>
        <w:spacing w:after="0" w:line="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mandated rotation, the Audit Committee and its Chair are involved in the selection of the new lead engagement partner. Our last rotation of lead audit partner was following our fiscal 2024 audit.</w:t>
      </w:r>
    </w:p>
    <w:p>
      <w:pPr>
        <w:spacing w:after="0" w:line="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Although it is not required to do so, the Board, as it traditionally has done in the past, is asking our stockholders to ratify the Audit</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Committee's selection of KPMG. If our stockholders do not ratify the selection of KPMG, the Audit Committee may reconsider its selection. Even if the selection is ratified by our stockholders, the Audit Committee in its discretion may change the appointment at any time during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year if it determines that such a change would be in the best interests of our Company and our stockholders.</w:t>
      </w:r>
    </w:p>
    <w:p>
      <w:pPr>
        <w:spacing w:after="0" w:line="84" w:lineRule="exact"/>
        <w:rPr>
          <w:sz w:val="20"/>
          <w:szCs w:val="20"/>
          <w:color w:val="auto"/>
        </w:rPr>
      </w:pPr>
    </w:p>
    <w:p>
      <w:pPr>
        <w:ind w:right="20" w:firstLine="640"/>
        <w:spacing w:after="0" w:line="246" w:lineRule="auto"/>
        <w:rPr>
          <w:sz w:val="20"/>
          <w:szCs w:val="20"/>
          <w:color w:val="auto"/>
        </w:rPr>
      </w:pPr>
      <w:r>
        <w:rPr>
          <w:rFonts w:ascii="Arial" w:cs="Arial" w:eastAsia="Arial" w:hAnsi="Arial"/>
          <w:sz w:val="18"/>
          <w:szCs w:val="18"/>
          <w:color w:val="auto"/>
        </w:rPr>
        <w:t>Representatives of KPMG will be present at the annual meeting to answer appropriate questions. They also will have the opportunity to make a statement if they wish to do so.</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Audit, Audit-Related, Tax and Other Fees</w:t>
      </w:r>
    </w:p>
    <w:p>
      <w:pPr>
        <w:spacing w:after="0" w:line="97" w:lineRule="exact"/>
        <w:rPr>
          <w:sz w:val="20"/>
          <w:szCs w:val="20"/>
          <w:color w:val="auto"/>
        </w:rPr>
      </w:pPr>
    </w:p>
    <w:p>
      <w:pPr>
        <w:ind w:firstLine="640"/>
        <w:spacing w:after="0" w:line="246" w:lineRule="auto"/>
        <w:rPr>
          <w:sz w:val="20"/>
          <w:szCs w:val="20"/>
          <w:color w:val="auto"/>
        </w:rPr>
      </w:pPr>
      <w:r>
        <w:rPr>
          <w:rFonts w:ascii="Arial" w:cs="Arial" w:eastAsia="Arial" w:hAnsi="Arial"/>
          <w:sz w:val="18"/>
          <w:szCs w:val="18"/>
          <w:color w:val="auto"/>
        </w:rPr>
        <w:t>The Audit Committee is responsible for external auditor compensation. The following table sets forth the aggregate fees billed to us for professional services rendered by KPMG for fiscal 2025 and fiscal 2024 by category, as described in the footnotes to the table.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17"/>
                <w:szCs w:val="17"/>
                <w:color w:val="auto"/>
              </w:rPr>
            </w:pPr>
          </w:p>
        </w:tc>
        <w:tc>
          <w:tcPr>
            <w:tcW w:w="3020" w:type="dxa"/>
            <w:vAlign w:val="bottom"/>
            <w:shd w:val="clear" w:color="auto" w:fill="BF2115"/>
          </w:tcPr>
          <w:p>
            <w:pPr>
              <w:spacing w:after="0"/>
              <w:rPr>
                <w:sz w:val="17"/>
                <w:szCs w:val="17"/>
                <w:color w:val="auto"/>
              </w:rPr>
            </w:pPr>
          </w:p>
        </w:tc>
        <w:tc>
          <w:tcPr>
            <w:tcW w:w="3560" w:type="dxa"/>
            <w:vAlign w:val="bottom"/>
            <w:shd w:val="clear" w:color="auto" w:fill="BF2115"/>
          </w:tcPr>
          <w:p>
            <w:pPr>
              <w:ind w:left="2520"/>
              <w:spacing w:after="0"/>
              <w:rPr>
                <w:sz w:val="20"/>
                <w:szCs w:val="20"/>
                <w:color w:val="auto"/>
              </w:rPr>
            </w:pPr>
            <w:r>
              <w:rPr>
                <w:rFonts w:ascii="Arial" w:cs="Arial" w:eastAsia="Arial" w:hAnsi="Arial"/>
                <w:sz w:val="14"/>
                <w:szCs w:val="14"/>
                <w:b w:val="1"/>
                <w:bCs w:val="1"/>
                <w:color w:val="FFFFFF"/>
              </w:rPr>
              <w:t>Fiscal 2025</w:t>
            </w:r>
          </w:p>
        </w:tc>
        <w:tc>
          <w:tcPr>
            <w:tcW w:w="1680" w:type="dxa"/>
            <w:vAlign w:val="bottom"/>
            <w:shd w:val="clear" w:color="auto" w:fill="BF2115"/>
          </w:tcPr>
          <w:p>
            <w:pPr>
              <w:spacing w:after="0"/>
              <w:rPr>
                <w:sz w:val="17"/>
                <w:szCs w:val="17"/>
                <w:color w:val="auto"/>
              </w:rPr>
            </w:pPr>
          </w:p>
        </w:tc>
        <w:tc>
          <w:tcPr>
            <w:tcW w:w="2760" w:type="dxa"/>
            <w:vAlign w:val="bottom"/>
            <w:shd w:val="clear" w:color="auto" w:fill="BF2115"/>
          </w:tcPr>
          <w:p>
            <w:pPr>
              <w:jc w:val="right"/>
              <w:ind w:right="1223"/>
              <w:spacing w:after="0"/>
              <w:rPr>
                <w:sz w:val="20"/>
                <w:szCs w:val="20"/>
                <w:color w:val="auto"/>
              </w:rPr>
            </w:pPr>
            <w:r>
              <w:rPr>
                <w:rFonts w:ascii="Arial" w:cs="Arial" w:eastAsia="Arial" w:hAnsi="Arial"/>
                <w:sz w:val="14"/>
                <w:szCs w:val="14"/>
                <w:b w:val="1"/>
                <w:bCs w:val="1"/>
                <w:color w:val="FFFFFF"/>
              </w:rPr>
              <w:t>Fiscal 2024</w:t>
            </w:r>
          </w:p>
        </w:tc>
      </w:tr>
      <w:tr>
        <w:trPr>
          <w:trHeight w:val="209"/>
        </w:trPr>
        <w:tc>
          <w:tcPr>
            <w:tcW w:w="120" w:type="dxa"/>
            <w:vAlign w:val="bottom"/>
          </w:tcPr>
          <w:p>
            <w:pPr>
              <w:spacing w:after="0"/>
              <w:rPr>
                <w:sz w:val="18"/>
                <w:szCs w:val="18"/>
                <w:color w:val="auto"/>
              </w:rPr>
            </w:pPr>
          </w:p>
        </w:tc>
        <w:tc>
          <w:tcPr>
            <w:tcW w:w="6580" w:type="dxa"/>
            <w:vAlign w:val="bottom"/>
            <w:gridSpan w:val="2"/>
            <w:shd w:val="clear" w:color="auto" w:fill="BF2115"/>
          </w:tcPr>
          <w:p>
            <w:pPr>
              <w:ind w:left="5840"/>
              <w:spacing w:after="0"/>
              <w:rPr>
                <w:sz w:val="20"/>
                <w:szCs w:val="20"/>
                <w:color w:val="auto"/>
              </w:rPr>
            </w:pPr>
            <w:r>
              <w:rPr>
                <w:rFonts w:ascii="Arial" w:cs="Arial" w:eastAsia="Arial" w:hAnsi="Arial"/>
                <w:sz w:val="14"/>
                <w:szCs w:val="14"/>
                <w:b w:val="1"/>
                <w:bCs w:val="1"/>
                <w:color w:val="FFFFFF"/>
              </w:rPr>
              <w:t>($)</w:t>
            </w:r>
          </w:p>
        </w:tc>
        <w:tc>
          <w:tcPr>
            <w:tcW w:w="1680" w:type="dxa"/>
            <w:vAlign w:val="bottom"/>
            <w:shd w:val="clear" w:color="auto" w:fill="BF2115"/>
          </w:tcPr>
          <w:p>
            <w:pPr>
              <w:spacing w:after="0"/>
              <w:rPr>
                <w:sz w:val="18"/>
                <w:szCs w:val="18"/>
                <w:color w:val="auto"/>
              </w:rPr>
            </w:pPr>
          </w:p>
        </w:tc>
        <w:tc>
          <w:tcPr>
            <w:tcW w:w="2760" w:type="dxa"/>
            <w:vAlign w:val="bottom"/>
            <w:shd w:val="clear" w:color="auto" w:fill="BF2115"/>
          </w:tcPr>
          <w:p>
            <w:pPr>
              <w:jc w:val="right"/>
              <w:ind w:right="1503"/>
              <w:spacing w:after="0"/>
              <w:rPr>
                <w:sz w:val="20"/>
                <w:szCs w:val="20"/>
                <w:color w:val="auto"/>
              </w:rPr>
            </w:pPr>
            <w:r>
              <w:rPr>
                <w:rFonts w:ascii="Arial" w:cs="Arial" w:eastAsia="Arial" w:hAnsi="Arial"/>
                <w:sz w:val="14"/>
                <w:szCs w:val="14"/>
                <w:b w:val="1"/>
                <w:bCs w:val="1"/>
                <w:color w:val="FFFFFF"/>
              </w:rPr>
              <w:t>($)</w:t>
            </w:r>
          </w:p>
        </w:tc>
      </w:tr>
      <w:tr>
        <w:trPr>
          <w:trHeight w:val="254"/>
        </w:trPr>
        <w:tc>
          <w:tcPr>
            <w:tcW w:w="120" w:type="dxa"/>
            <w:vAlign w:val="bottom"/>
          </w:tcPr>
          <w:p>
            <w:pPr>
              <w:spacing w:after="0"/>
              <w:rPr>
                <w:sz w:val="22"/>
                <w:szCs w:val="22"/>
                <w:color w:val="auto"/>
              </w:rPr>
            </w:pPr>
          </w:p>
        </w:tc>
        <w:tc>
          <w:tcPr>
            <w:tcW w:w="6580" w:type="dxa"/>
            <w:vAlign w:val="bottom"/>
            <w:gridSpan w:val="2"/>
          </w:tcPr>
          <w:p>
            <w:pPr>
              <w:ind w:left="20"/>
              <w:spacing w:after="0"/>
              <w:rPr>
                <w:sz w:val="20"/>
                <w:szCs w:val="20"/>
                <w:color w:val="auto"/>
              </w:rPr>
            </w:pPr>
            <w:r>
              <w:rPr>
                <w:rFonts w:ascii="Arial" w:cs="Arial" w:eastAsia="Arial" w:hAnsi="Arial"/>
                <w:sz w:val="16"/>
                <w:szCs w:val="16"/>
                <w:color w:val="auto"/>
              </w:rPr>
              <w:t>Audit Fees</w:t>
            </w:r>
            <w:r>
              <w:rPr>
                <w:rFonts w:ascii="Arial" w:cs="Arial" w:eastAsia="Arial" w:hAnsi="Arial"/>
                <w:sz w:val="20"/>
                <w:szCs w:val="20"/>
                <w:color w:val="auto"/>
                <w:vertAlign w:val="superscript"/>
              </w:rPr>
              <w:t>1</w:t>
            </w:r>
          </w:p>
        </w:tc>
        <w:tc>
          <w:tcPr>
            <w:tcW w:w="1680" w:type="dxa"/>
            <w:vAlign w:val="bottom"/>
          </w:tcPr>
          <w:p>
            <w:pPr>
              <w:jc w:val="right"/>
              <w:ind w:right="620"/>
              <w:spacing w:after="0"/>
              <w:rPr>
                <w:sz w:val="20"/>
                <w:szCs w:val="20"/>
                <w:color w:val="auto"/>
              </w:rPr>
            </w:pPr>
            <w:r>
              <w:rPr>
                <w:rFonts w:ascii="Arial" w:cs="Arial" w:eastAsia="Arial" w:hAnsi="Arial"/>
                <w:sz w:val="16"/>
                <w:szCs w:val="16"/>
                <w:color w:val="auto"/>
              </w:rPr>
              <w:t>2,285,373</w:t>
            </w:r>
          </w:p>
        </w:tc>
        <w:tc>
          <w:tcPr>
            <w:tcW w:w="2760" w:type="dxa"/>
            <w:vAlign w:val="bottom"/>
          </w:tcPr>
          <w:p>
            <w:pPr>
              <w:jc w:val="right"/>
              <w:ind w:right="3"/>
              <w:spacing w:after="0"/>
              <w:rPr>
                <w:sz w:val="20"/>
                <w:szCs w:val="20"/>
                <w:color w:val="auto"/>
              </w:rPr>
            </w:pPr>
            <w:r>
              <w:rPr>
                <w:rFonts w:ascii="Arial" w:cs="Arial" w:eastAsia="Arial" w:hAnsi="Arial"/>
                <w:sz w:val="16"/>
                <w:szCs w:val="16"/>
                <w:color w:val="auto"/>
              </w:rPr>
              <w:t>2,367,426</w:t>
            </w:r>
          </w:p>
        </w:tc>
      </w:tr>
      <w:tr>
        <w:trPr>
          <w:trHeight w:val="254"/>
        </w:trPr>
        <w:tc>
          <w:tcPr>
            <w:tcW w:w="120" w:type="dxa"/>
            <w:vAlign w:val="bottom"/>
          </w:tcPr>
          <w:p>
            <w:pPr>
              <w:spacing w:after="0"/>
              <w:rPr>
                <w:sz w:val="22"/>
                <w:szCs w:val="22"/>
                <w:color w:val="auto"/>
              </w:rPr>
            </w:pPr>
          </w:p>
        </w:tc>
        <w:tc>
          <w:tcPr>
            <w:tcW w:w="65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0"/>
                <w:szCs w:val="20"/>
                <w:color w:val="auto"/>
                <w:vertAlign w:val="superscript"/>
              </w:rPr>
              <w:t>2</w:t>
            </w:r>
          </w:p>
        </w:tc>
        <w:tc>
          <w:tcPr>
            <w:tcW w:w="1680" w:type="dxa"/>
            <w:vAlign w:val="bottom"/>
            <w:shd w:val="clear" w:color="auto" w:fill="DBDBDB"/>
          </w:tcPr>
          <w:p>
            <w:pPr>
              <w:jc w:val="right"/>
              <w:ind w:right="620"/>
              <w:spacing w:after="0"/>
              <w:rPr>
                <w:sz w:val="20"/>
                <w:szCs w:val="20"/>
                <w:color w:val="auto"/>
              </w:rPr>
            </w:pPr>
            <w:r>
              <w:rPr>
                <w:rFonts w:ascii="Arial" w:cs="Arial" w:eastAsia="Arial" w:hAnsi="Arial"/>
                <w:sz w:val="16"/>
                <w:szCs w:val="16"/>
                <w:color w:val="auto"/>
              </w:rPr>
              <w:t>8,000</w:t>
            </w:r>
          </w:p>
        </w:tc>
        <w:tc>
          <w:tcPr>
            <w:tcW w:w="276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66,500</w:t>
            </w:r>
          </w:p>
        </w:tc>
      </w:tr>
      <w:tr>
        <w:trPr>
          <w:trHeight w:val="254"/>
        </w:trPr>
        <w:tc>
          <w:tcPr>
            <w:tcW w:w="120" w:type="dxa"/>
            <w:vAlign w:val="bottom"/>
          </w:tcPr>
          <w:p>
            <w:pPr>
              <w:spacing w:after="0"/>
              <w:rPr>
                <w:sz w:val="22"/>
                <w:szCs w:val="22"/>
                <w:color w:val="auto"/>
              </w:rPr>
            </w:pPr>
          </w:p>
        </w:tc>
        <w:tc>
          <w:tcPr>
            <w:tcW w:w="6580" w:type="dxa"/>
            <w:vAlign w:val="bottom"/>
            <w:gridSpan w:val="2"/>
          </w:tcPr>
          <w:p>
            <w:pPr>
              <w:ind w:left="20"/>
              <w:spacing w:after="0"/>
              <w:rPr>
                <w:sz w:val="20"/>
                <w:szCs w:val="20"/>
                <w:color w:val="auto"/>
              </w:rPr>
            </w:pPr>
            <w:r>
              <w:rPr>
                <w:rFonts w:ascii="Arial" w:cs="Arial" w:eastAsia="Arial" w:hAnsi="Arial"/>
                <w:sz w:val="16"/>
                <w:szCs w:val="16"/>
                <w:color w:val="auto"/>
              </w:rPr>
              <w:t>Tax Fees</w:t>
            </w:r>
            <w:r>
              <w:rPr>
                <w:rFonts w:ascii="Arial" w:cs="Arial" w:eastAsia="Arial" w:hAnsi="Arial"/>
                <w:sz w:val="20"/>
                <w:szCs w:val="20"/>
                <w:color w:val="auto"/>
                <w:vertAlign w:val="superscript"/>
              </w:rPr>
              <w:t>3</w:t>
            </w:r>
          </w:p>
        </w:tc>
        <w:tc>
          <w:tcPr>
            <w:tcW w:w="1680" w:type="dxa"/>
            <w:vAlign w:val="bottom"/>
          </w:tcPr>
          <w:p>
            <w:pPr>
              <w:jc w:val="right"/>
              <w:ind w:right="620"/>
              <w:spacing w:after="0"/>
              <w:rPr>
                <w:sz w:val="20"/>
                <w:szCs w:val="20"/>
                <w:color w:val="auto"/>
              </w:rPr>
            </w:pPr>
            <w:r>
              <w:rPr>
                <w:rFonts w:ascii="Arial" w:cs="Arial" w:eastAsia="Arial" w:hAnsi="Arial"/>
                <w:sz w:val="16"/>
                <w:szCs w:val="16"/>
                <w:color w:val="auto"/>
              </w:rPr>
              <w:t>187,378</w:t>
            </w:r>
          </w:p>
        </w:tc>
        <w:tc>
          <w:tcPr>
            <w:tcW w:w="2760" w:type="dxa"/>
            <w:vAlign w:val="bottom"/>
          </w:tcPr>
          <w:p>
            <w:pPr>
              <w:jc w:val="right"/>
              <w:ind w:right="3"/>
              <w:spacing w:after="0"/>
              <w:rPr>
                <w:sz w:val="20"/>
                <w:szCs w:val="20"/>
                <w:color w:val="auto"/>
              </w:rPr>
            </w:pPr>
            <w:r>
              <w:rPr>
                <w:rFonts w:ascii="Arial" w:cs="Arial" w:eastAsia="Arial" w:hAnsi="Arial"/>
                <w:sz w:val="16"/>
                <w:szCs w:val="16"/>
                <w:color w:val="auto"/>
              </w:rPr>
              <w:t>156,992</w:t>
            </w:r>
          </w:p>
        </w:tc>
      </w:tr>
      <w:tr>
        <w:trPr>
          <w:trHeight w:val="240"/>
        </w:trPr>
        <w:tc>
          <w:tcPr>
            <w:tcW w:w="120" w:type="dxa"/>
            <w:vAlign w:val="bottom"/>
          </w:tcPr>
          <w:p>
            <w:pPr>
              <w:spacing w:after="0"/>
              <w:rPr>
                <w:sz w:val="20"/>
                <w:szCs w:val="20"/>
                <w:color w:val="auto"/>
              </w:rPr>
            </w:pPr>
          </w:p>
        </w:tc>
        <w:tc>
          <w:tcPr>
            <w:tcW w:w="65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All Other Fees</w:t>
            </w:r>
            <w:r>
              <w:rPr>
                <w:rFonts w:ascii="Arial" w:cs="Arial" w:eastAsia="Arial" w:hAnsi="Arial"/>
                <w:sz w:val="20"/>
                <w:szCs w:val="20"/>
                <w:color w:val="auto"/>
                <w:vertAlign w:val="superscript"/>
              </w:rPr>
              <w:t>4</w:t>
            </w:r>
          </w:p>
        </w:tc>
        <w:tc>
          <w:tcPr>
            <w:tcW w:w="1680" w:type="dxa"/>
            <w:vAlign w:val="bottom"/>
            <w:shd w:val="clear" w:color="auto" w:fill="DBDBDB"/>
          </w:tcPr>
          <w:p>
            <w:pPr>
              <w:jc w:val="right"/>
              <w:ind w:right="620"/>
              <w:spacing w:after="0"/>
              <w:rPr>
                <w:sz w:val="20"/>
                <w:szCs w:val="20"/>
                <w:color w:val="auto"/>
              </w:rPr>
            </w:pPr>
            <w:r>
              <w:rPr>
                <w:rFonts w:ascii="Arial" w:cs="Arial" w:eastAsia="Arial" w:hAnsi="Arial"/>
                <w:sz w:val="16"/>
                <w:szCs w:val="16"/>
                <w:color w:val="auto"/>
              </w:rPr>
              <w:t>4,000</w:t>
            </w:r>
          </w:p>
        </w:tc>
        <w:tc>
          <w:tcPr>
            <w:tcW w:w="276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135,000</w:t>
            </w:r>
          </w:p>
        </w:tc>
      </w:tr>
      <w:tr>
        <w:trPr>
          <w:trHeight w:val="187"/>
        </w:trPr>
        <w:tc>
          <w:tcPr>
            <w:tcW w:w="120" w:type="dxa"/>
            <w:vAlign w:val="bottom"/>
            <w:tcBorders>
              <w:bottom w:val="single" w:sz="8" w:color="C00000"/>
            </w:tcBorders>
          </w:tcPr>
          <w:p>
            <w:pPr>
              <w:spacing w:after="0"/>
              <w:rPr>
                <w:sz w:val="16"/>
                <w:szCs w:val="16"/>
                <w:color w:val="auto"/>
              </w:rPr>
            </w:pPr>
          </w:p>
        </w:tc>
        <w:tc>
          <w:tcPr>
            <w:tcW w:w="3020" w:type="dxa"/>
            <w:vAlign w:val="bottom"/>
            <w:tcBorders>
              <w:bottom w:val="single" w:sz="8" w:color="C00000"/>
            </w:tcBorders>
          </w:tcPr>
          <w:p>
            <w:pPr>
              <w:spacing w:after="0"/>
              <w:rPr>
                <w:sz w:val="16"/>
                <w:szCs w:val="16"/>
                <w:color w:val="auto"/>
              </w:rPr>
            </w:pPr>
          </w:p>
        </w:tc>
        <w:tc>
          <w:tcPr>
            <w:tcW w:w="35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760" w:type="dxa"/>
            <w:vAlign w:val="bottom"/>
          </w:tcPr>
          <w:p>
            <w:pPr>
              <w:spacing w:after="0"/>
              <w:rPr>
                <w:sz w:val="16"/>
                <w:szCs w:val="16"/>
                <w:color w:val="auto"/>
              </w:rPr>
            </w:pPr>
          </w:p>
        </w:tc>
      </w:tr>
    </w:tbl>
    <w:p>
      <w:pPr>
        <w:spacing w:after="0" w:line="117" w:lineRule="exact"/>
        <w:rPr>
          <w:sz w:val="20"/>
          <w:szCs w:val="20"/>
          <w:color w:val="auto"/>
        </w:rPr>
      </w:pPr>
    </w:p>
    <w:p>
      <w:pPr>
        <w:jc w:val="both"/>
        <w:ind w:left="320" w:hanging="313"/>
        <w:spacing w:after="0" w:line="247" w:lineRule="auto"/>
        <w:tabs>
          <w:tab w:leader="none" w:pos="308"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Consist of aggregate fees billed, or expected to be billed, for professional services rendered by KPMG in connection with the audit of our consolidated financial statements included in our Annual Report on Form 10-K, review of our condensed consolidated financial statements included in our Quarterly Reports on Form 10-Q, statutory audits of certain of our international subsidiaries and the audit of internal control over financial reporting in accordance with Section 404 of the Sarbanes-Oxley Act of 2002.</w:t>
      </w:r>
    </w:p>
    <w:p>
      <w:pPr>
        <w:spacing w:after="0" w:line="28" w:lineRule="exact"/>
        <w:rPr>
          <w:rFonts w:ascii="Arial" w:cs="Arial" w:eastAsia="Arial" w:hAnsi="Arial"/>
          <w:sz w:val="18"/>
          <w:szCs w:val="18"/>
          <w:color w:val="auto"/>
        </w:rPr>
      </w:pPr>
    </w:p>
    <w:p>
      <w:pPr>
        <w:ind w:left="320" w:hanging="313"/>
        <w:spacing w:after="0" w:line="262" w:lineRule="auto"/>
        <w:tabs>
          <w:tab w:leader="none" w:pos="308"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Consist of aggregate fees billed for KPMG's services related to audits of employee benefit plans and an international statutory social security audit.</w:t>
      </w:r>
    </w:p>
    <w:p>
      <w:pPr>
        <w:spacing w:after="0" w:line="1" w:lineRule="exact"/>
        <w:rPr>
          <w:rFonts w:ascii="Arial" w:cs="Arial" w:eastAsia="Arial" w:hAnsi="Arial"/>
          <w:sz w:val="18"/>
          <w:szCs w:val="18"/>
          <w:color w:val="auto"/>
        </w:rPr>
      </w:pPr>
    </w:p>
    <w:p>
      <w:pPr>
        <w:ind w:left="320" w:hanging="313"/>
        <w:spacing w:after="0" w:line="270" w:lineRule="auto"/>
        <w:tabs>
          <w:tab w:leader="none" w:pos="308"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Consist of aggregate fees billed for professional services rendered by KPMG for permissible domestic and international tax consulting, planning and compliance services.</w:t>
      </w:r>
    </w:p>
    <w:p>
      <w:pPr>
        <w:spacing w:after="0" w:line="1" w:lineRule="exact"/>
        <w:rPr>
          <w:rFonts w:ascii="Arial" w:cs="Arial" w:eastAsia="Arial" w:hAnsi="Arial"/>
          <w:sz w:val="18"/>
          <w:szCs w:val="18"/>
          <w:color w:val="auto"/>
        </w:rPr>
      </w:pPr>
    </w:p>
    <w:p>
      <w:pPr>
        <w:ind w:left="320" w:hanging="313"/>
        <w:spacing w:after="0" w:line="262" w:lineRule="auto"/>
        <w:tabs>
          <w:tab w:leader="none" w:pos="308"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Consist of fees for fiscal 2024 also include a pre-system assessment service provided by KPMG and fees for fiscal 2025 relate to KPMG Custom Learning Portal.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37" w:name="page38"/>
    <w:bookmarkEnd w:id="37"/>
    <w:p>
      <w:pPr>
        <w:spacing w:after="0"/>
        <w:rPr>
          <w:sz w:val="20"/>
          <w:szCs w:val="20"/>
          <w:color w:val="auto"/>
        </w:rPr>
      </w:pPr>
      <w:r>
        <w:rPr>
          <w:rFonts w:ascii="Arial" w:cs="Arial" w:eastAsia="Arial" w:hAnsi="Arial"/>
          <w:sz w:val="20"/>
          <w:szCs w:val="20"/>
          <w:b w:val="1"/>
          <w:bCs w:val="1"/>
          <w:color w:val="C00000"/>
        </w:rPr>
        <w:t>Pre-Approval Policies and Procedures</w:t>
      </w:r>
    </w:p>
    <w:p>
      <w:pPr>
        <w:spacing w:after="0" w:line="150" w:lineRule="exact"/>
        <w:rPr>
          <w:sz w:val="20"/>
          <w:szCs w:val="20"/>
          <w:color w:val="auto"/>
        </w:rPr>
      </w:pPr>
    </w:p>
    <w:p>
      <w:pPr>
        <w:jc w:val="both"/>
        <w:ind w:firstLine="640"/>
        <w:spacing w:after="0" w:line="250" w:lineRule="auto"/>
        <w:rPr>
          <w:sz w:val="20"/>
          <w:szCs w:val="20"/>
          <w:color w:val="auto"/>
        </w:rPr>
      </w:pPr>
      <w:r>
        <w:rPr>
          <w:rFonts w:ascii="Arial" w:cs="Arial" w:eastAsia="Arial" w:hAnsi="Arial"/>
          <w:sz w:val="17"/>
          <w:szCs w:val="17"/>
          <w:color w:val="auto"/>
        </w:rPr>
        <w:t>To minimize relationships that could impair the objectivity of our external auditor, the Audit Committee Charter requires that the Audit Committee review and approve in advance the retention of our external auditor for all types of audit and non-audit services to be performed for us by our external auditor and the fees for such services, other than de minimis non-audit services allowed by relevant rules and regulations. This pre-approval process includes establishing a budget for non-recurring audit-related fees associated with matters such as acquisitions,</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significant IT projects, tax restructuring, and divestitures or other restructuring activities. These amounts are reasonable and consistent with practices among our peers. All of the services provided to us by KPMG for which we paid fees as shown in the table above were pre-approved</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by the Audit Committee in accordance with these pre-approval policies and procedures. The Audit Committee concluded that the provision of these services by KPMG would not affect KPMG's independence.</w:t>
      </w:r>
    </w:p>
    <w:p>
      <w:pPr>
        <w:spacing w:after="0" w:line="277" w:lineRule="exact"/>
        <w:rPr>
          <w:sz w:val="20"/>
          <w:szCs w:val="20"/>
          <w:color w:val="auto"/>
        </w:rPr>
      </w:pPr>
    </w:p>
    <w:tbl>
      <w:tblPr>
        <w:tblLayout w:type="fixed"/>
        <w:tblInd w:w="1200" w:type="dxa"/>
        <w:tblCellMar>
          <w:top w:w="0" w:type="dxa"/>
          <w:left w:w="0" w:type="dxa"/>
          <w:bottom w:w="0" w:type="dxa"/>
          <w:right w:w="0" w:type="dxa"/>
        </w:tblCellMar>
      </w:tblPr>
      <w:tr>
        <w:trPr>
          <w:trHeight w:val="431"/>
        </w:trPr>
        <w:tc>
          <w:tcPr>
            <w:tcW w:w="8760" w:type="dxa"/>
            <w:vAlign w:val="bottom"/>
          </w:tcPr>
          <w:p>
            <w:pPr>
              <w:jc w:val="center"/>
              <w:ind w:right="576"/>
              <w:spacing w:after="0"/>
              <w:rPr>
                <w:sz w:val="20"/>
                <w:szCs w:val="20"/>
                <w:color w:val="auto"/>
              </w:rPr>
            </w:pPr>
            <w:r>
              <w:rPr>
                <w:rFonts w:ascii="Arial" w:cs="Arial" w:eastAsia="Arial" w:hAnsi="Arial"/>
                <w:sz w:val="21"/>
                <w:szCs w:val="21"/>
                <w:b w:val="1"/>
                <w:bCs w:val="1"/>
                <w:color w:val="FFFFFF"/>
                <w:w w:val="98"/>
              </w:rPr>
              <w:t>The Board of Directors Recommends a Vote FOR Ratification of the Selection of</w:t>
            </w:r>
          </w:p>
        </w:tc>
        <w:tc>
          <w:tcPr>
            <w:tcW w:w="1120" w:type="dxa"/>
            <w:vAlign w:val="bottom"/>
            <w:vMerge w:val="restart"/>
          </w:tcPr>
          <w:p>
            <w:pPr>
              <w:ind w:left="660"/>
              <w:spacing w:after="0" w:line="501" w:lineRule="exact"/>
              <w:rPr>
                <w:sz w:val="20"/>
                <w:szCs w:val="20"/>
                <w:color w:val="auto"/>
              </w:rPr>
            </w:pPr>
            <w:r>
              <w:rPr>
                <w:rFonts w:ascii="MS PGothic" w:cs="MS PGothic" w:eastAsia="MS PGothic" w:hAnsi="MS PGothic"/>
                <w:sz w:val="50"/>
                <w:szCs w:val="50"/>
                <w:color w:val="auto"/>
                <w:highlight w:val="white"/>
                <w:w w:val="87"/>
              </w:rPr>
              <w:t>☑</w:t>
            </w:r>
          </w:p>
        </w:tc>
        <w:tc>
          <w:tcPr>
            <w:tcW w:w="0" w:type="dxa"/>
            <w:vAlign w:val="bottom"/>
          </w:tcPr>
          <w:p>
            <w:pPr>
              <w:spacing w:after="0"/>
              <w:rPr>
                <w:sz w:val="1"/>
                <w:szCs w:val="1"/>
                <w:color w:val="auto"/>
              </w:rPr>
            </w:pPr>
          </w:p>
        </w:tc>
      </w:tr>
      <w:tr>
        <w:trPr>
          <w:trHeight w:val="412"/>
        </w:trPr>
        <w:tc>
          <w:tcPr>
            <w:tcW w:w="8760" w:type="dxa"/>
            <w:vAlign w:val="bottom"/>
          </w:tcPr>
          <w:p>
            <w:pPr>
              <w:jc w:val="center"/>
              <w:ind w:right="576"/>
              <w:spacing w:after="0"/>
              <w:rPr>
                <w:sz w:val="20"/>
                <w:szCs w:val="20"/>
                <w:color w:val="auto"/>
              </w:rPr>
            </w:pPr>
            <w:r>
              <w:rPr>
                <w:rFonts w:ascii="Arial" w:cs="Arial" w:eastAsia="Arial" w:hAnsi="Arial"/>
                <w:sz w:val="21"/>
                <w:szCs w:val="21"/>
                <w:b w:val="1"/>
                <w:bCs w:val="1"/>
                <w:color w:val="FFFFFF"/>
                <w:w w:val="99"/>
              </w:rPr>
              <w:t>KPMG LLP as our Independent Registered Public Accounting Firm for Fiscal 2026</w:t>
            </w: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-441960</wp:posOffset>
            </wp:positionV>
            <wp:extent cx="7117080" cy="398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17080" cy="39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8" w:name="page39"/>
    <w:bookmarkEnd w:id="38"/>
    <w:p>
      <w:pPr>
        <w:spacing w:after="0"/>
        <w:rPr>
          <w:sz w:val="20"/>
          <w:szCs w:val="20"/>
          <w:color w:val="auto"/>
        </w:rPr>
      </w:pPr>
      <w:r>
        <w:rPr>
          <w:rFonts w:ascii="Arial" w:cs="Arial" w:eastAsia="Arial" w:hAnsi="Arial"/>
          <w:sz w:val="20"/>
          <w:szCs w:val="20"/>
          <w:b w:val="1"/>
          <w:bCs w:val="1"/>
          <w:color w:val="C00000"/>
        </w:rPr>
        <w:t>Audit Committee Report</w:t>
      </w:r>
    </w:p>
    <w:p>
      <w:pPr>
        <w:spacing w:after="0" w:line="1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report is furnished by the Audit Committee with respect to our financial statements for fiscal 2025.</w:t>
      </w:r>
    </w:p>
    <w:p>
      <w:pPr>
        <w:spacing w:after="0" w:line="100"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Ultimate responsibility for good corporate governance rests with our Board, whose primary roles and responsibilities involve oversight, counseling and providing direction to our management in the best long-term interests of TTC and our stockholders. As set forth in its charter, the Audit Committee assists our Board by, among other things, providing oversight of our accounting and financial reporting processes, the audits of our annual financial statements, and internal control over financial reporting. Our Audit Committee Charter, which further describes the role and responsibilities of the Audit Committee, is available online at www.thetorocompany.com/corporategovernance.</w:t>
      </w:r>
    </w:p>
    <w:p>
      <w:pPr>
        <w:spacing w:after="0" w:line="69"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18"/>
          <w:szCs w:val="18"/>
          <w:color w:val="auto"/>
        </w:rPr>
        <w:t>Management is primarily responsible for the establishment and maintenance of our accounting and financial reporting processes, including our internal controls, and for the preparation and presentation of complete and accurate financial statements. Our independent registered public accounting firm, KPMG LLP, is responsible for performing an independent audit of our financial statements and internal controls over financial reporting in accordance with the standards of the Public Company Accounting Oversight Board (U.S.), or PCAOB, expressing an opinion as to the conformity of the financial statements with generally accepted accounting principles, and expressing an opinion on the effectiveness of our internal control over financial reporting.</w:t>
      </w:r>
    </w:p>
    <w:p>
      <w:pPr>
        <w:spacing w:after="0" w:line="87" w:lineRule="exact"/>
        <w:rPr>
          <w:sz w:val="20"/>
          <w:szCs w:val="20"/>
          <w:color w:val="auto"/>
        </w:rPr>
      </w:pPr>
    </w:p>
    <w:p>
      <w:pPr>
        <w:jc w:val="both"/>
        <w:ind w:firstLine="640"/>
        <w:spacing w:after="0" w:line="243" w:lineRule="auto"/>
        <w:rPr>
          <w:sz w:val="20"/>
          <w:szCs w:val="20"/>
          <w:color w:val="auto"/>
        </w:rPr>
      </w:pPr>
      <w:r>
        <w:rPr>
          <w:rFonts w:ascii="Arial" w:cs="Arial" w:eastAsia="Arial" w:hAnsi="Arial"/>
          <w:sz w:val="18"/>
          <w:szCs w:val="18"/>
          <w:color w:val="auto"/>
        </w:rPr>
        <w:t>In performing its oversight role, the Audit Committee has: (i) reviewed and discussed with management our audited financial statements for fiscal 2025; (ii) discussed with representatives of KPMG the matters required to be discussed by the applicable requirements of the PCAOB and the SEC; (iii) received the written disclosures and the letters from KPMG required by applicable requirements of the PCAOB regarding KPMG's communications with the Audit Committee concerning KPMG's independence; and (iv) discussed with representatives of KPMG its independence and concluded that it is independent from TTC and its management.</w:t>
      </w:r>
    </w:p>
    <w:p>
      <w:pPr>
        <w:spacing w:after="0" w:line="73" w:lineRule="exact"/>
        <w:rPr>
          <w:sz w:val="20"/>
          <w:szCs w:val="20"/>
          <w:color w:val="auto"/>
        </w:rPr>
      </w:pPr>
    </w:p>
    <w:p>
      <w:pPr>
        <w:jc w:val="both"/>
        <w:ind w:firstLine="640"/>
        <w:spacing w:after="0" w:line="254" w:lineRule="auto"/>
        <w:rPr>
          <w:sz w:val="20"/>
          <w:szCs w:val="20"/>
          <w:color w:val="auto"/>
        </w:rPr>
      </w:pPr>
      <w:r>
        <w:rPr>
          <w:rFonts w:ascii="Arial" w:cs="Arial" w:eastAsia="Arial" w:hAnsi="Arial"/>
          <w:sz w:val="18"/>
          <w:szCs w:val="18"/>
          <w:color w:val="auto"/>
        </w:rPr>
        <w:t>Based on the review and discussions referred to in the foregoing paragraph and subject to the limitations on its responsibilities set forth in its charter, the Audit Committee recommended to our Board that our audited financial statements for fiscal 2025 be included in our Annual Report on Form 10-K for the fiscal year ended October 31, 2025, for filing with the SEC.</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C00000"/>
        </w:rPr>
        <w:t>Audit Committee:</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Jill M. Pemberton (Chair)</w:t>
      </w:r>
    </w:p>
    <w:p>
      <w:pPr>
        <w:jc w:val="center"/>
        <w:ind w:right="-19"/>
        <w:spacing w:after="0" w:line="232" w:lineRule="auto"/>
        <w:rPr>
          <w:sz w:val="20"/>
          <w:szCs w:val="20"/>
          <w:color w:val="auto"/>
        </w:rPr>
      </w:pPr>
      <w:r>
        <w:rPr>
          <w:rFonts w:ascii="Arial" w:cs="Arial" w:eastAsia="Arial" w:hAnsi="Arial"/>
          <w:sz w:val="18"/>
          <w:szCs w:val="18"/>
          <w:color w:val="auto"/>
        </w:rPr>
        <w:t>Dianne C. Craig</w:t>
      </w:r>
    </w:p>
    <w:p>
      <w:pPr>
        <w:jc w:val="center"/>
        <w:ind w:right="-19"/>
        <w:spacing w:after="0"/>
        <w:rPr>
          <w:sz w:val="20"/>
          <w:szCs w:val="20"/>
          <w:color w:val="auto"/>
        </w:rPr>
      </w:pPr>
      <w:r>
        <w:rPr>
          <w:rFonts w:ascii="Arial" w:cs="Arial" w:eastAsia="Arial" w:hAnsi="Arial"/>
          <w:sz w:val="18"/>
          <w:szCs w:val="18"/>
          <w:color w:val="auto"/>
        </w:rPr>
        <w:t>Gary L. Ellis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Jeffrey L. Harmening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21"/>
          <w:szCs w:val="21"/>
          <w:b w:val="1"/>
          <w:bCs w:val="1"/>
          <w:color w:val="FFFFFF"/>
        </w:rPr>
        <w:t>PROPOSAL THREE—APPROVAL OF, ON AN ADVISORY BASIS, OUR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-151765</wp:posOffset>
            </wp:positionV>
            <wp:extent cx="6998335" cy="186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8335" cy="1866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Background</w:t>
      </w:r>
    </w:p>
    <w:p>
      <w:pPr>
        <w:spacing w:after="0" w:line="110"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The Board is providing our stockholders with an advisory vote on our executive compensation pursuant to the Dodd-Frank Wall Street Consumer Protection Act, or Dodd-Frank Act, and Section 14A of the Securities Exchange Act of 1934, as amended, or Exchange Act. This advisory vote, commonly known as a say-on-pay vote, is a non-binding vote on the compensation paid to our named executive officers as described in this proxy statement.</w:t>
      </w:r>
    </w:p>
    <w:p>
      <w:pPr>
        <w:spacing w:after="0" w:line="69"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We encourage our stockholders to read the "Compensation Discussion and Analysis" section, which describes the details of our executive compensation program and the decisions made by the Compensation &amp; Human Resources Committee for fiscal 2025, and the "Executive Compensation" section of this proxy statement.</w:t>
      </w:r>
    </w:p>
    <w:p>
      <w:pPr>
        <w:spacing w:after="0" w:line="81"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At the 2025 Annual Meeting of Stockholders held on March 18, 2025, over 92% of the votes cast by our stockholders were in favor of our say-on-pay vote. The Compensation &amp; Human Resources Committee believes that such results affirmed stockholder support of our approach to executive compensation.</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Our Pay Philosophy</w:t>
      </w:r>
    </w:p>
    <w:p>
      <w:pPr>
        <w:spacing w:after="0" w:line="110" w:lineRule="exact"/>
        <w:rPr>
          <w:sz w:val="20"/>
          <w:szCs w:val="20"/>
          <w:color w:val="auto"/>
        </w:rPr>
      </w:pPr>
    </w:p>
    <w:p>
      <w:pPr>
        <w:jc w:val="both"/>
        <w:ind w:firstLine="640"/>
        <w:spacing w:after="0"/>
        <w:rPr>
          <w:sz w:val="20"/>
          <w:szCs w:val="20"/>
          <w:color w:val="auto"/>
        </w:rPr>
      </w:pPr>
      <w:r>
        <w:rPr>
          <w:rFonts w:ascii="Arial" w:cs="Arial" w:eastAsia="Arial" w:hAnsi="Arial"/>
          <w:sz w:val="18"/>
          <w:szCs w:val="18"/>
          <w:color w:val="auto"/>
        </w:rPr>
        <w:t>Our executive compensation program is generally designed to attract, retain, motivate and reward highly qualified and talented executive officers, including our NEOs, that will enable us to execute our strategic priorities, perform better than our competitors and drive long-term stockholder value. The underlying core principles of our executive compensation program include: (i) aligning the interests of our executives with those of our stockholders and linking pay to performance by providing compensation opportunities that are tied directly to the achievement of financial performance goals and long-term stock price performance; and (ii) providing competitive compensation opportunities targeted at the market 50th percentile for both individual elements of compensation and total direct compensation at target levels of financial performance, which we believe allows us to attract and retain the necessary executive talent while motivating and rewarding the accomplishment of annual and long-term financial performance goals and maintaining an appropriate cost structure.</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Best Practices</w:t>
      </w:r>
    </w:p>
    <w:p>
      <w:pPr>
        <w:spacing w:after="0" w:line="44" w:lineRule="exact"/>
        <w:rPr>
          <w:sz w:val="20"/>
          <w:szCs w:val="20"/>
          <w:color w:val="auto"/>
        </w:rPr>
      </w:pPr>
    </w:p>
    <w:p>
      <w:pPr>
        <w:ind w:left="640" w:hanging="313"/>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substantial portion of total executive compensation is linked directly to performance.</w:t>
      </w:r>
    </w:p>
    <w:p>
      <w:pPr>
        <w:spacing w:after="0" w:line="46" w:lineRule="exact"/>
        <w:rPr>
          <w:rFonts w:ascii="Arial" w:cs="Arial" w:eastAsia="Arial" w:hAnsi="Arial"/>
          <w:sz w:val="18"/>
          <w:szCs w:val="18"/>
          <w:color w:val="auto"/>
        </w:rPr>
      </w:pPr>
    </w:p>
    <w:p>
      <w:pPr>
        <w:ind w:left="640" w:hanging="313"/>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incentive compensation is subject to a clawback policy.</w:t>
      </w:r>
    </w:p>
    <w:p>
      <w:pPr>
        <w:spacing w:after="0" w:line="46" w:lineRule="exact"/>
        <w:rPr>
          <w:rFonts w:ascii="Arial" w:cs="Arial" w:eastAsia="Arial" w:hAnsi="Arial"/>
          <w:sz w:val="18"/>
          <w:szCs w:val="18"/>
          <w:color w:val="auto"/>
        </w:rPr>
      </w:pPr>
    </w:p>
    <w:p>
      <w:pPr>
        <w:ind w:left="640" w:hanging="313"/>
        <w:spacing w:after="0" w:line="262"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CEO and other executive officers do not have employment or severance agreements or arrangements, except as provided for in our change-in-control severance compensation policy, or CIC policy.</w:t>
      </w:r>
    </w:p>
    <w:p>
      <w:pPr>
        <w:spacing w:after="0" w:line="1" w:lineRule="exact"/>
        <w:rPr>
          <w:rFonts w:ascii="Arial" w:cs="Arial" w:eastAsia="Arial" w:hAnsi="Arial"/>
          <w:sz w:val="18"/>
          <w:szCs w:val="18"/>
          <w:color w:val="auto"/>
        </w:rPr>
      </w:pPr>
    </w:p>
    <w:p>
      <w:pPr>
        <w:ind w:left="640" w:hanging="313"/>
        <w:spacing w:after="0" w:line="262"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do not provide tax “gross-up” payments under our CIC policy or in connection with any annual or long-term compensation, benefits or perquisites provided to our executive officers.</w:t>
      </w:r>
    </w:p>
    <w:p>
      <w:pPr>
        <w:spacing w:after="0" w:line="1" w:lineRule="exact"/>
        <w:rPr>
          <w:rFonts w:ascii="Arial" w:cs="Arial" w:eastAsia="Arial" w:hAnsi="Arial"/>
          <w:sz w:val="18"/>
          <w:szCs w:val="18"/>
          <w:color w:val="auto"/>
        </w:rPr>
      </w:pPr>
    </w:p>
    <w:p>
      <w:pPr>
        <w:ind w:left="640" w:hanging="313"/>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executive officers receive only modest perquisites.</w:t>
      </w:r>
    </w:p>
    <w:p>
      <w:pPr>
        <w:spacing w:after="0" w:line="46" w:lineRule="exact"/>
        <w:rPr>
          <w:rFonts w:ascii="Arial" w:cs="Arial" w:eastAsia="Arial" w:hAnsi="Arial"/>
          <w:sz w:val="18"/>
          <w:szCs w:val="18"/>
          <w:color w:val="auto"/>
        </w:rPr>
      </w:pPr>
    </w:p>
    <w:p>
      <w:pPr>
        <w:ind w:left="640" w:hanging="313"/>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maintain stock ownership guidelines for our executive officers.</w:t>
      </w:r>
    </w:p>
    <w:p>
      <w:pPr>
        <w:spacing w:after="0" w:line="46" w:lineRule="exact"/>
        <w:rPr>
          <w:rFonts w:ascii="Arial" w:cs="Arial" w:eastAsia="Arial" w:hAnsi="Arial"/>
          <w:sz w:val="18"/>
          <w:szCs w:val="18"/>
          <w:color w:val="auto"/>
        </w:rPr>
      </w:pPr>
    </w:p>
    <w:p>
      <w:pPr>
        <w:ind w:left="640" w:hanging="313"/>
        <w:spacing w:after="0" w:line="246"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insider trading policy prohibits all executive officers, directors and employees of the Company from purchasing TTC securities on margin, borrowing against any account in which TTC securities are held, hedging, or pledging TTC securities as collateral for a loan.</w:t>
      </w:r>
    </w:p>
    <w:p>
      <w:pPr>
        <w:spacing w:after="0" w:line="15" w:lineRule="exact"/>
        <w:rPr>
          <w:rFonts w:ascii="Arial" w:cs="Arial" w:eastAsia="Arial" w:hAnsi="Arial"/>
          <w:sz w:val="18"/>
          <w:szCs w:val="18"/>
          <w:color w:val="auto"/>
        </w:rPr>
      </w:pPr>
    </w:p>
    <w:p>
      <w:pPr>
        <w:ind w:left="640" w:hanging="313"/>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have an independent Compensation &amp; Human Resources Committee.</w:t>
      </w:r>
    </w:p>
    <w:p>
      <w:pPr>
        <w:spacing w:after="0" w:line="46" w:lineRule="exact"/>
        <w:rPr>
          <w:rFonts w:ascii="Arial" w:cs="Arial" w:eastAsia="Arial" w:hAnsi="Arial"/>
          <w:sz w:val="18"/>
          <w:szCs w:val="18"/>
          <w:color w:val="auto"/>
        </w:rPr>
      </w:pPr>
    </w:p>
    <w:p>
      <w:pPr>
        <w:ind w:left="640" w:hanging="313"/>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utilize an independent external compensation consultant.</w:t>
      </w:r>
    </w:p>
    <w:p>
      <w:pPr>
        <w:spacing w:after="0" w:line="113" w:lineRule="exact"/>
        <w:rPr>
          <w:sz w:val="20"/>
          <w:szCs w:val="20"/>
          <w:color w:val="auto"/>
        </w:rPr>
      </w:pPr>
    </w:p>
    <w:p>
      <w:pPr>
        <w:jc w:val="both"/>
        <w:ind w:firstLine="640"/>
        <w:spacing w:after="0" w:line="254" w:lineRule="auto"/>
        <w:rPr>
          <w:sz w:val="20"/>
          <w:szCs w:val="20"/>
          <w:color w:val="auto"/>
        </w:rPr>
      </w:pPr>
      <w:r>
        <w:rPr>
          <w:rFonts w:ascii="Arial" w:cs="Arial" w:eastAsia="Arial" w:hAnsi="Arial"/>
          <w:sz w:val="18"/>
          <w:szCs w:val="18"/>
          <w:color w:val="auto"/>
        </w:rPr>
        <w:t>We believe that our executive compensation objectives and core principles have resulted in an executive compensation program and related decisions that have appropriately incentivized the achievement of financial goals and produced financial results that have benefited our Company and our stockholders and are expected to drive long-term stockholder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0" w:name="page41"/>
    <w:bookmarkEnd w:id="40"/>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Proposed Resolution</w:t>
      </w:r>
    </w:p>
    <w:p>
      <w:pPr>
        <w:spacing w:after="0" w:line="1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Accordingly, the Board recommends that our stockholders vote in favor of the say-on-pay vote as set forth in the following resolution:</w:t>
      </w:r>
    </w:p>
    <w:p>
      <w:pPr>
        <w:spacing w:after="0" w:line="100" w:lineRule="exact"/>
        <w:rPr>
          <w:sz w:val="20"/>
          <w:szCs w:val="20"/>
          <w:color w:val="auto"/>
        </w:rPr>
      </w:pPr>
    </w:p>
    <w:p>
      <w:pPr>
        <w:jc w:val="both"/>
        <w:ind w:left="640" w:right="780"/>
        <w:spacing w:after="0" w:line="247" w:lineRule="auto"/>
        <w:rPr>
          <w:sz w:val="20"/>
          <w:szCs w:val="20"/>
          <w:color w:val="auto"/>
        </w:rPr>
      </w:pPr>
      <w:r>
        <w:rPr>
          <w:rFonts w:ascii="Arial" w:cs="Arial" w:eastAsia="Arial" w:hAnsi="Arial"/>
          <w:sz w:val="18"/>
          <w:szCs w:val="18"/>
          <w:color w:val="auto"/>
        </w:rPr>
        <w:t>RESOLVED, That our stockholders approve, on an advisory basis, the compensation paid to our named executive officers, as disclosed pursuant to the compensation disclosure rules of the SEC, including in the "Compensation Discussion and Analysis," the accompanying compensation tables and the corresponding narrative discussion and footnotes, and any related material disclosed in this proxy statement.</w:t>
      </w:r>
    </w:p>
    <w:p>
      <w:pPr>
        <w:spacing w:after="0" w:line="82" w:lineRule="exact"/>
        <w:rPr>
          <w:sz w:val="20"/>
          <w:szCs w:val="20"/>
          <w:color w:val="auto"/>
        </w:rPr>
      </w:pPr>
    </w:p>
    <w:p>
      <w:pPr>
        <w:jc w:val="both"/>
        <w:ind w:firstLine="640"/>
        <w:spacing w:after="0" w:line="242" w:lineRule="auto"/>
        <w:rPr>
          <w:sz w:val="20"/>
          <w:szCs w:val="20"/>
          <w:color w:val="auto"/>
        </w:rPr>
      </w:pPr>
      <w:r>
        <w:rPr>
          <w:rFonts w:ascii="Arial" w:cs="Arial" w:eastAsia="Arial" w:hAnsi="Arial"/>
          <w:sz w:val="18"/>
          <w:szCs w:val="18"/>
          <w:color w:val="auto"/>
        </w:rPr>
        <w:t>Stockholders are not voting to approve or disapprove the Board's recommendation. As this is an advisory vote, the outcome of the vote is not binding on us with respect to future executive compensation decisions, including those relating to our NEOs, or otherwise. Our Compensation &amp; Human Resources Committee and Board expect to take into account the outcome of the vote when considering future executive compensation decisions.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Next Say-on-Pay Vote</w:t>
      </w:r>
    </w:p>
    <w:p>
      <w:pPr>
        <w:spacing w:after="0" w:line="110"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Consistent with the results of the advisory vote on the frequency of the say-on-pay vote held at the 2023 Annual Meeting of Stockholders, our Board of Directors has determined that we will conduct a say-on-pay vote on an annual basis. Accordingly, the next say-on-pay vote will occur at our 2027 Annual Meeting of Stockholders.</w:t>
      </w:r>
    </w:p>
    <w:p>
      <w:pPr>
        <w:spacing w:after="0" w:line="86" w:lineRule="exact"/>
        <w:rPr>
          <w:sz w:val="20"/>
          <w:szCs w:val="20"/>
          <w:color w:val="auto"/>
        </w:rPr>
      </w:pPr>
    </w:p>
    <w:tbl>
      <w:tblPr>
        <w:tblLayout w:type="fixed"/>
        <w:tblInd w:w="1560" w:type="dxa"/>
        <w:tblCellMar>
          <w:top w:w="0" w:type="dxa"/>
          <w:left w:w="0" w:type="dxa"/>
          <w:bottom w:w="0" w:type="dxa"/>
          <w:right w:w="0" w:type="dxa"/>
        </w:tblCellMar>
      </w:tblPr>
      <w:tr>
        <w:trPr>
          <w:trHeight w:val="424"/>
        </w:trPr>
        <w:tc>
          <w:tcPr>
            <w:tcW w:w="7920" w:type="dxa"/>
            <w:vAlign w:val="bottom"/>
          </w:tcPr>
          <w:p>
            <w:pPr>
              <w:jc w:val="center"/>
              <w:ind w:right="773"/>
              <w:spacing w:after="0"/>
              <w:rPr>
                <w:sz w:val="20"/>
                <w:szCs w:val="20"/>
                <w:color w:val="auto"/>
              </w:rPr>
            </w:pPr>
            <w:r>
              <w:rPr>
                <w:rFonts w:ascii="Arial" w:cs="Arial" w:eastAsia="Arial" w:hAnsi="Arial"/>
                <w:sz w:val="21"/>
                <w:szCs w:val="21"/>
                <w:b w:val="1"/>
                <w:bCs w:val="1"/>
                <w:color w:val="FFFFFF"/>
              </w:rPr>
              <w:t>The Board of Directors Recommends a Vote FOR Approval, on an</w:t>
            </w:r>
          </w:p>
        </w:tc>
        <w:tc>
          <w:tcPr>
            <w:tcW w:w="1320" w:type="dxa"/>
            <w:vAlign w:val="bottom"/>
            <w:vMerge w:val="restart"/>
          </w:tcPr>
          <w:p>
            <w:pPr>
              <w:ind w:left="880"/>
              <w:spacing w:after="0" w:line="501" w:lineRule="exact"/>
              <w:rPr>
                <w:sz w:val="20"/>
                <w:szCs w:val="20"/>
                <w:color w:val="auto"/>
              </w:rPr>
            </w:pPr>
            <w:r>
              <w:rPr>
                <w:rFonts w:ascii="MS PGothic" w:cs="MS PGothic" w:eastAsia="MS PGothic" w:hAnsi="MS PGothic"/>
                <w:sz w:val="50"/>
                <w:szCs w:val="50"/>
                <w:color w:val="auto"/>
                <w:highlight w:val="white"/>
                <w:w w:val="83"/>
              </w:rPr>
              <w:t>☑</w:t>
            </w:r>
          </w:p>
        </w:tc>
        <w:tc>
          <w:tcPr>
            <w:tcW w:w="0" w:type="dxa"/>
            <w:vAlign w:val="bottom"/>
          </w:tcPr>
          <w:p>
            <w:pPr>
              <w:spacing w:after="0"/>
              <w:rPr>
                <w:sz w:val="1"/>
                <w:szCs w:val="1"/>
                <w:color w:val="auto"/>
              </w:rPr>
            </w:pPr>
          </w:p>
        </w:tc>
      </w:tr>
      <w:tr>
        <w:trPr>
          <w:trHeight w:val="419"/>
        </w:trPr>
        <w:tc>
          <w:tcPr>
            <w:tcW w:w="7920" w:type="dxa"/>
            <w:vAlign w:val="bottom"/>
          </w:tcPr>
          <w:p>
            <w:pPr>
              <w:jc w:val="center"/>
              <w:ind w:right="793"/>
              <w:spacing w:after="0"/>
              <w:rPr>
                <w:sz w:val="20"/>
                <w:szCs w:val="20"/>
                <w:color w:val="auto"/>
              </w:rPr>
            </w:pPr>
            <w:r>
              <w:rPr>
                <w:rFonts w:ascii="Arial" w:cs="Arial" w:eastAsia="Arial" w:hAnsi="Arial"/>
                <w:sz w:val="21"/>
                <w:szCs w:val="21"/>
                <w:b w:val="1"/>
                <w:bCs w:val="1"/>
                <w:color w:val="FFFFFF"/>
              </w:rPr>
              <w:t>Advisory Basis, of our Executive Compensation, or Say-On-Pay Vote.</w:t>
            </w: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-441960</wp:posOffset>
            </wp:positionV>
            <wp:extent cx="6998335" cy="398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8335" cy="39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jc w:val="center"/>
        <w:ind w:right="220"/>
        <w:spacing w:after="0"/>
        <w:rPr>
          <w:sz w:val="20"/>
          <w:szCs w:val="20"/>
          <w:color w:val="auto"/>
        </w:rPr>
      </w:pPr>
      <w:r>
        <w:rPr>
          <w:rFonts w:ascii="Arial" w:cs="Arial" w:eastAsia="Arial" w:hAnsi="Arial"/>
          <w:sz w:val="21"/>
          <w:szCs w:val="21"/>
          <w:b w:val="1"/>
          <w:bCs w:val="1"/>
          <w:color w:val="FFFFF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6998335" cy="1866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8335" cy="186690"/>
                    </a:xfrm>
                    <a:prstGeom prst="rect">
                      <a:avLst/>
                    </a:prstGeom>
                    <a:noFill/>
                  </pic:spPr>
                </pic:pic>
              </a:graphicData>
            </a:graphic>
          </wp:anchor>
        </w:drawing>
      </w:r>
    </w:p>
    <w:p>
      <w:pPr>
        <w:spacing w:after="0" w:line="310" w:lineRule="exact"/>
        <w:rPr>
          <w:sz w:val="20"/>
          <w:szCs w:val="20"/>
          <w:color w:val="auto"/>
        </w:rPr>
      </w:pPr>
    </w:p>
    <w:p>
      <w:pPr>
        <w:jc w:val="both"/>
        <w:ind w:firstLine="640"/>
        <w:spacing w:after="0" w:line="233" w:lineRule="auto"/>
        <w:rPr>
          <w:sz w:val="20"/>
          <w:szCs w:val="20"/>
          <w:color w:val="auto"/>
        </w:rPr>
      </w:pPr>
      <w:r>
        <w:rPr>
          <w:rFonts w:ascii="Arial" w:cs="Arial" w:eastAsia="Arial" w:hAnsi="Arial"/>
          <w:sz w:val="18"/>
          <w:szCs w:val="18"/>
          <w:color w:val="auto"/>
        </w:rPr>
        <w:t>This Compensation Discussion and Analysis (CD&amp;A) section discusses our executive compensation programs for the below individuals who are named in the Summary Compensation Table and to whom we refer to as our Named Executive Officers (NEOs). Messrs.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Funk, Moeller and Janey are all new NEOs for fiscal 2025.</w:t>
      </w:r>
    </w:p>
    <w:p>
      <w:pPr>
        <w:sectPr>
          <w:pgSz w:w="11900" w:h="16838" w:orient="portrait"/>
          <w:cols w:equalWidth="0" w:num="1">
            <w:col w:w="11240"/>
          </w:cols>
          <w:pgMar w:left="320" w:top="1152" w:right="339" w:bottom="1440" w:gutter="0" w:footer="0" w:header="0"/>
        </w:sectPr>
      </w:pPr>
    </w:p>
    <w:p>
      <w:pPr>
        <w:spacing w:after="0" w:line="247" w:lineRule="exact"/>
        <w:rPr>
          <w:sz w:val="20"/>
          <w:szCs w:val="20"/>
          <w:color w:val="auto"/>
        </w:rPr>
      </w:pPr>
    </w:p>
    <w:p>
      <w:pPr>
        <w:ind w:left="3060" w:right="2700"/>
        <w:spacing w:after="0" w:line="277" w:lineRule="auto"/>
        <w:rPr>
          <w:sz w:val="20"/>
          <w:szCs w:val="20"/>
          <w:color w:val="auto"/>
        </w:rPr>
      </w:pPr>
      <w:r>
        <w:rPr>
          <w:rFonts w:ascii="Arial" w:cs="Arial" w:eastAsia="Arial" w:hAnsi="Arial"/>
          <w:sz w:val="15"/>
          <w:szCs w:val="15"/>
          <w:b w:val="1"/>
          <w:bCs w:val="1"/>
          <w:color w:val="auto"/>
        </w:rPr>
        <w:t xml:space="preserve">Richard M. Olson </w:t>
      </w:r>
      <w:r>
        <w:rPr>
          <w:rFonts w:ascii="Arial" w:cs="Arial" w:eastAsia="Arial" w:hAnsi="Arial"/>
          <w:sz w:val="15"/>
          <w:szCs w:val="15"/>
          <w:color w:val="auto"/>
        </w:rPr>
        <w:t>Chairman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741680</wp:posOffset>
            </wp:positionH>
            <wp:positionV relativeFrom="paragraph">
              <wp:posOffset>-377825</wp:posOffset>
            </wp:positionV>
            <wp:extent cx="889635" cy="8896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635" cy="8896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-1330325</wp:posOffset>
            </wp:positionH>
            <wp:positionV relativeFrom="paragraph">
              <wp:posOffset>-115570</wp:posOffset>
            </wp:positionV>
            <wp:extent cx="889635" cy="8896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635" cy="8896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Vice President and</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Chief Financial Officer</w:t>
      </w:r>
    </w:p>
    <w:p>
      <w:pPr>
        <w:spacing w:after="0" w:line="248" w:lineRule="exact"/>
        <w:rPr>
          <w:sz w:val="20"/>
          <w:szCs w:val="20"/>
          <w:color w:val="auto"/>
        </w:rPr>
      </w:pPr>
    </w:p>
    <w:p>
      <w:pPr>
        <w:sectPr>
          <w:pgSz w:w="11900" w:h="16838" w:orient="portrait"/>
          <w:cols w:equalWidth="0" w:num="2">
            <w:col w:w="7680" w:space="720"/>
            <w:col w:w="2840"/>
          </w:cols>
          <w:pgMar w:left="320" w:top="115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020" w:type="dxa"/>
        <w:tblCellMar>
          <w:top w:w="0" w:type="dxa"/>
          <w:left w:w="0" w:type="dxa"/>
          <w:bottom w:w="0" w:type="dxa"/>
          <w:right w:w="0" w:type="dxa"/>
        </w:tblCellMar>
      </w:tblPr>
      <w:tr>
        <w:trPr>
          <w:trHeight w:val="187"/>
        </w:trPr>
        <w:tc>
          <w:tcPr>
            <w:tcW w:w="2620" w:type="dxa"/>
            <w:vAlign w:val="bottom"/>
          </w:tcPr>
          <w:p>
            <w:pPr>
              <w:spacing w:after="0"/>
              <w:rPr>
                <w:sz w:val="20"/>
                <w:szCs w:val="20"/>
                <w:color w:val="auto"/>
              </w:rPr>
            </w:pPr>
            <w:r>
              <w:rPr>
                <w:rFonts w:ascii="Arial" w:cs="Arial" w:eastAsia="Arial" w:hAnsi="Arial"/>
                <w:sz w:val="16"/>
                <w:szCs w:val="16"/>
                <w:b w:val="1"/>
                <w:bCs w:val="1"/>
                <w:color w:val="auto"/>
              </w:rPr>
              <w:t>Edric C. Funk</w:t>
            </w:r>
          </w:p>
        </w:tc>
        <w:tc>
          <w:tcPr>
            <w:tcW w:w="3800" w:type="dxa"/>
            <w:vAlign w:val="bottom"/>
          </w:tcPr>
          <w:p>
            <w:pPr>
              <w:ind w:left="1220"/>
              <w:spacing w:after="0"/>
              <w:rPr>
                <w:sz w:val="20"/>
                <w:szCs w:val="20"/>
                <w:color w:val="auto"/>
              </w:rPr>
            </w:pPr>
            <w:r>
              <w:rPr>
                <w:rFonts w:ascii="Arial" w:cs="Arial" w:eastAsia="Arial" w:hAnsi="Arial"/>
                <w:sz w:val="16"/>
                <w:szCs w:val="16"/>
                <w:b w:val="1"/>
                <w:bCs w:val="1"/>
                <w:color w:val="auto"/>
              </w:rPr>
              <w:t>Peter D. Moeller</w:t>
            </w:r>
          </w:p>
        </w:tc>
        <w:tc>
          <w:tcPr>
            <w:tcW w:w="2560" w:type="dxa"/>
            <w:vAlign w:val="bottom"/>
          </w:tcPr>
          <w:p>
            <w:pPr>
              <w:ind w:left="1000"/>
              <w:spacing w:after="0"/>
              <w:rPr>
                <w:sz w:val="20"/>
                <w:szCs w:val="20"/>
                <w:color w:val="auto"/>
              </w:rPr>
            </w:pPr>
            <w:r>
              <w:rPr>
                <w:rFonts w:ascii="Arial" w:cs="Arial" w:eastAsia="Arial" w:hAnsi="Arial"/>
                <w:sz w:val="16"/>
                <w:szCs w:val="16"/>
                <w:b w:val="1"/>
                <w:bCs w:val="1"/>
                <w:color w:val="auto"/>
              </w:rPr>
              <w:t>Gregory S. Janey</w:t>
            </w:r>
          </w:p>
        </w:tc>
      </w:tr>
      <w:tr>
        <w:trPr>
          <w:trHeight w:val="187"/>
        </w:trPr>
        <w:tc>
          <w:tcPr>
            <w:tcW w:w="2620" w:type="dxa"/>
            <w:vAlign w:val="bottom"/>
          </w:tcPr>
          <w:p>
            <w:pPr>
              <w:spacing w:after="0"/>
              <w:rPr>
                <w:sz w:val="20"/>
                <w:szCs w:val="20"/>
                <w:color w:val="auto"/>
              </w:rPr>
            </w:pPr>
            <w:r>
              <w:rPr>
                <w:rFonts w:ascii="Arial" w:cs="Arial" w:eastAsia="Arial" w:hAnsi="Arial"/>
                <w:sz w:val="16"/>
                <w:szCs w:val="16"/>
                <w:color w:val="auto"/>
              </w:rPr>
              <w:t>President and Chief</w:t>
            </w:r>
          </w:p>
        </w:tc>
        <w:tc>
          <w:tcPr>
            <w:tcW w:w="3800" w:type="dxa"/>
            <w:vAlign w:val="bottom"/>
          </w:tcPr>
          <w:p>
            <w:pPr>
              <w:ind w:left="1220"/>
              <w:spacing w:after="0"/>
              <w:rPr>
                <w:sz w:val="20"/>
                <w:szCs w:val="20"/>
                <w:color w:val="auto"/>
              </w:rPr>
            </w:pPr>
            <w:r>
              <w:rPr>
                <w:rFonts w:ascii="Arial" w:cs="Arial" w:eastAsia="Arial" w:hAnsi="Arial"/>
                <w:sz w:val="16"/>
                <w:szCs w:val="16"/>
                <w:color w:val="auto"/>
              </w:rPr>
              <w:t>Group Vice President,</w:t>
            </w:r>
          </w:p>
        </w:tc>
        <w:tc>
          <w:tcPr>
            <w:tcW w:w="2560" w:type="dxa"/>
            <w:vAlign w:val="bottom"/>
          </w:tcPr>
          <w:p>
            <w:pPr>
              <w:ind w:left="1000"/>
              <w:spacing w:after="0"/>
              <w:rPr>
                <w:sz w:val="20"/>
                <w:szCs w:val="20"/>
                <w:color w:val="auto"/>
              </w:rPr>
            </w:pPr>
            <w:r>
              <w:rPr>
                <w:rFonts w:ascii="Arial" w:cs="Arial" w:eastAsia="Arial" w:hAnsi="Arial"/>
                <w:sz w:val="16"/>
                <w:szCs w:val="16"/>
                <w:color w:val="auto"/>
                <w:w w:val="98"/>
              </w:rPr>
              <w:t>Group Vice President,</w:t>
            </w:r>
          </w:p>
        </w:tc>
      </w:tr>
      <w:tr>
        <w:trPr>
          <w:trHeight w:val="187"/>
        </w:trPr>
        <w:tc>
          <w:tcPr>
            <w:tcW w:w="2620" w:type="dxa"/>
            <w:vAlign w:val="bottom"/>
          </w:tcPr>
          <w:p>
            <w:pPr>
              <w:spacing w:after="0"/>
              <w:rPr>
                <w:sz w:val="20"/>
                <w:szCs w:val="20"/>
                <w:color w:val="auto"/>
              </w:rPr>
            </w:pPr>
            <w:r>
              <w:rPr>
                <w:rFonts w:ascii="Arial" w:cs="Arial" w:eastAsia="Arial" w:hAnsi="Arial"/>
                <w:sz w:val="16"/>
                <w:szCs w:val="16"/>
                <w:color w:val="auto"/>
              </w:rPr>
              <w:t>Operating Officer</w:t>
            </w:r>
          </w:p>
        </w:tc>
        <w:tc>
          <w:tcPr>
            <w:tcW w:w="3800" w:type="dxa"/>
            <w:vAlign w:val="bottom"/>
          </w:tcPr>
          <w:p>
            <w:pPr>
              <w:ind w:left="1220"/>
              <w:spacing w:after="0"/>
              <w:rPr>
                <w:sz w:val="20"/>
                <w:szCs w:val="20"/>
                <w:color w:val="auto"/>
              </w:rPr>
            </w:pPr>
            <w:r>
              <w:rPr>
                <w:rFonts w:ascii="Arial" w:cs="Arial" w:eastAsia="Arial" w:hAnsi="Arial"/>
                <w:sz w:val="16"/>
                <w:szCs w:val="16"/>
                <w:color w:val="auto"/>
              </w:rPr>
              <w:t>Underground and</w:t>
            </w:r>
          </w:p>
        </w:tc>
        <w:tc>
          <w:tcPr>
            <w:tcW w:w="2560" w:type="dxa"/>
            <w:vAlign w:val="bottom"/>
          </w:tcPr>
          <w:p>
            <w:pPr>
              <w:ind w:left="1000"/>
              <w:spacing w:after="0"/>
              <w:rPr>
                <w:sz w:val="20"/>
                <w:szCs w:val="20"/>
                <w:color w:val="auto"/>
              </w:rPr>
            </w:pPr>
            <w:r>
              <w:rPr>
                <w:rFonts w:ascii="Arial" w:cs="Arial" w:eastAsia="Arial" w:hAnsi="Arial"/>
                <w:sz w:val="16"/>
                <w:szCs w:val="16"/>
                <w:color w:val="auto"/>
              </w:rPr>
              <w:t>Landscapes and</w:t>
            </w:r>
          </w:p>
        </w:tc>
      </w:tr>
      <w:tr>
        <w:trPr>
          <w:trHeight w:val="173"/>
        </w:trPr>
        <w:tc>
          <w:tcPr>
            <w:tcW w:w="2620" w:type="dxa"/>
            <w:vAlign w:val="bottom"/>
          </w:tcPr>
          <w:p>
            <w:pPr>
              <w:spacing w:after="0"/>
              <w:rPr>
                <w:sz w:val="15"/>
                <w:szCs w:val="15"/>
                <w:color w:val="auto"/>
              </w:rPr>
            </w:pPr>
          </w:p>
        </w:tc>
        <w:tc>
          <w:tcPr>
            <w:tcW w:w="3800" w:type="dxa"/>
            <w:vAlign w:val="bottom"/>
          </w:tcPr>
          <w:p>
            <w:pPr>
              <w:ind w:left="1220"/>
              <w:spacing w:after="0" w:line="174" w:lineRule="exact"/>
              <w:rPr>
                <w:sz w:val="20"/>
                <w:szCs w:val="20"/>
                <w:color w:val="auto"/>
              </w:rPr>
            </w:pPr>
            <w:r>
              <w:rPr>
                <w:rFonts w:ascii="Arial" w:cs="Arial" w:eastAsia="Arial" w:hAnsi="Arial"/>
                <w:sz w:val="16"/>
                <w:szCs w:val="16"/>
                <w:color w:val="auto"/>
              </w:rPr>
              <w:t>Specialty Construction</w:t>
            </w:r>
          </w:p>
        </w:tc>
        <w:tc>
          <w:tcPr>
            <w:tcW w:w="2560" w:type="dxa"/>
            <w:vAlign w:val="bottom"/>
          </w:tcPr>
          <w:p>
            <w:pPr>
              <w:ind w:left="1000"/>
              <w:spacing w:after="0" w:line="174" w:lineRule="exact"/>
              <w:rPr>
                <w:sz w:val="20"/>
                <w:szCs w:val="20"/>
                <w:color w:val="auto"/>
              </w:rPr>
            </w:pPr>
            <w:r>
              <w:rPr>
                <w:rFonts w:ascii="Arial" w:cs="Arial" w:eastAsia="Arial" w:hAnsi="Arial"/>
                <w:sz w:val="16"/>
                <w:szCs w:val="16"/>
                <w:color w:val="auto"/>
              </w:rPr>
              <w:t>Contractor</w:t>
            </w:r>
          </w:p>
        </w:tc>
      </w:tr>
      <w:tr>
        <w:trPr>
          <w:trHeight w:val="211"/>
        </w:trPr>
        <w:tc>
          <w:tcPr>
            <w:tcW w:w="2620" w:type="dxa"/>
            <w:vAlign w:val="bottom"/>
          </w:tcPr>
          <w:p>
            <w:pPr>
              <w:spacing w:after="0"/>
              <w:rPr>
                <w:sz w:val="18"/>
                <w:szCs w:val="18"/>
                <w:color w:val="auto"/>
              </w:rPr>
            </w:pPr>
          </w:p>
        </w:tc>
        <w:tc>
          <w:tcPr>
            <w:tcW w:w="3800" w:type="dxa"/>
            <w:vAlign w:val="bottom"/>
          </w:tcPr>
          <w:p>
            <w:pPr>
              <w:ind w:left="1220"/>
              <w:spacing w:after="0"/>
              <w:rPr>
                <w:sz w:val="20"/>
                <w:szCs w:val="20"/>
                <w:color w:val="auto"/>
              </w:rPr>
            </w:pPr>
            <w:r>
              <w:rPr>
                <w:rFonts w:ascii="Arial" w:cs="Arial" w:eastAsia="Arial" w:hAnsi="Arial"/>
                <w:sz w:val="16"/>
                <w:szCs w:val="16"/>
                <w:color w:val="auto"/>
              </w:rPr>
              <w:t>+ International</w:t>
            </w:r>
          </w:p>
        </w:tc>
        <w:tc>
          <w:tcPr>
            <w:tcW w:w="25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-598805</wp:posOffset>
            </wp:positionV>
            <wp:extent cx="889635" cy="8724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635" cy="872490"/>
                    </a:xfrm>
                    <a:prstGeom prst="rect">
                      <a:avLst/>
                    </a:prstGeom>
                    <a:noFill/>
                  </pic:spPr>
                </pic:pic>
              </a:graphicData>
            </a:graphic>
          </wp:anchor>
        </w:drawing>
        <w:drawing>
          <wp:anchor simplePos="0" relativeHeight="251657728" behindDoc="1" locked="0" layoutInCell="0" allowOverlap="1">
            <wp:simplePos x="0" y="0"/>
            <wp:positionH relativeFrom="column">
              <wp:posOffset>2580005</wp:posOffset>
            </wp:positionH>
            <wp:positionV relativeFrom="paragraph">
              <wp:posOffset>-598805</wp:posOffset>
            </wp:positionV>
            <wp:extent cx="906780" cy="8813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06780" cy="881380"/>
                    </a:xfrm>
                    <a:prstGeom prst="rect">
                      <a:avLst/>
                    </a:prstGeom>
                    <a:noFill/>
                  </pic:spPr>
                </pic:pic>
              </a:graphicData>
            </a:graphic>
          </wp:anchor>
        </w:drawing>
        <w:drawing>
          <wp:anchor simplePos="0" relativeHeight="251657728" behindDoc="1" locked="0" layoutInCell="0" allowOverlap="1">
            <wp:simplePos x="0" y="0"/>
            <wp:positionH relativeFrom="column">
              <wp:posOffset>4926965</wp:posOffset>
            </wp:positionH>
            <wp:positionV relativeFrom="paragraph">
              <wp:posOffset>-598805</wp:posOffset>
            </wp:positionV>
            <wp:extent cx="889635" cy="8896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635" cy="889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firstLine="640"/>
        <w:spacing w:after="0" w:line="262" w:lineRule="auto"/>
        <w:rPr>
          <w:sz w:val="20"/>
          <w:szCs w:val="20"/>
          <w:color w:val="auto"/>
        </w:rPr>
      </w:pPr>
      <w:r>
        <w:rPr>
          <w:rFonts w:ascii="Arial" w:cs="Arial" w:eastAsia="Arial" w:hAnsi="Arial"/>
          <w:sz w:val="18"/>
          <w:szCs w:val="18"/>
          <w:color w:val="auto"/>
        </w:rPr>
        <w:t>This CD&amp;A should be read together with the related tables and disclosures that follow and our advisory vote on executive compensation, which can be found under "Proposal Three—Advisory Approval of our Executive Compensation.</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Executive Summary: Fiscal 2025 Incentive Compensation Changes</w:t>
      </w:r>
    </w:p>
    <w:p>
      <w:pPr>
        <w:spacing w:after="0" w:line="97" w:lineRule="exact"/>
        <w:rPr>
          <w:sz w:val="20"/>
          <w:szCs w:val="20"/>
          <w:color w:val="auto"/>
        </w:rPr>
      </w:pPr>
    </w:p>
    <w:p>
      <w:pPr>
        <w:ind w:firstLine="640"/>
        <w:spacing w:after="0" w:line="241" w:lineRule="auto"/>
        <w:rPr>
          <w:sz w:val="20"/>
          <w:szCs w:val="20"/>
          <w:color w:val="auto"/>
        </w:rPr>
      </w:pPr>
      <w:r>
        <w:rPr>
          <w:rFonts w:ascii="Arial" w:cs="Arial" w:eastAsia="Arial" w:hAnsi="Arial"/>
          <w:sz w:val="18"/>
          <w:szCs w:val="18"/>
          <w:color w:val="auto"/>
        </w:rPr>
        <w:t>We made changes to our incentive compensation programs for fiscal 2025, as summarized in the table below, in response to an incentive compensation project facilitated by our external compensation consultant, Willis Towers Watson. Willis Towers Watson provided</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detailed market data and facilitated interviews with our Committee members, our independent lead director and members of our management team. We believe these changes align our incentive programs with the priorities most important to external and internal stakeholders, create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focus on our most critical enterprise priorities and reflect external marketplace practices.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120" w:type="dxa"/>
            <w:vAlign w:val="bottom"/>
            <w:shd w:val="clear" w:color="auto" w:fill="BF2115"/>
          </w:tcPr>
          <w:p>
            <w:pPr>
              <w:ind w:left="20"/>
              <w:spacing w:after="0"/>
              <w:rPr>
                <w:sz w:val="20"/>
                <w:szCs w:val="20"/>
                <w:color w:val="auto"/>
              </w:rPr>
            </w:pPr>
            <w:r>
              <w:rPr>
                <w:rFonts w:ascii="Arial" w:cs="Arial" w:eastAsia="Arial" w:hAnsi="Arial"/>
                <w:sz w:val="18"/>
                <w:szCs w:val="18"/>
                <w:b w:val="1"/>
                <w:bCs w:val="1"/>
                <w:color w:val="FFFFFF"/>
              </w:rPr>
              <w:t>Pay Element</w:t>
            </w:r>
          </w:p>
        </w:tc>
        <w:tc>
          <w:tcPr>
            <w:tcW w:w="9100" w:type="dxa"/>
            <w:vAlign w:val="bottom"/>
            <w:gridSpan w:val="2"/>
            <w:shd w:val="clear" w:color="auto" w:fill="BF2115"/>
          </w:tcPr>
          <w:p>
            <w:pPr>
              <w:ind w:left="420"/>
              <w:spacing w:after="0"/>
              <w:rPr>
                <w:sz w:val="20"/>
                <w:szCs w:val="20"/>
                <w:color w:val="auto"/>
              </w:rPr>
            </w:pPr>
            <w:r>
              <w:rPr>
                <w:rFonts w:ascii="Arial" w:cs="Arial" w:eastAsia="Arial" w:hAnsi="Arial"/>
                <w:sz w:val="18"/>
                <w:szCs w:val="18"/>
                <w:b w:val="1"/>
                <w:bCs w:val="1"/>
                <w:color w:val="FFFFFF"/>
              </w:rPr>
              <w:t>Fiscal 2025</w:t>
            </w:r>
          </w:p>
        </w:tc>
      </w:tr>
      <w:tr>
        <w:trPr>
          <w:trHeight w:val="186"/>
        </w:trPr>
        <w:tc>
          <w:tcPr>
            <w:tcW w:w="2120" w:type="dxa"/>
            <w:vAlign w:val="bottom"/>
          </w:tcPr>
          <w:p>
            <w:pPr>
              <w:ind w:left="20"/>
              <w:spacing w:after="0"/>
              <w:rPr>
                <w:sz w:val="20"/>
                <w:szCs w:val="20"/>
                <w:color w:val="auto"/>
              </w:rPr>
            </w:pPr>
            <w:r>
              <w:rPr>
                <w:rFonts w:ascii="Arial" w:cs="Arial" w:eastAsia="Arial" w:hAnsi="Arial"/>
                <w:sz w:val="16"/>
                <w:szCs w:val="16"/>
                <w:i w:val="1"/>
                <w:iCs w:val="1"/>
                <w:color w:val="auto"/>
              </w:rPr>
              <w:t>Annual Cash Incentives</w:t>
            </w:r>
          </w:p>
        </w:tc>
        <w:tc>
          <w:tcPr>
            <w:tcW w:w="5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580" w:type="dxa"/>
            <w:vAlign w:val="bottom"/>
          </w:tcPr>
          <w:p>
            <w:pPr>
              <w:ind w:left="60"/>
              <w:spacing w:after="0"/>
              <w:rPr>
                <w:sz w:val="20"/>
                <w:szCs w:val="20"/>
                <w:color w:val="auto"/>
              </w:rPr>
            </w:pPr>
            <w:r>
              <w:rPr>
                <w:rFonts w:ascii="Arial" w:cs="Arial" w:eastAsia="Arial" w:hAnsi="Arial"/>
                <w:sz w:val="16"/>
                <w:szCs w:val="16"/>
                <w:color w:val="auto"/>
              </w:rPr>
              <w:t>Streamlined the corporate and division performance measures from three to two (60% profitability and 40% revenue</w:t>
            </w:r>
          </w:p>
        </w:tc>
      </w:tr>
      <w:tr>
        <w:trPr>
          <w:trHeight w:val="200"/>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580" w:type="dxa"/>
            <w:vAlign w:val="bottom"/>
          </w:tcPr>
          <w:p>
            <w:pPr>
              <w:ind w:left="60"/>
              <w:spacing w:after="0"/>
              <w:rPr>
                <w:sz w:val="20"/>
                <w:szCs w:val="20"/>
                <w:color w:val="auto"/>
              </w:rPr>
            </w:pPr>
            <w:r>
              <w:rPr>
                <w:rFonts w:ascii="Arial" w:cs="Arial" w:eastAsia="Arial" w:hAnsi="Arial"/>
                <w:sz w:val="16"/>
                <w:szCs w:val="16"/>
                <w:color w:val="auto"/>
              </w:rPr>
              <w:t>growth) to align with our critical enterprise priorities.</w:t>
            </w:r>
          </w:p>
        </w:tc>
      </w:tr>
      <w:tr>
        <w:trPr>
          <w:trHeight w:val="200"/>
        </w:trPr>
        <w:tc>
          <w:tcPr>
            <w:tcW w:w="2120" w:type="dxa"/>
            <w:vAlign w:val="bottom"/>
          </w:tcPr>
          <w:p>
            <w:pPr>
              <w:spacing w:after="0"/>
              <w:rPr>
                <w:sz w:val="17"/>
                <w:szCs w:val="17"/>
                <w:color w:val="auto"/>
              </w:rPr>
            </w:pPr>
          </w:p>
        </w:tc>
        <w:tc>
          <w:tcPr>
            <w:tcW w:w="520" w:type="dxa"/>
            <w:vAlign w:val="bottom"/>
          </w:tcPr>
          <w:p>
            <w:pPr>
              <w:ind w:left="420"/>
              <w:spacing w:after="0"/>
              <w:rPr>
                <w:sz w:val="20"/>
                <w:szCs w:val="20"/>
                <w:color w:val="auto"/>
              </w:rPr>
            </w:pPr>
            <w:r>
              <w:rPr>
                <w:rFonts w:ascii="Arial" w:cs="Arial" w:eastAsia="Arial" w:hAnsi="Arial"/>
                <w:sz w:val="16"/>
                <w:szCs w:val="16"/>
                <w:color w:val="auto"/>
              </w:rPr>
              <w:t>•</w:t>
            </w:r>
          </w:p>
        </w:tc>
        <w:tc>
          <w:tcPr>
            <w:tcW w:w="8580" w:type="dxa"/>
            <w:vAlign w:val="bottom"/>
          </w:tcPr>
          <w:p>
            <w:pPr>
              <w:ind w:left="60"/>
              <w:spacing w:after="0"/>
              <w:rPr>
                <w:sz w:val="20"/>
                <w:szCs w:val="20"/>
                <w:color w:val="auto"/>
              </w:rPr>
            </w:pPr>
            <w:r>
              <w:rPr>
                <w:rFonts w:ascii="Arial" w:cs="Arial" w:eastAsia="Arial" w:hAnsi="Arial"/>
                <w:sz w:val="16"/>
                <w:szCs w:val="16"/>
                <w:color w:val="auto"/>
              </w:rPr>
              <w:t>Increased the threshold level of performance payout from 40% to 50% of target to align with market practices.</w:t>
            </w:r>
          </w:p>
        </w:tc>
      </w:tr>
      <w:tr>
        <w:trPr>
          <w:trHeight w:val="173"/>
        </w:trPr>
        <w:tc>
          <w:tcPr>
            <w:tcW w:w="2120" w:type="dxa"/>
            <w:vAlign w:val="bottom"/>
          </w:tcPr>
          <w:p>
            <w:pPr>
              <w:spacing w:after="0"/>
              <w:rPr>
                <w:sz w:val="15"/>
                <w:szCs w:val="15"/>
                <w:color w:val="auto"/>
              </w:rPr>
            </w:pPr>
          </w:p>
        </w:tc>
        <w:tc>
          <w:tcPr>
            <w:tcW w:w="520" w:type="dxa"/>
            <w:vAlign w:val="bottom"/>
          </w:tcPr>
          <w:p>
            <w:pPr>
              <w:ind w:left="420"/>
              <w:spacing w:after="0" w:line="174" w:lineRule="exact"/>
              <w:rPr>
                <w:sz w:val="20"/>
                <w:szCs w:val="20"/>
                <w:color w:val="auto"/>
              </w:rPr>
            </w:pPr>
            <w:r>
              <w:rPr>
                <w:rFonts w:ascii="Arial" w:cs="Arial" w:eastAsia="Arial" w:hAnsi="Arial"/>
                <w:sz w:val="16"/>
                <w:szCs w:val="16"/>
                <w:color w:val="auto"/>
              </w:rPr>
              <w:t>•</w:t>
            </w:r>
          </w:p>
        </w:tc>
        <w:tc>
          <w:tcPr>
            <w:tcW w:w="8580" w:type="dxa"/>
            <w:vAlign w:val="bottom"/>
          </w:tcPr>
          <w:p>
            <w:pPr>
              <w:ind w:left="60"/>
              <w:spacing w:after="0" w:line="174" w:lineRule="exact"/>
              <w:rPr>
                <w:sz w:val="20"/>
                <w:szCs w:val="20"/>
                <w:color w:val="auto"/>
              </w:rPr>
            </w:pPr>
            <w:r>
              <w:rPr>
                <w:rFonts w:ascii="Arial" w:cs="Arial" w:eastAsia="Arial" w:hAnsi="Arial"/>
                <w:sz w:val="16"/>
                <w:szCs w:val="16"/>
                <w:color w:val="auto"/>
              </w:rPr>
              <w:t>Introduced group level performance goals (profitability and revenue growth) at a 60% weighting for our group vice</w:t>
            </w:r>
          </w:p>
        </w:tc>
      </w:tr>
      <w:tr>
        <w:trPr>
          <w:trHeight w:val="173"/>
        </w:trPr>
        <w:tc>
          <w:tcPr>
            <w:tcW w:w="2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580" w:type="dxa"/>
            <w:vAlign w:val="bottom"/>
          </w:tcPr>
          <w:p>
            <w:pPr>
              <w:ind w:left="60"/>
              <w:spacing w:after="0" w:line="174" w:lineRule="exact"/>
              <w:rPr>
                <w:sz w:val="20"/>
                <w:szCs w:val="20"/>
                <w:color w:val="auto"/>
              </w:rPr>
            </w:pPr>
            <w:r>
              <w:rPr>
                <w:rFonts w:ascii="Arial" w:cs="Arial" w:eastAsia="Arial" w:hAnsi="Arial"/>
                <w:sz w:val="16"/>
                <w:szCs w:val="16"/>
                <w:color w:val="auto"/>
              </w:rPr>
              <w:t>presidents to align their payouts with the performance of their respective groups, while maintaining a strong tie to</w:t>
            </w:r>
          </w:p>
        </w:tc>
      </w:tr>
      <w:tr>
        <w:trPr>
          <w:trHeight w:val="211"/>
        </w:trPr>
        <w:tc>
          <w:tcPr>
            <w:tcW w:w="2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580" w:type="dxa"/>
            <w:vAlign w:val="bottom"/>
          </w:tcPr>
          <w:p>
            <w:pPr>
              <w:ind w:left="60"/>
              <w:spacing w:after="0"/>
              <w:rPr>
                <w:sz w:val="20"/>
                <w:szCs w:val="20"/>
                <w:color w:val="auto"/>
              </w:rPr>
            </w:pPr>
            <w:r>
              <w:rPr>
                <w:rFonts w:ascii="Arial" w:cs="Arial" w:eastAsia="Arial" w:hAnsi="Arial"/>
                <w:sz w:val="16"/>
                <w:szCs w:val="16"/>
                <w:color w:val="auto"/>
              </w:rPr>
              <w:t>corporate performance, with a 40% weighting.</w:t>
            </w:r>
          </w:p>
        </w:tc>
      </w:tr>
      <w:tr>
        <w:trPr>
          <w:trHeight w:val="297"/>
        </w:trPr>
        <w:tc>
          <w:tcPr>
            <w:tcW w:w="2120" w:type="dxa"/>
            <w:vAlign w:val="bottom"/>
            <w:tcBorders>
              <w:bottom w:val="single" w:sz="8" w:color="D9D9D9"/>
            </w:tcBorders>
          </w:tcPr>
          <w:p>
            <w:pPr>
              <w:spacing w:after="0"/>
              <w:rPr>
                <w:sz w:val="24"/>
                <w:szCs w:val="24"/>
                <w:color w:val="auto"/>
              </w:rPr>
            </w:pPr>
          </w:p>
        </w:tc>
        <w:tc>
          <w:tcPr>
            <w:tcW w:w="520" w:type="dxa"/>
            <w:vAlign w:val="bottom"/>
            <w:tcBorders>
              <w:bottom w:val="single" w:sz="8" w:color="D9D9D9"/>
            </w:tcBorders>
          </w:tcPr>
          <w:p>
            <w:pPr>
              <w:spacing w:after="0"/>
              <w:rPr>
                <w:sz w:val="24"/>
                <w:szCs w:val="24"/>
                <w:color w:val="auto"/>
              </w:rPr>
            </w:pPr>
          </w:p>
        </w:tc>
        <w:tc>
          <w:tcPr>
            <w:tcW w:w="8580" w:type="dxa"/>
            <w:vAlign w:val="bottom"/>
            <w:tcBorders>
              <w:bottom w:val="single" w:sz="8" w:color="D9D9D9"/>
            </w:tcBorders>
          </w:tcPr>
          <w:p>
            <w:pPr>
              <w:spacing w:after="0"/>
              <w:rPr>
                <w:sz w:val="24"/>
                <w:szCs w:val="24"/>
                <w:color w:val="auto"/>
              </w:rPr>
            </w:pPr>
          </w:p>
        </w:tc>
      </w:tr>
      <w:tr>
        <w:trPr>
          <w:trHeight w:val="179"/>
        </w:trPr>
        <w:tc>
          <w:tcPr>
            <w:tcW w:w="2120" w:type="dxa"/>
            <w:vAlign w:val="bottom"/>
          </w:tcPr>
          <w:p>
            <w:pPr>
              <w:ind w:left="20"/>
              <w:spacing w:after="0" w:line="179" w:lineRule="exact"/>
              <w:rPr>
                <w:sz w:val="20"/>
                <w:szCs w:val="20"/>
                <w:color w:val="auto"/>
              </w:rPr>
            </w:pPr>
            <w:r>
              <w:rPr>
                <w:rFonts w:ascii="Arial" w:cs="Arial" w:eastAsia="Arial" w:hAnsi="Arial"/>
                <w:sz w:val="16"/>
                <w:szCs w:val="16"/>
                <w:i w:val="1"/>
                <w:iCs w:val="1"/>
                <w:color w:val="auto"/>
              </w:rPr>
              <w:t>Long-Term Incentives</w:t>
            </w:r>
          </w:p>
        </w:tc>
        <w:tc>
          <w:tcPr>
            <w:tcW w:w="520" w:type="dxa"/>
            <w:vAlign w:val="bottom"/>
          </w:tcPr>
          <w:p>
            <w:pPr>
              <w:ind w:left="420"/>
              <w:spacing w:after="0" w:line="179" w:lineRule="exact"/>
              <w:rPr>
                <w:sz w:val="20"/>
                <w:szCs w:val="20"/>
                <w:color w:val="auto"/>
              </w:rPr>
            </w:pPr>
            <w:r>
              <w:rPr>
                <w:rFonts w:ascii="Times New Roman" w:cs="Times New Roman" w:eastAsia="Times New Roman" w:hAnsi="Times New Roman"/>
                <w:sz w:val="16"/>
                <w:szCs w:val="16"/>
                <w:color w:val="auto"/>
              </w:rPr>
              <w:t>•</w:t>
            </w:r>
          </w:p>
        </w:tc>
        <w:tc>
          <w:tcPr>
            <w:tcW w:w="8580" w:type="dxa"/>
            <w:vAlign w:val="bottom"/>
          </w:tcPr>
          <w:p>
            <w:pPr>
              <w:ind w:left="60"/>
              <w:spacing w:after="0" w:line="179" w:lineRule="exact"/>
              <w:rPr>
                <w:sz w:val="20"/>
                <w:szCs w:val="20"/>
                <w:color w:val="auto"/>
              </w:rPr>
            </w:pPr>
            <w:r>
              <w:rPr>
                <w:rFonts w:ascii="Arial" w:cs="Arial" w:eastAsia="Arial" w:hAnsi="Arial"/>
                <w:sz w:val="16"/>
                <w:szCs w:val="16"/>
                <w:color w:val="auto"/>
              </w:rPr>
              <w:t>Shifted the mix of long-term incentives to 60% performance share awards and 40% stock options from an equal</w:t>
            </w:r>
          </w:p>
        </w:tc>
      </w:tr>
      <w:tr>
        <w:trPr>
          <w:trHeight w:val="200"/>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580" w:type="dxa"/>
            <w:vAlign w:val="bottom"/>
          </w:tcPr>
          <w:p>
            <w:pPr>
              <w:ind w:left="60"/>
              <w:spacing w:after="0"/>
              <w:rPr>
                <w:sz w:val="20"/>
                <w:szCs w:val="20"/>
                <w:color w:val="auto"/>
              </w:rPr>
            </w:pPr>
            <w:r>
              <w:rPr>
                <w:rFonts w:ascii="Arial" w:cs="Arial" w:eastAsia="Arial" w:hAnsi="Arial"/>
                <w:sz w:val="16"/>
                <w:szCs w:val="16"/>
                <w:color w:val="auto"/>
              </w:rPr>
              <w:t>weighting last fiscal year to increase performance-based compensation and align with market practices.</w:t>
            </w:r>
          </w:p>
        </w:tc>
      </w:tr>
      <w:tr>
        <w:trPr>
          <w:trHeight w:val="173"/>
        </w:trPr>
        <w:tc>
          <w:tcPr>
            <w:tcW w:w="2120" w:type="dxa"/>
            <w:vAlign w:val="bottom"/>
          </w:tcPr>
          <w:p>
            <w:pPr>
              <w:spacing w:after="0"/>
              <w:rPr>
                <w:sz w:val="15"/>
                <w:szCs w:val="15"/>
                <w:color w:val="auto"/>
              </w:rPr>
            </w:pPr>
          </w:p>
        </w:tc>
        <w:tc>
          <w:tcPr>
            <w:tcW w:w="520" w:type="dxa"/>
            <w:vAlign w:val="bottom"/>
          </w:tcPr>
          <w:p>
            <w:pPr>
              <w:ind w:left="420"/>
              <w:spacing w:after="0" w:line="174" w:lineRule="exact"/>
              <w:rPr>
                <w:sz w:val="20"/>
                <w:szCs w:val="20"/>
                <w:color w:val="auto"/>
              </w:rPr>
            </w:pPr>
            <w:r>
              <w:rPr>
                <w:rFonts w:ascii="Arial" w:cs="Arial" w:eastAsia="Arial" w:hAnsi="Arial"/>
                <w:sz w:val="16"/>
                <w:szCs w:val="16"/>
                <w:color w:val="auto"/>
              </w:rPr>
              <w:t>•</w:t>
            </w:r>
          </w:p>
        </w:tc>
        <w:tc>
          <w:tcPr>
            <w:tcW w:w="8580" w:type="dxa"/>
            <w:vAlign w:val="bottom"/>
          </w:tcPr>
          <w:p>
            <w:pPr>
              <w:ind w:left="60"/>
              <w:spacing w:after="0" w:line="174" w:lineRule="exact"/>
              <w:rPr>
                <w:sz w:val="20"/>
                <w:szCs w:val="20"/>
                <w:color w:val="auto"/>
              </w:rPr>
            </w:pPr>
            <w:r>
              <w:rPr>
                <w:rFonts w:ascii="Arial" w:cs="Arial" w:eastAsia="Arial" w:hAnsi="Arial"/>
                <w:sz w:val="16"/>
                <w:szCs w:val="16"/>
                <w:color w:val="auto"/>
              </w:rPr>
              <w:t>Increased the threshold level of performance payout from 40% to 50% of target to drive performance and align with</w:t>
            </w:r>
          </w:p>
        </w:tc>
      </w:tr>
      <w:tr>
        <w:trPr>
          <w:trHeight w:val="211"/>
        </w:trPr>
        <w:tc>
          <w:tcPr>
            <w:tcW w:w="2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580" w:type="dxa"/>
            <w:vAlign w:val="bottom"/>
          </w:tcPr>
          <w:p>
            <w:pPr>
              <w:ind w:left="60"/>
              <w:spacing w:after="0"/>
              <w:rPr>
                <w:sz w:val="20"/>
                <w:szCs w:val="20"/>
                <w:color w:val="auto"/>
              </w:rPr>
            </w:pPr>
            <w:r>
              <w:rPr>
                <w:rFonts w:ascii="Arial" w:cs="Arial" w:eastAsia="Arial" w:hAnsi="Arial"/>
                <w:sz w:val="16"/>
                <w:szCs w:val="16"/>
                <w:color w:val="auto"/>
              </w:rPr>
              <w:t>market practices.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type w:val="continuous"/>
        </w:sectPr>
      </w:pPr>
    </w:p>
    <w:bookmarkStart w:id="42" w:name="page43"/>
    <w:bookmarkEnd w:id="42"/>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Executive Summary: Fiscal 2025 Compensation Actions and Outcomes</w:t>
      </w:r>
    </w:p>
    <w:p>
      <w:pPr>
        <w:spacing w:after="0" w:line="84"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color w:val="auto"/>
        </w:rPr>
        <w:t>One of our key executive compensation objectives is to link pay to performance by aligning the financial interests of our executive officers, including our NEOs, with those of our stockholders and by emphasizing pay for performance in our compensation programs. Fiscal</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2025 incentive plan outcomes based on our performance and other fiscal 2025 compensation-related actions, including the results from last year's say-on-pay proposal,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7117080" cy="161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17080" cy="1612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Pay Element</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Annual Cash Incentive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Fiscal 2025 Actions and Outcomes</w:t>
      </w:r>
    </w:p>
    <w:p>
      <w:pPr>
        <w:spacing w:after="0" w:line="65" w:lineRule="exact"/>
        <w:rPr>
          <w:sz w:val="20"/>
          <w:szCs w:val="20"/>
          <w:color w:val="auto"/>
        </w:rPr>
      </w:pPr>
    </w:p>
    <w:p>
      <w:pPr>
        <w:ind w:left="160" w:right="440" w:hanging="154"/>
        <w:spacing w:after="0" w:line="244" w:lineRule="auto"/>
        <w:tabs>
          <w:tab w:leader="none" w:pos="149"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Target annual cash incentive opportunities were set at 130% of annual base salary for our Chairman and CEO and between 65% and 70% for our other NEOs.</w:t>
      </w:r>
    </w:p>
    <w:p>
      <w:pPr>
        <w:spacing w:after="0" w:line="1" w:lineRule="exact"/>
        <w:rPr>
          <w:rFonts w:ascii="Times New Roman" w:cs="Times New Roman" w:eastAsia="Times New Roman" w:hAnsi="Times New Roman"/>
          <w:sz w:val="16"/>
          <w:szCs w:val="16"/>
          <w:color w:val="auto"/>
        </w:rPr>
      </w:pPr>
    </w:p>
    <w:p>
      <w:pPr>
        <w:ind w:left="160" w:right="180" w:hanging="154"/>
        <w:spacing w:after="0" w:line="243" w:lineRule="auto"/>
        <w:tabs>
          <w:tab w:leader="none" w:pos="149" w:val="left"/>
        </w:tabs>
        <w:numPr>
          <w:ilvl w:val="0"/>
          <w:numId w:val="52"/>
        </w:numPr>
        <w:rPr>
          <w:rFonts w:ascii="Arial" w:cs="Arial" w:eastAsia="Arial" w:hAnsi="Arial"/>
          <w:sz w:val="16"/>
          <w:szCs w:val="16"/>
          <w:color w:val="auto"/>
        </w:rPr>
      </w:pPr>
      <w:r>
        <w:rPr>
          <w:rFonts w:ascii="Arial" w:cs="Arial" w:eastAsia="Arial" w:hAnsi="Arial"/>
          <w:sz w:val="16"/>
          <w:szCs w:val="16"/>
          <w:color w:val="auto"/>
        </w:rPr>
        <w:t>Actual payouts can vary from 0% if threshold levels of performance are not met to 200% of target if maximum levels of performance are met or exceeded.</w:t>
      </w:r>
    </w:p>
    <w:p>
      <w:pPr>
        <w:spacing w:after="0" w:line="1" w:lineRule="exact"/>
        <w:rPr>
          <w:rFonts w:ascii="Arial" w:cs="Arial" w:eastAsia="Arial" w:hAnsi="Arial"/>
          <w:sz w:val="16"/>
          <w:szCs w:val="16"/>
          <w:color w:val="auto"/>
        </w:rPr>
      </w:pPr>
    </w:p>
    <w:p>
      <w:pPr>
        <w:jc w:val="both"/>
        <w:ind w:left="160" w:right="700" w:hanging="154"/>
        <w:spacing w:after="0" w:line="242" w:lineRule="auto"/>
        <w:tabs>
          <w:tab w:leader="none" w:pos="149"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Corporate performance measures, weightings and goals were established for all NEOs and group performance measures, weightings and goals were established for our three NEOs with group responsibilities. Performance measures and weightings were as follows:</w:t>
      </w:r>
    </w:p>
    <w:p>
      <w:pPr>
        <w:spacing w:after="0" w:line="200" w:lineRule="exact"/>
        <w:rPr>
          <w:sz w:val="20"/>
          <w:szCs w:val="20"/>
          <w:color w:val="auto"/>
        </w:rPr>
      </w:pPr>
    </w:p>
    <w:p>
      <w:pPr>
        <w:sectPr>
          <w:pgSz w:w="11900" w:h="16838" w:orient="portrait"/>
          <w:cols w:equalWidth="0" w:num="2">
            <w:col w:w="1820" w:space="720"/>
            <w:col w:w="8700"/>
          </w:cols>
          <w:pgMar w:left="320" w:top="1440" w:right="339" w:bottom="1440" w:gutter="0" w:footer="0" w:header="0"/>
          <w:type w:val="continuous"/>
        </w:sectPr>
      </w:pPr>
    </w:p>
    <w:p>
      <w:pPr>
        <w:spacing w:after="0" w:line="55" w:lineRule="exact"/>
        <w:rPr>
          <w:sz w:val="20"/>
          <w:szCs w:val="20"/>
          <w:color w:val="auto"/>
        </w:rPr>
      </w:pPr>
    </w:p>
    <w:p>
      <w:pPr>
        <w:ind w:left="2260"/>
        <w:spacing w:after="0"/>
        <w:rPr>
          <w:sz w:val="20"/>
          <w:szCs w:val="20"/>
          <w:color w:val="auto"/>
        </w:rPr>
      </w:pPr>
      <w:r>
        <w:rPr>
          <w:rFonts w:ascii="Arial" w:cs="Arial" w:eastAsia="Arial" w:hAnsi="Arial"/>
          <w:sz w:val="16"/>
          <w:szCs w:val="16"/>
          <w:b w:val="1"/>
          <w:bCs w:val="1"/>
          <w:color w:val="FFFFFF"/>
        </w:rPr>
        <w:t>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-115570</wp:posOffset>
            </wp:positionV>
            <wp:extent cx="3126105" cy="152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126105" cy="152400"/>
                    </a:xfrm>
                    <a:prstGeom prst="rect">
                      <a:avLst/>
                    </a:prstGeom>
                    <a:noFill/>
                  </pic:spPr>
                </pic:pic>
              </a:graphicData>
            </a:graphic>
          </wp:anchor>
        </w:drawing>
      </w:r>
    </w:p>
    <w:p>
      <w:pPr>
        <w:spacing w:after="0" w:line="36" w:lineRule="exact"/>
        <w:rPr>
          <w:sz w:val="20"/>
          <w:szCs w:val="20"/>
          <w:color w:val="auto"/>
        </w:rPr>
      </w:pPr>
    </w:p>
    <w:p>
      <w:pPr>
        <w:ind w:left="2260"/>
        <w:spacing w:after="0" w:line="249" w:lineRule="auto"/>
        <w:rPr>
          <w:sz w:val="20"/>
          <w:szCs w:val="20"/>
          <w:color w:val="auto"/>
        </w:rPr>
      </w:pPr>
      <w:r>
        <w:rPr>
          <w:rFonts w:ascii="Arial" w:cs="Arial" w:eastAsia="Arial" w:hAnsi="Arial"/>
          <w:sz w:val="16"/>
          <w:szCs w:val="16"/>
          <w:color w:val="auto"/>
        </w:rPr>
        <w:t>Profitability (adjusted diluted EPS* for the corporate performance measure and controllable profit contribution* for the group performance measure)</w:t>
      </w:r>
    </w:p>
    <w:p>
      <w:pPr>
        <w:spacing w:after="0" w:line="24"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Revenue growth (both corporate and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-115570</wp:posOffset>
            </wp:positionV>
            <wp:extent cx="3126105" cy="262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126105" cy="262890"/>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6"/>
          <w:szCs w:val="16"/>
          <w:color w:val="auto"/>
        </w:rPr>
        <w:t>performance measure)</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Weighting</w:t>
      </w:r>
    </w:p>
    <w:p>
      <w:pPr>
        <w:spacing w:after="0" w:line="33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60%</w:t>
      </w: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40%</w:t>
      </w:r>
    </w:p>
    <w:p>
      <w:pPr>
        <w:spacing w:after="0" w:line="149" w:lineRule="exact"/>
        <w:rPr>
          <w:sz w:val="20"/>
          <w:szCs w:val="20"/>
          <w:color w:val="auto"/>
        </w:rPr>
      </w:pPr>
    </w:p>
    <w:p>
      <w:pPr>
        <w:sectPr>
          <w:pgSz w:w="11900" w:h="16838" w:orient="portrait"/>
          <w:cols w:equalWidth="0" w:num="2">
            <w:col w:w="5720" w:space="420"/>
            <w:col w:w="5100"/>
          </w:cols>
          <w:pgMar w:left="320" w:top="1440" w:right="339" w:bottom="1440" w:gutter="0" w:footer="0" w:header="0"/>
          <w:type w:val="continuous"/>
        </w:sectPr>
      </w:pPr>
    </w:p>
    <w:p>
      <w:pPr>
        <w:ind w:left="2180" w:right="2260" w:hanging="159"/>
        <w:spacing w:after="0" w:line="269" w:lineRule="auto"/>
        <w:rPr>
          <w:sz w:val="20"/>
          <w:szCs w:val="20"/>
          <w:color w:val="auto"/>
        </w:rPr>
      </w:pPr>
      <w:r>
        <w:rPr>
          <w:rFonts w:ascii="Arial" w:cs="Arial" w:eastAsia="Arial" w:hAnsi="Arial"/>
          <w:sz w:val="16"/>
          <w:szCs w:val="16"/>
          <w:color w:val="auto"/>
        </w:rPr>
        <w:t>• Fiscal 2025 corporate performance was between threshold and target for both goals, resulting in a corporate payout percentage of 81.6% of target.</w:t>
      </w:r>
    </w:p>
    <w:p>
      <w:pPr>
        <w:spacing w:after="0" w:line="1"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 Fiscal 2025 group performance:</w:t>
      </w:r>
    </w:p>
    <w:p>
      <w:pPr>
        <w:spacing w:after="0" w:line="19" w:lineRule="exact"/>
        <w:rPr>
          <w:sz w:val="20"/>
          <w:szCs w:val="20"/>
          <w:color w:val="auto"/>
        </w:rPr>
      </w:pPr>
    </w:p>
    <w:p>
      <w:pPr>
        <w:ind w:left="2820" w:right="2700" w:hanging="159"/>
        <w:spacing w:after="0" w:line="234" w:lineRule="auto"/>
        <w:rPr>
          <w:sz w:val="20"/>
          <w:szCs w:val="20"/>
          <w:color w:val="auto"/>
        </w:rPr>
      </w:pPr>
      <w:r>
        <w:rPr>
          <w:rFonts w:ascii="Arial" w:cs="Arial" w:eastAsia="Arial" w:hAnsi="Arial"/>
          <w:sz w:val="16"/>
          <w:szCs w:val="16"/>
          <w:color w:val="auto"/>
        </w:rPr>
        <w:t>◦ Golf, Grounds and Irrigation: performance for both goals was between target and maximum, resulting in a payout percentage of 140.6% of target.</w:t>
      </w:r>
    </w:p>
    <w:p>
      <w:pPr>
        <w:spacing w:after="0" w:line="1" w:lineRule="exact"/>
        <w:rPr>
          <w:sz w:val="20"/>
          <w:szCs w:val="20"/>
          <w:color w:val="auto"/>
        </w:rPr>
      </w:pPr>
    </w:p>
    <w:p>
      <w:pPr>
        <w:ind w:left="2820" w:right="2560" w:hanging="159"/>
        <w:spacing w:after="0" w:line="234" w:lineRule="auto"/>
        <w:rPr>
          <w:sz w:val="20"/>
          <w:szCs w:val="20"/>
          <w:color w:val="auto"/>
        </w:rPr>
      </w:pPr>
      <w:r>
        <w:rPr>
          <w:rFonts w:ascii="Arial" w:cs="Arial" w:eastAsia="Arial" w:hAnsi="Arial"/>
          <w:sz w:val="16"/>
          <w:szCs w:val="16"/>
          <w:color w:val="auto"/>
        </w:rPr>
        <w:t>◦ Underground and Specialty Construction: performance for both goals was between target and maximum, resulting in a payout percentage of 136.8% of target.</w:t>
      </w:r>
    </w:p>
    <w:p>
      <w:pPr>
        <w:spacing w:after="0" w:line="1" w:lineRule="exact"/>
        <w:rPr>
          <w:sz w:val="20"/>
          <w:szCs w:val="20"/>
          <w:color w:val="auto"/>
        </w:rPr>
      </w:pPr>
    </w:p>
    <w:p>
      <w:pPr>
        <w:ind w:left="2820" w:right="2260" w:hanging="159"/>
        <w:spacing w:after="0" w:line="257" w:lineRule="auto"/>
        <w:rPr>
          <w:sz w:val="20"/>
          <w:szCs w:val="20"/>
          <w:color w:val="auto"/>
        </w:rPr>
      </w:pPr>
      <w:r>
        <w:rPr>
          <w:rFonts w:ascii="Arial" w:cs="Arial" w:eastAsia="Arial" w:hAnsi="Arial"/>
          <w:sz w:val="16"/>
          <w:szCs w:val="16"/>
          <w:color w:val="auto"/>
        </w:rPr>
        <w:t>◦ Landscapes and Contractor: performance for both goals was below threshold, resulting in a payout percentage of 0% of target.</w:t>
      </w:r>
    </w:p>
    <w:p>
      <w:pPr>
        <w:spacing w:after="0" w:line="22" w:lineRule="exact"/>
        <w:rPr>
          <w:sz w:val="20"/>
          <w:szCs w:val="20"/>
          <w:color w:val="auto"/>
        </w:rPr>
      </w:pPr>
    </w:p>
    <w:p>
      <w:pPr>
        <w:ind w:left="2060"/>
        <w:spacing w:after="0"/>
        <w:rPr>
          <w:sz w:val="20"/>
          <w:szCs w:val="20"/>
          <w:color w:val="auto"/>
        </w:rPr>
      </w:pPr>
      <w:r>
        <w:rPr>
          <w:rFonts w:ascii="Arial" w:cs="Arial" w:eastAsia="Arial" w:hAnsi="Arial"/>
          <w:sz w:val="14"/>
          <w:szCs w:val="14"/>
          <w:color w:val="auto"/>
        </w:rPr>
        <w:t>* Non-GAAP financial measure. A reconciliation of this non-GAAP measure to its most comparable GAAP</w:t>
      </w:r>
    </w:p>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780" w:type="dxa"/>
            <w:vAlign w:val="bottom"/>
          </w:tcPr>
          <w:p>
            <w:pPr>
              <w:spacing w:after="0"/>
              <w:rPr>
                <w:sz w:val="16"/>
                <w:szCs w:val="16"/>
                <w:color w:val="auto"/>
              </w:rPr>
            </w:pPr>
          </w:p>
        </w:tc>
        <w:tc>
          <w:tcPr>
            <w:tcW w:w="3660" w:type="dxa"/>
            <w:vAlign w:val="bottom"/>
            <w:gridSpan w:val="3"/>
          </w:tcPr>
          <w:p>
            <w:pPr>
              <w:ind w:left="220"/>
              <w:spacing w:after="0"/>
              <w:rPr>
                <w:sz w:val="20"/>
                <w:szCs w:val="20"/>
                <w:color w:val="auto"/>
              </w:rPr>
            </w:pPr>
            <w:r>
              <w:rPr>
                <w:rFonts w:ascii="Arial" w:cs="Arial" w:eastAsia="Arial" w:hAnsi="Arial"/>
                <w:sz w:val="14"/>
                <w:szCs w:val="14"/>
                <w:color w:val="auto"/>
              </w:rPr>
              <w:t>measures can be found in Appendix A hereto.</w:t>
            </w:r>
          </w:p>
        </w:tc>
        <w:tc>
          <w:tcPr>
            <w:tcW w:w="15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780" w:type="dxa"/>
            <w:vAlign w:val="bottom"/>
          </w:tcPr>
          <w:p>
            <w:pPr>
              <w:spacing w:after="0"/>
              <w:rPr>
                <w:sz w:val="20"/>
                <w:szCs w:val="20"/>
                <w:color w:val="auto"/>
              </w:rPr>
            </w:pPr>
            <w:r>
              <w:rPr>
                <w:rFonts w:ascii="Arial" w:cs="Arial" w:eastAsia="Arial" w:hAnsi="Arial"/>
                <w:sz w:val="16"/>
                <w:szCs w:val="16"/>
                <w:i w:val="1"/>
                <w:iCs w:val="1"/>
                <w:color w:val="auto"/>
              </w:rPr>
              <w:t>Long-Term Incentives</w:t>
            </w:r>
          </w:p>
        </w:tc>
        <w:tc>
          <w:tcPr>
            <w:tcW w:w="360" w:type="dxa"/>
            <w:vAlign w:val="bottom"/>
          </w:tcPr>
          <w:p>
            <w:pPr>
              <w:spacing w:after="0"/>
              <w:rPr>
                <w:sz w:val="24"/>
                <w:szCs w:val="24"/>
                <w:color w:val="auto"/>
              </w:rPr>
            </w:pPr>
          </w:p>
        </w:tc>
        <w:tc>
          <w:tcPr>
            <w:tcW w:w="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8260" w:type="dxa"/>
            <w:vAlign w:val="bottom"/>
            <w:gridSpan w:val="3"/>
          </w:tcPr>
          <w:p>
            <w:pPr>
              <w:ind w:left="60"/>
              <w:spacing w:after="0"/>
              <w:rPr>
                <w:sz w:val="20"/>
                <w:szCs w:val="20"/>
                <w:color w:val="auto"/>
              </w:rPr>
            </w:pPr>
            <w:r>
              <w:rPr>
                <w:rFonts w:ascii="Arial" w:cs="Arial" w:eastAsia="Arial" w:hAnsi="Arial"/>
                <w:sz w:val="16"/>
                <w:szCs w:val="16"/>
                <w:color w:val="auto"/>
                <w:w w:val="99"/>
              </w:rPr>
              <w:t>Target long-term incentive opportunities were set for each NEO; 60% of the target value was delivered in the form of</w:t>
            </w:r>
          </w:p>
        </w:tc>
        <w:tc>
          <w:tcPr>
            <w:tcW w:w="0" w:type="dxa"/>
            <w:vAlign w:val="bottom"/>
          </w:tcPr>
          <w:p>
            <w:pPr>
              <w:spacing w:after="0"/>
              <w:rPr>
                <w:sz w:val="1"/>
                <w:szCs w:val="1"/>
                <w:color w:val="auto"/>
              </w:rPr>
            </w:pPr>
          </w:p>
        </w:tc>
      </w:tr>
      <w:tr>
        <w:trPr>
          <w:trHeight w:val="200"/>
        </w:trPr>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60" w:type="dxa"/>
            <w:vAlign w:val="bottom"/>
            <w:gridSpan w:val="3"/>
          </w:tcPr>
          <w:p>
            <w:pPr>
              <w:ind w:left="60"/>
              <w:spacing w:after="0"/>
              <w:rPr>
                <w:sz w:val="20"/>
                <w:szCs w:val="20"/>
                <w:color w:val="auto"/>
              </w:rPr>
            </w:pPr>
            <w:r>
              <w:rPr>
                <w:rFonts w:ascii="Arial" w:cs="Arial" w:eastAsia="Arial" w:hAnsi="Arial"/>
                <w:sz w:val="16"/>
                <w:szCs w:val="16"/>
                <w:color w:val="auto"/>
              </w:rPr>
              <w:t>performance shares and 40% in the form of stock options.</w:t>
            </w: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ind w:left="340"/>
              <w:spacing w:after="0" w:line="174" w:lineRule="exact"/>
              <w:rPr>
                <w:sz w:val="20"/>
                <w:szCs w:val="20"/>
                <w:color w:val="auto"/>
              </w:rPr>
            </w:pPr>
            <w:r>
              <w:rPr>
                <w:rFonts w:ascii="Arial" w:cs="Arial" w:eastAsia="Arial" w:hAnsi="Arial"/>
                <w:sz w:val="16"/>
                <w:szCs w:val="16"/>
                <w:color w:val="auto"/>
              </w:rPr>
              <w:t>•</w:t>
            </w:r>
          </w:p>
        </w:tc>
        <w:tc>
          <w:tcPr>
            <w:tcW w:w="8260" w:type="dxa"/>
            <w:vAlign w:val="bottom"/>
            <w:gridSpan w:val="3"/>
          </w:tcPr>
          <w:p>
            <w:pPr>
              <w:ind w:left="60"/>
              <w:spacing w:after="0" w:line="174" w:lineRule="exact"/>
              <w:rPr>
                <w:sz w:val="20"/>
                <w:szCs w:val="20"/>
                <w:color w:val="auto"/>
              </w:rPr>
            </w:pPr>
            <w:r>
              <w:rPr>
                <w:rFonts w:ascii="Arial" w:cs="Arial" w:eastAsia="Arial" w:hAnsi="Arial"/>
                <w:sz w:val="16"/>
                <w:szCs w:val="16"/>
                <w:color w:val="auto"/>
              </w:rPr>
              <w:t>The three-year cumulative performance measures for the fiscal 2025 - 2027 performance share awards were set as</w:t>
            </w:r>
          </w:p>
        </w:tc>
        <w:tc>
          <w:tcPr>
            <w:tcW w:w="0" w:type="dxa"/>
            <w:vAlign w:val="bottom"/>
          </w:tcPr>
          <w:p>
            <w:pPr>
              <w:spacing w:after="0"/>
              <w:rPr>
                <w:sz w:val="1"/>
                <w:szCs w:val="1"/>
                <w:color w:val="auto"/>
              </w:rPr>
            </w:pPr>
          </w:p>
        </w:tc>
      </w:tr>
      <w:tr>
        <w:trPr>
          <w:trHeight w:val="211"/>
        </w:trPr>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60" w:type="dxa"/>
            <w:vAlign w:val="bottom"/>
          </w:tcPr>
          <w:p>
            <w:pPr>
              <w:ind w:left="60"/>
              <w:spacing w:after="0"/>
              <w:rPr>
                <w:sz w:val="20"/>
                <w:szCs w:val="20"/>
                <w:color w:val="auto"/>
              </w:rPr>
            </w:pPr>
            <w:r>
              <w:rPr>
                <w:rFonts w:ascii="Arial" w:cs="Arial" w:eastAsia="Arial" w:hAnsi="Arial"/>
                <w:sz w:val="16"/>
                <w:szCs w:val="16"/>
                <w:color w:val="auto"/>
              </w:rPr>
              <w:t>follows:</w:t>
            </w:r>
          </w:p>
        </w:tc>
        <w:tc>
          <w:tcPr>
            <w:tcW w:w="15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30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384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1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00" w:type="dxa"/>
            <w:vAlign w:val="bottom"/>
            <w:gridSpan w:val="2"/>
            <w:shd w:val="clear" w:color="auto" w:fill="BF2115"/>
          </w:tcPr>
          <w:p>
            <w:pPr>
              <w:ind w:left="20"/>
              <w:spacing w:after="0"/>
              <w:rPr>
                <w:sz w:val="20"/>
                <w:szCs w:val="20"/>
                <w:color w:val="auto"/>
              </w:rPr>
            </w:pPr>
            <w:r>
              <w:rPr>
                <w:rFonts w:ascii="Arial" w:cs="Arial" w:eastAsia="Arial" w:hAnsi="Arial"/>
                <w:sz w:val="16"/>
                <w:szCs w:val="16"/>
                <w:b w:val="1"/>
                <w:bCs w:val="1"/>
                <w:color w:val="FFFFFF"/>
              </w:rPr>
              <w:t>Performance Measures</w:t>
            </w:r>
          </w:p>
        </w:tc>
        <w:tc>
          <w:tcPr>
            <w:tcW w:w="1560" w:type="dxa"/>
            <w:vAlign w:val="bottom"/>
            <w:shd w:val="clear" w:color="auto" w:fill="BF2115"/>
          </w:tcPr>
          <w:p>
            <w:pPr>
              <w:jc w:val="center"/>
              <w:ind w:left="220"/>
              <w:spacing w:after="0"/>
              <w:rPr>
                <w:sz w:val="20"/>
                <w:szCs w:val="20"/>
                <w:color w:val="auto"/>
              </w:rPr>
            </w:pPr>
            <w:r>
              <w:rPr>
                <w:rFonts w:ascii="Arial" w:cs="Arial" w:eastAsia="Arial" w:hAnsi="Arial"/>
                <w:sz w:val="16"/>
                <w:szCs w:val="16"/>
                <w:b w:val="1"/>
                <w:bCs w:val="1"/>
                <w:color w:val="FFFFFF"/>
              </w:rPr>
              <w:t>Weighting</w:t>
            </w:r>
          </w:p>
        </w:tc>
        <w:tc>
          <w:tcPr>
            <w:tcW w:w="3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gridSpan w:val="2"/>
          </w:tcPr>
          <w:p>
            <w:pPr>
              <w:ind w:left="20"/>
              <w:spacing w:after="0"/>
              <w:rPr>
                <w:sz w:val="20"/>
                <w:szCs w:val="20"/>
                <w:color w:val="auto"/>
              </w:rPr>
            </w:pPr>
            <w:r>
              <w:rPr>
                <w:rFonts w:ascii="Arial" w:cs="Arial" w:eastAsia="Arial" w:hAnsi="Arial"/>
                <w:sz w:val="16"/>
                <w:szCs w:val="16"/>
                <w:color w:val="auto"/>
              </w:rPr>
              <w:t>Return on invested capital</w:t>
            </w:r>
          </w:p>
        </w:tc>
        <w:tc>
          <w:tcPr>
            <w:tcW w:w="1560" w:type="dxa"/>
            <w:vAlign w:val="bottom"/>
          </w:tcPr>
          <w:p>
            <w:pPr>
              <w:jc w:val="center"/>
              <w:ind w:left="200"/>
              <w:spacing w:after="0"/>
              <w:rPr>
                <w:sz w:val="20"/>
                <w:szCs w:val="20"/>
                <w:color w:val="auto"/>
              </w:rPr>
            </w:pPr>
            <w:r>
              <w:rPr>
                <w:rFonts w:ascii="Arial" w:cs="Arial" w:eastAsia="Arial" w:hAnsi="Arial"/>
                <w:sz w:val="16"/>
                <w:szCs w:val="16"/>
                <w:color w:val="auto"/>
                <w:w w:val="99"/>
              </w:rPr>
              <w:t>60%</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30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Corporate revenue</w:t>
            </w:r>
          </w:p>
        </w:tc>
        <w:tc>
          <w:tcPr>
            <w:tcW w:w="1560" w:type="dxa"/>
            <w:vAlign w:val="bottom"/>
            <w:shd w:val="clear" w:color="auto" w:fill="DBDBDB"/>
          </w:tcPr>
          <w:p>
            <w:pPr>
              <w:jc w:val="center"/>
              <w:ind w:left="200"/>
              <w:spacing w:after="0"/>
              <w:rPr>
                <w:sz w:val="20"/>
                <w:szCs w:val="20"/>
                <w:color w:val="auto"/>
              </w:rPr>
            </w:pPr>
            <w:r>
              <w:rPr>
                <w:rFonts w:ascii="Arial" w:cs="Arial" w:eastAsia="Arial" w:hAnsi="Arial"/>
                <w:sz w:val="16"/>
                <w:szCs w:val="16"/>
                <w:color w:val="auto"/>
                <w:w w:val="99"/>
              </w:rPr>
              <w:t>40%</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shd w:val="clear" w:color="auto" w:fill="DBDBDB"/>
          </w:tcPr>
          <w:p>
            <w:pPr>
              <w:spacing w:after="0"/>
              <w:rPr>
                <w:sz w:val="2"/>
                <w:szCs w:val="2"/>
                <w:color w:val="auto"/>
              </w:rPr>
            </w:pPr>
          </w:p>
        </w:tc>
        <w:tc>
          <w:tcPr>
            <w:tcW w:w="2860" w:type="dxa"/>
            <w:vAlign w:val="bottom"/>
            <w:shd w:val="clear" w:color="auto" w:fill="DBDBDB"/>
          </w:tcPr>
          <w:p>
            <w:pPr>
              <w:spacing w:after="0"/>
              <w:rPr>
                <w:sz w:val="2"/>
                <w:szCs w:val="2"/>
                <w:color w:val="auto"/>
              </w:rPr>
            </w:pPr>
          </w:p>
        </w:tc>
        <w:tc>
          <w:tcPr>
            <w:tcW w:w="1560" w:type="dxa"/>
            <w:vAlign w:val="bottom"/>
            <w:shd w:val="clear" w:color="auto" w:fill="DBDBDB"/>
          </w:tcPr>
          <w:p>
            <w:pPr>
              <w:spacing w:after="0"/>
              <w:rPr>
                <w:sz w:val="2"/>
                <w:szCs w:val="2"/>
                <w:color w:val="auto"/>
              </w:rPr>
            </w:pPr>
          </w:p>
        </w:tc>
        <w:tc>
          <w:tcPr>
            <w:tcW w:w="3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2700" w:hanging="154"/>
        <w:spacing w:after="0"/>
        <w:tabs>
          <w:tab w:leader="none" w:pos="270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The stock options vest in equal annual installments over three years.</w:t>
      </w:r>
    </w:p>
    <w:p>
      <w:pPr>
        <w:spacing w:after="0" w:line="26" w:lineRule="exact"/>
        <w:rPr>
          <w:rFonts w:ascii="Times New Roman" w:cs="Times New Roman" w:eastAsia="Times New Roman" w:hAnsi="Times New Roman"/>
          <w:sz w:val="16"/>
          <w:szCs w:val="16"/>
          <w:color w:val="auto"/>
        </w:rPr>
      </w:pPr>
    </w:p>
    <w:p>
      <w:pPr>
        <w:ind w:left="2700" w:right="320" w:hanging="154"/>
        <w:spacing w:after="0" w:line="247" w:lineRule="auto"/>
        <w:tabs>
          <w:tab w:leader="none" w:pos="2689" w:val="left"/>
        </w:tabs>
        <w:numPr>
          <w:ilvl w:val="0"/>
          <w:numId w:val="53"/>
        </w:numPr>
        <w:rPr>
          <w:rFonts w:ascii="Arial" w:cs="Arial" w:eastAsia="Arial" w:hAnsi="Arial"/>
          <w:sz w:val="16"/>
          <w:szCs w:val="16"/>
          <w:color w:val="auto"/>
        </w:rPr>
      </w:pPr>
      <w:r>
        <w:rPr>
          <w:rFonts w:ascii="Arial" w:cs="Arial" w:eastAsia="Arial" w:hAnsi="Arial"/>
          <w:sz w:val="16"/>
          <w:szCs w:val="16"/>
          <w:color w:val="auto"/>
        </w:rPr>
        <w:t>Our NEOs received a fiscal 2023-2025 performance share award payout of 22.2% of target based on achievement of the following three-year cumulative performance measures:</w:t>
      </w:r>
    </w:p>
    <w:p>
      <w:pPr>
        <w:spacing w:after="0" w:line="265" w:lineRule="exact"/>
        <w:rPr>
          <w:sz w:val="20"/>
          <w:szCs w:val="20"/>
          <w:color w:val="auto"/>
        </w:rPr>
      </w:pPr>
    </w:p>
    <w:tbl>
      <w:tblPr>
        <w:tblLayout w:type="fixed"/>
        <w:tblInd w:w="2160" w:type="dxa"/>
        <w:tblCellMar>
          <w:top w:w="0" w:type="dxa"/>
          <w:left w:w="0" w:type="dxa"/>
          <w:bottom w:w="0" w:type="dxa"/>
          <w:right w:w="0" w:type="dxa"/>
        </w:tblCellMar>
      </w:tblPr>
      <w:tr>
        <w:trPr>
          <w:trHeight w:val="240"/>
        </w:trPr>
        <w:tc>
          <w:tcPr>
            <w:tcW w:w="3500" w:type="dxa"/>
            <w:vAlign w:val="bottom"/>
            <w:shd w:val="clear" w:color="auto" w:fill="BF2115"/>
          </w:tcPr>
          <w:p>
            <w:pPr>
              <w:ind w:left="20"/>
              <w:spacing w:after="0"/>
              <w:rPr>
                <w:sz w:val="20"/>
                <w:szCs w:val="20"/>
                <w:color w:val="auto"/>
              </w:rPr>
            </w:pPr>
            <w:r>
              <w:rPr>
                <w:rFonts w:ascii="Arial" w:cs="Arial" w:eastAsia="Arial" w:hAnsi="Arial"/>
                <w:sz w:val="16"/>
                <w:szCs w:val="16"/>
                <w:b w:val="1"/>
                <w:bCs w:val="1"/>
                <w:color w:val="FFFFFF"/>
              </w:rPr>
              <w:t>Performance Measures</w:t>
            </w:r>
          </w:p>
        </w:tc>
        <w:tc>
          <w:tcPr>
            <w:tcW w:w="12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Weighting</w:t>
            </w:r>
          </w:p>
        </w:tc>
      </w:tr>
      <w:tr>
        <w:trPr>
          <w:trHeight w:val="211"/>
        </w:trPr>
        <w:tc>
          <w:tcPr>
            <w:tcW w:w="3500" w:type="dxa"/>
            <w:vAlign w:val="bottom"/>
          </w:tcPr>
          <w:p>
            <w:pPr>
              <w:ind w:left="20"/>
              <w:spacing w:after="0"/>
              <w:rPr>
                <w:sz w:val="20"/>
                <w:szCs w:val="20"/>
                <w:color w:val="auto"/>
              </w:rPr>
            </w:pPr>
            <w:r>
              <w:rPr>
                <w:rFonts w:ascii="Arial" w:cs="Arial" w:eastAsia="Arial" w:hAnsi="Arial"/>
                <w:sz w:val="16"/>
                <w:szCs w:val="16"/>
                <w:color w:val="auto"/>
              </w:rPr>
              <w:t>Cumulative net income, plus after-tax interest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50%</w:t>
            </w:r>
          </w:p>
        </w:tc>
      </w:tr>
      <w:tr>
        <w:trPr>
          <w:trHeight w:val="29"/>
        </w:trPr>
        <w:tc>
          <w:tcPr>
            <w:tcW w:w="35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0"/>
        </w:trPr>
        <w:tc>
          <w:tcPr>
            <w:tcW w:w="3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Cumulative revenue</w:t>
            </w:r>
          </w:p>
        </w:tc>
        <w:tc>
          <w:tcPr>
            <w:tcW w:w="12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w w:val="99"/>
              </w:rPr>
              <w:t>25%</w:t>
            </w:r>
          </w:p>
        </w:tc>
      </w:tr>
      <w:tr>
        <w:trPr>
          <w:trHeight w:val="211"/>
        </w:trPr>
        <w:tc>
          <w:tcPr>
            <w:tcW w:w="3500" w:type="dxa"/>
            <w:vAlign w:val="bottom"/>
          </w:tcPr>
          <w:p>
            <w:pPr>
              <w:ind w:left="20"/>
              <w:spacing w:after="0"/>
              <w:rPr>
                <w:sz w:val="20"/>
                <w:szCs w:val="20"/>
                <w:color w:val="auto"/>
              </w:rPr>
            </w:pPr>
            <w:r>
              <w:rPr>
                <w:rFonts w:ascii="Arial" w:cs="Arial" w:eastAsia="Arial" w:hAnsi="Arial"/>
                <w:sz w:val="16"/>
                <w:szCs w:val="16"/>
                <w:color w:val="auto"/>
              </w:rPr>
              <w:t>Working capital as a percent of sales</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3" w:name="page44"/>
    <w:bookmarkEnd w:id="43"/>
    <w:p>
      <w:pPr>
        <w:ind w:left="20"/>
        <w:spacing w:after="0" w:line="276" w:lineRule="auto"/>
        <w:rPr>
          <w:sz w:val="20"/>
          <w:szCs w:val="20"/>
          <w:color w:val="auto"/>
        </w:rPr>
      </w:pPr>
      <w:r>
        <w:rPr>
          <w:rFonts w:ascii="Arial" w:cs="Arial" w:eastAsia="Arial" w:hAnsi="Arial"/>
          <w:sz w:val="16"/>
          <w:szCs w:val="16"/>
          <w:i w:val="1"/>
          <w:iCs w:val="1"/>
          <w:color w:val="auto"/>
        </w:rPr>
        <w:t>Other Compensation-Related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Say-on-Pay Vote</w:t>
      </w:r>
    </w:p>
    <w:p>
      <w:pPr>
        <w:spacing w:after="0" w:line="20" w:lineRule="exact"/>
        <w:rPr>
          <w:sz w:val="20"/>
          <w:szCs w:val="20"/>
          <w:color w:val="auto"/>
        </w:rPr>
      </w:pPr>
      <w:r>
        <w:rPr>
          <w:sz w:val="20"/>
          <w:szCs w:val="20"/>
          <w:color w:val="auto"/>
        </w:rPr>
        <w:br w:type="column"/>
      </w:r>
    </w:p>
    <w:p>
      <w:pPr>
        <w:jc w:val="both"/>
        <w:ind w:left="154" w:right="420" w:hanging="154"/>
        <w:spacing w:after="0" w:line="244" w:lineRule="auto"/>
        <w:tabs>
          <w:tab w:leader="none" w:pos="143"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Edric C. Funk was promoted to President and Chief Operating Officer, effective as of September 1, 2025, and in connection therewith, received increases in his annual base salary and annual cash incentive opportunity and a restricted stock unit award that vests in equal annual installments over three years.</w:t>
      </w:r>
    </w:p>
    <w:p>
      <w:pPr>
        <w:spacing w:after="0" w:line="1" w:lineRule="exact"/>
        <w:rPr>
          <w:rFonts w:ascii="Times New Roman" w:cs="Times New Roman" w:eastAsia="Times New Roman" w:hAnsi="Times New Roman"/>
          <w:sz w:val="16"/>
          <w:szCs w:val="16"/>
          <w:color w:val="auto"/>
        </w:rPr>
      </w:pPr>
    </w:p>
    <w:p>
      <w:pPr>
        <w:jc w:val="both"/>
        <w:ind w:left="154" w:right="420" w:hanging="154"/>
        <w:spacing w:after="0" w:line="234" w:lineRule="auto"/>
        <w:tabs>
          <w:tab w:leader="none" w:pos="143"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October 2025, Peter D. Moeller, our Group Vice President, Underground &amp; Specialty Construction + International, received an increase in his annual base salary to recognize his expanded international division responsibilities and to align with our competitive market positioning and received a restricted stock unit award that cliff vests on the third anniversary of the grant date for retention purposes.</w:t>
      </w:r>
    </w:p>
    <w:p>
      <w:pPr>
        <w:spacing w:after="0" w:line="2" w:lineRule="exact"/>
        <w:rPr>
          <w:rFonts w:ascii="Arial" w:cs="Arial" w:eastAsia="Arial" w:hAnsi="Arial"/>
          <w:sz w:val="16"/>
          <w:szCs w:val="16"/>
          <w:color w:val="auto"/>
        </w:rPr>
      </w:pPr>
    </w:p>
    <w:p>
      <w:pPr>
        <w:jc w:val="both"/>
        <w:ind w:left="154" w:right="420" w:hanging="154"/>
        <w:spacing w:after="0" w:line="242" w:lineRule="auto"/>
        <w:tabs>
          <w:tab w:leader="none" w:pos="143"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October 2025, Gregory S. Janey, our Group Vice President, Landscapes &amp; Contractor, received an increase in his annual base salary to align with our competitive market positioning and received a restricted stock unit award that cliff vests on the third anniversary of the grant date for retention purposes.</w:t>
      </w:r>
    </w:p>
    <w:p>
      <w:pPr>
        <w:spacing w:after="0" w:line="41" w:lineRule="exact"/>
        <w:rPr>
          <w:rFonts w:ascii="Arial" w:cs="Arial" w:eastAsia="Arial" w:hAnsi="Arial"/>
          <w:sz w:val="16"/>
          <w:szCs w:val="16"/>
          <w:color w:val="auto"/>
        </w:rPr>
      </w:pPr>
    </w:p>
    <w:p>
      <w:pPr>
        <w:ind w:left="154" w:right="420" w:hanging="154"/>
        <w:spacing w:after="0" w:line="277" w:lineRule="auto"/>
        <w:tabs>
          <w:tab w:leader="none" w:pos="143"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Over 92% of votes cast by our stockholders at our 2025 Annual Meeting of Stockholders were in favor of our say-on-pay proposal.</w:t>
      </w:r>
    </w:p>
    <w:p>
      <w:pPr>
        <w:spacing w:after="0" w:line="200" w:lineRule="exact"/>
        <w:rPr>
          <w:sz w:val="20"/>
          <w:szCs w:val="20"/>
          <w:color w:val="auto"/>
        </w:rPr>
      </w:pPr>
    </w:p>
    <w:p>
      <w:pPr>
        <w:sectPr>
          <w:pgSz w:w="11900" w:h="16838" w:orient="portrait"/>
          <w:cols w:equalWidth="0" w:num="2">
            <w:col w:w="2100" w:space="366"/>
            <w:col w:w="8774"/>
          </w:cols>
          <w:pgMar w:left="320" w:top="1155" w:right="339" w:bottom="1440" w:gutter="0" w:footer="0" w:header="0"/>
        </w:sectPr>
      </w:pP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Compensation Philosophy</w:t>
      </w:r>
    </w:p>
    <w:p>
      <w:pPr>
        <w:spacing w:after="0" w:line="84"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color w:val="auto"/>
        </w:rPr>
        <w:t>Our guiding compensation philosophy is to maintain an executive compensation program that allows us to attract, retain, motivate and reward highly qualified and talented executive officers who will enable us to execute on our strategic priorities, perform better than our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competitors and drive long-term stockholder value. The following core principles provide a framework for our executive compensation program:</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480" w:type="dxa"/>
            <w:vAlign w:val="bottom"/>
          </w:tcPr>
          <w:p>
            <w:pPr>
              <w:ind w:left="20"/>
              <w:spacing w:after="0"/>
              <w:rPr>
                <w:sz w:val="20"/>
                <w:szCs w:val="20"/>
                <w:color w:val="auto"/>
              </w:rPr>
            </w:pPr>
            <w:r>
              <w:rPr>
                <w:rFonts w:ascii="Arial" w:cs="Arial" w:eastAsia="Arial" w:hAnsi="Arial"/>
                <w:sz w:val="16"/>
                <w:szCs w:val="16"/>
                <w:color w:val="auto"/>
              </w:rPr>
              <w:t>Align with Stockholder Interests</w:t>
            </w:r>
          </w:p>
        </w:tc>
        <w:tc>
          <w:tcPr>
            <w:tcW w:w="380" w:type="dxa"/>
            <w:vAlign w:val="bottom"/>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tcPr>
          <w:p>
            <w:pPr>
              <w:ind w:left="20"/>
              <w:spacing w:after="0"/>
              <w:rPr>
                <w:sz w:val="20"/>
                <w:szCs w:val="20"/>
                <w:color w:val="auto"/>
              </w:rPr>
            </w:pPr>
            <w:r>
              <w:rPr>
                <w:rFonts w:ascii="Arial" w:cs="Arial" w:eastAsia="Arial" w:hAnsi="Arial"/>
                <w:sz w:val="16"/>
                <w:szCs w:val="16"/>
                <w:color w:val="auto"/>
              </w:rPr>
              <w:t>Our executive compensation program is designed to align the interests of our executive officers with stockholder</w:t>
            </w:r>
          </w:p>
        </w:tc>
        <w:tc>
          <w:tcPr>
            <w:tcW w:w="0" w:type="dxa"/>
            <w:vAlign w:val="bottom"/>
          </w:tcPr>
          <w:p>
            <w:pPr>
              <w:spacing w:after="0"/>
              <w:rPr>
                <w:sz w:val="1"/>
                <w:szCs w:val="1"/>
                <w:color w:val="auto"/>
              </w:rPr>
            </w:pPr>
          </w:p>
        </w:tc>
      </w:tr>
      <w:tr>
        <w:trPr>
          <w:trHeight w:val="211"/>
        </w:trPr>
        <w:tc>
          <w:tcPr>
            <w:tcW w:w="2480" w:type="dxa"/>
            <w:vAlign w:val="bottom"/>
          </w:tcPr>
          <w:p>
            <w:pPr>
              <w:spacing w:after="0"/>
              <w:rPr>
                <w:sz w:val="18"/>
                <w:szCs w:val="18"/>
                <w:color w:val="auto"/>
              </w:rPr>
            </w:pPr>
          </w:p>
        </w:tc>
        <w:tc>
          <w:tcPr>
            <w:tcW w:w="380" w:type="dxa"/>
            <w:vAlign w:val="bottom"/>
            <w:vMerge w:val="restart"/>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tcPr>
          <w:p>
            <w:pPr>
              <w:ind w:left="20"/>
              <w:spacing w:after="0"/>
              <w:rPr>
                <w:sz w:val="20"/>
                <w:szCs w:val="20"/>
                <w:color w:val="auto"/>
              </w:rPr>
            </w:pPr>
            <w:r>
              <w:rPr>
                <w:rFonts w:ascii="Arial" w:cs="Arial" w:eastAsia="Arial" w:hAnsi="Arial"/>
                <w:sz w:val="16"/>
                <w:szCs w:val="16"/>
                <w:color w:val="auto"/>
              </w:rPr>
              <w:t>interests</w:t>
            </w:r>
          </w:p>
        </w:tc>
        <w:tc>
          <w:tcPr>
            <w:tcW w:w="0" w:type="dxa"/>
            <w:vAlign w:val="bottom"/>
          </w:tcPr>
          <w:p>
            <w:pPr>
              <w:spacing w:after="0"/>
              <w:rPr>
                <w:sz w:val="1"/>
                <w:szCs w:val="1"/>
                <w:color w:val="auto"/>
              </w:rPr>
            </w:pPr>
          </w:p>
        </w:tc>
      </w:tr>
      <w:tr>
        <w:trPr>
          <w:trHeight w:val="189"/>
        </w:trPr>
        <w:tc>
          <w:tcPr>
            <w:tcW w:w="248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8380" w:type="dxa"/>
            <w:vAlign w:val="bottom"/>
          </w:tcPr>
          <w:p>
            <w:pPr>
              <w:ind w:left="20"/>
              <w:spacing w:after="0"/>
              <w:rPr>
                <w:sz w:val="20"/>
                <w:szCs w:val="20"/>
                <w:color w:val="auto"/>
              </w:rPr>
            </w:pPr>
            <w:r>
              <w:rPr>
                <w:rFonts w:ascii="Arial" w:cs="Arial" w:eastAsia="Arial" w:hAnsi="Arial"/>
                <w:sz w:val="16"/>
                <w:szCs w:val="16"/>
                <w:color w:val="auto"/>
              </w:rPr>
              <w:t>At least two-thirds of our executive compensation is tied to TTC performance and the market value of our common</w:t>
            </w:r>
          </w:p>
        </w:tc>
        <w:tc>
          <w:tcPr>
            <w:tcW w:w="0" w:type="dxa"/>
            <w:vAlign w:val="bottom"/>
          </w:tcPr>
          <w:p>
            <w:pPr>
              <w:spacing w:after="0"/>
              <w:rPr>
                <w:sz w:val="1"/>
                <w:szCs w:val="1"/>
                <w:color w:val="auto"/>
              </w:rPr>
            </w:pPr>
          </w:p>
        </w:tc>
      </w:tr>
      <w:tr>
        <w:trPr>
          <w:trHeight w:val="211"/>
        </w:trPr>
        <w:tc>
          <w:tcPr>
            <w:tcW w:w="2480" w:type="dxa"/>
            <w:vAlign w:val="bottom"/>
          </w:tcPr>
          <w:p>
            <w:pPr>
              <w:spacing w:after="0"/>
              <w:rPr>
                <w:sz w:val="18"/>
                <w:szCs w:val="18"/>
                <w:color w:val="auto"/>
              </w:rPr>
            </w:pPr>
          </w:p>
        </w:tc>
        <w:tc>
          <w:tcPr>
            <w:tcW w:w="380" w:type="dxa"/>
            <w:vAlign w:val="bottom"/>
            <w:vMerge w:val="restart"/>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tcPr>
          <w:p>
            <w:pPr>
              <w:ind w:left="20"/>
              <w:spacing w:after="0"/>
              <w:rPr>
                <w:sz w:val="20"/>
                <w:szCs w:val="20"/>
                <w:color w:val="auto"/>
              </w:rPr>
            </w:pPr>
            <w:r>
              <w:rPr>
                <w:rFonts w:ascii="Arial" w:cs="Arial" w:eastAsia="Arial" w:hAnsi="Arial"/>
                <w:sz w:val="16"/>
                <w:szCs w:val="16"/>
                <w:color w:val="auto"/>
              </w:rPr>
              <w:t>stock</w:t>
            </w:r>
          </w:p>
        </w:tc>
        <w:tc>
          <w:tcPr>
            <w:tcW w:w="0" w:type="dxa"/>
            <w:vAlign w:val="bottom"/>
          </w:tcPr>
          <w:p>
            <w:pPr>
              <w:spacing w:after="0"/>
              <w:rPr>
                <w:sz w:val="1"/>
                <w:szCs w:val="1"/>
                <w:color w:val="auto"/>
              </w:rPr>
            </w:pPr>
          </w:p>
        </w:tc>
      </w:tr>
      <w:tr>
        <w:trPr>
          <w:trHeight w:val="253"/>
        </w:trPr>
        <w:tc>
          <w:tcPr>
            <w:tcW w:w="2480" w:type="dxa"/>
            <w:vAlign w:val="bottom"/>
          </w:tcPr>
          <w:p>
            <w:pPr>
              <w:spacing w:after="0"/>
              <w:rPr>
                <w:sz w:val="21"/>
                <w:szCs w:val="21"/>
                <w:color w:val="auto"/>
              </w:rPr>
            </w:pPr>
          </w:p>
        </w:tc>
        <w:tc>
          <w:tcPr>
            <w:tcW w:w="380" w:type="dxa"/>
            <w:vAlign w:val="bottom"/>
            <w:vMerge w:val="continue"/>
          </w:tcPr>
          <w:p>
            <w:pPr>
              <w:spacing w:after="0"/>
              <w:rPr>
                <w:sz w:val="21"/>
                <w:szCs w:val="21"/>
                <w:color w:val="auto"/>
              </w:rPr>
            </w:pPr>
          </w:p>
        </w:tc>
        <w:tc>
          <w:tcPr>
            <w:tcW w:w="8380" w:type="dxa"/>
            <w:vAlign w:val="bottom"/>
          </w:tcPr>
          <w:p>
            <w:pPr>
              <w:ind w:left="20"/>
              <w:spacing w:after="0"/>
              <w:rPr>
                <w:sz w:val="20"/>
                <w:szCs w:val="20"/>
                <w:color w:val="auto"/>
              </w:rPr>
            </w:pPr>
            <w:r>
              <w:rPr>
                <w:rFonts w:ascii="Arial" w:cs="Arial" w:eastAsia="Arial" w:hAnsi="Arial"/>
                <w:sz w:val="16"/>
                <w:szCs w:val="16"/>
                <w:color w:val="auto"/>
              </w:rPr>
              <w:t>Our stock ownership guidelines strengthen alignment of our executive officers interests with those of our stockholders</w:t>
            </w:r>
          </w:p>
        </w:tc>
        <w:tc>
          <w:tcPr>
            <w:tcW w:w="0" w:type="dxa"/>
            <w:vAlign w:val="bottom"/>
          </w:tcPr>
          <w:p>
            <w:pPr>
              <w:spacing w:after="0"/>
              <w:rPr>
                <w:sz w:val="1"/>
                <w:szCs w:val="1"/>
                <w:color w:val="auto"/>
              </w:rPr>
            </w:pPr>
          </w:p>
        </w:tc>
      </w:tr>
      <w:tr>
        <w:trPr>
          <w:trHeight w:val="244"/>
        </w:trPr>
        <w:tc>
          <w:tcPr>
            <w:tcW w:w="2480" w:type="dxa"/>
            <w:vAlign w:val="bottom"/>
            <w:shd w:val="clear" w:color="auto" w:fill="DBDBDB"/>
          </w:tcPr>
          <w:p>
            <w:pPr>
              <w:ind w:left="20"/>
              <w:spacing w:after="0"/>
              <w:rPr>
                <w:sz w:val="20"/>
                <w:szCs w:val="20"/>
                <w:color w:val="auto"/>
              </w:rPr>
            </w:pPr>
            <w:r>
              <w:rPr>
                <w:rFonts w:ascii="Arial" w:cs="Arial" w:eastAsia="Arial" w:hAnsi="Arial"/>
                <w:sz w:val="16"/>
                <w:szCs w:val="16"/>
                <w:color w:val="auto"/>
              </w:rPr>
              <w:t>Link Pay to Performance</w:t>
            </w:r>
          </w:p>
        </w:tc>
        <w:tc>
          <w:tcPr>
            <w:tcW w:w="380" w:type="dxa"/>
            <w:vAlign w:val="bottom"/>
            <w:shd w:val="clear" w:color="auto" w:fill="DBDBDB"/>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shd w:val="clear" w:color="auto" w:fill="DBDBDB"/>
          </w:tcPr>
          <w:p>
            <w:pPr>
              <w:ind w:left="20"/>
              <w:spacing w:after="0"/>
              <w:rPr>
                <w:sz w:val="20"/>
                <w:szCs w:val="20"/>
                <w:color w:val="auto"/>
              </w:rPr>
            </w:pPr>
            <w:r>
              <w:rPr>
                <w:rFonts w:ascii="Arial" w:cs="Arial" w:eastAsia="Arial" w:hAnsi="Arial"/>
                <w:sz w:val="16"/>
                <w:szCs w:val="16"/>
                <w:color w:val="auto"/>
              </w:rPr>
              <w:t>At least two-thirds of our executive compensation is tied to TTC performance</w:t>
            </w:r>
          </w:p>
        </w:tc>
        <w:tc>
          <w:tcPr>
            <w:tcW w:w="0" w:type="dxa"/>
            <w:vAlign w:val="bottom"/>
          </w:tcPr>
          <w:p>
            <w:pPr>
              <w:spacing w:after="0"/>
              <w:rPr>
                <w:sz w:val="1"/>
                <w:szCs w:val="1"/>
                <w:color w:val="auto"/>
              </w:rPr>
            </w:pPr>
          </w:p>
        </w:tc>
      </w:tr>
      <w:tr>
        <w:trPr>
          <w:trHeight w:val="240"/>
        </w:trPr>
        <w:tc>
          <w:tcPr>
            <w:tcW w:w="2480" w:type="dxa"/>
            <w:vAlign w:val="bottom"/>
            <w:shd w:val="clear" w:color="auto" w:fill="DBDBDB"/>
          </w:tcPr>
          <w:p>
            <w:pPr>
              <w:spacing w:after="0"/>
              <w:rPr>
                <w:sz w:val="20"/>
                <w:szCs w:val="20"/>
                <w:color w:val="auto"/>
              </w:rPr>
            </w:pPr>
          </w:p>
        </w:tc>
        <w:tc>
          <w:tcPr>
            <w:tcW w:w="380" w:type="dxa"/>
            <w:vAlign w:val="bottom"/>
            <w:shd w:val="clear" w:color="auto" w:fill="DBDBDB"/>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shd w:val="clear" w:color="auto" w:fill="DBDBDB"/>
          </w:tcPr>
          <w:p>
            <w:pPr>
              <w:ind w:left="20"/>
              <w:spacing w:after="0"/>
              <w:rPr>
                <w:sz w:val="20"/>
                <w:szCs w:val="20"/>
                <w:color w:val="auto"/>
              </w:rPr>
            </w:pPr>
            <w:r>
              <w:rPr>
                <w:rFonts w:ascii="Arial" w:cs="Arial" w:eastAsia="Arial" w:hAnsi="Arial"/>
                <w:sz w:val="16"/>
                <w:szCs w:val="16"/>
                <w:color w:val="auto"/>
              </w:rPr>
              <w:t>Our annual cash incentive targets align with our annual financial goals</w:t>
            </w:r>
          </w:p>
        </w:tc>
        <w:tc>
          <w:tcPr>
            <w:tcW w:w="0" w:type="dxa"/>
            <w:vAlign w:val="bottom"/>
          </w:tcPr>
          <w:p>
            <w:pPr>
              <w:spacing w:after="0"/>
              <w:rPr>
                <w:sz w:val="1"/>
                <w:szCs w:val="1"/>
                <w:color w:val="auto"/>
              </w:rPr>
            </w:pPr>
          </w:p>
        </w:tc>
      </w:tr>
      <w:tr>
        <w:trPr>
          <w:trHeight w:val="240"/>
        </w:trPr>
        <w:tc>
          <w:tcPr>
            <w:tcW w:w="2480" w:type="dxa"/>
            <w:vAlign w:val="bottom"/>
            <w:shd w:val="clear" w:color="auto" w:fill="DBDBDB"/>
          </w:tcPr>
          <w:p>
            <w:pPr>
              <w:spacing w:after="0"/>
              <w:rPr>
                <w:sz w:val="20"/>
                <w:szCs w:val="20"/>
                <w:color w:val="auto"/>
              </w:rPr>
            </w:pPr>
          </w:p>
        </w:tc>
        <w:tc>
          <w:tcPr>
            <w:tcW w:w="380" w:type="dxa"/>
            <w:vAlign w:val="bottom"/>
            <w:shd w:val="clear" w:color="auto" w:fill="DBDBDB"/>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shd w:val="clear" w:color="auto" w:fill="DBDBDB"/>
          </w:tcPr>
          <w:p>
            <w:pPr>
              <w:ind w:left="20"/>
              <w:spacing w:after="0"/>
              <w:rPr>
                <w:sz w:val="20"/>
                <w:szCs w:val="20"/>
                <w:color w:val="auto"/>
              </w:rPr>
            </w:pPr>
            <w:r>
              <w:rPr>
                <w:rFonts w:ascii="Arial" w:cs="Arial" w:eastAsia="Arial" w:hAnsi="Arial"/>
                <w:sz w:val="16"/>
                <w:szCs w:val="16"/>
                <w:color w:val="auto"/>
              </w:rPr>
              <w:t>Our long-term incentives align with our long-term growth strategy</w:t>
            </w:r>
          </w:p>
        </w:tc>
        <w:tc>
          <w:tcPr>
            <w:tcW w:w="0" w:type="dxa"/>
            <w:vAlign w:val="bottom"/>
          </w:tcPr>
          <w:p>
            <w:pPr>
              <w:spacing w:after="0"/>
              <w:rPr>
                <w:sz w:val="1"/>
                <w:szCs w:val="1"/>
                <w:color w:val="auto"/>
              </w:rPr>
            </w:pPr>
          </w:p>
        </w:tc>
      </w:tr>
      <w:tr>
        <w:trPr>
          <w:trHeight w:val="204"/>
        </w:trPr>
        <w:tc>
          <w:tcPr>
            <w:tcW w:w="2480" w:type="dxa"/>
            <w:vAlign w:val="bottom"/>
          </w:tcPr>
          <w:p>
            <w:pPr>
              <w:ind w:left="20"/>
              <w:spacing w:after="0"/>
              <w:rPr>
                <w:sz w:val="20"/>
                <w:szCs w:val="20"/>
                <w:color w:val="auto"/>
              </w:rPr>
            </w:pPr>
            <w:r>
              <w:rPr>
                <w:rFonts w:ascii="Arial" w:cs="Arial" w:eastAsia="Arial" w:hAnsi="Arial"/>
                <w:sz w:val="16"/>
                <w:szCs w:val="16"/>
                <w:color w:val="auto"/>
              </w:rPr>
              <w:t>Provide Competitive Pay</w:t>
            </w:r>
          </w:p>
        </w:tc>
        <w:tc>
          <w:tcPr>
            <w:tcW w:w="380" w:type="dxa"/>
            <w:vAlign w:val="bottom"/>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tcPr>
          <w:p>
            <w:pPr>
              <w:ind w:left="20"/>
              <w:spacing w:after="0"/>
              <w:rPr>
                <w:sz w:val="20"/>
                <w:szCs w:val="20"/>
                <w:color w:val="auto"/>
              </w:rPr>
            </w:pPr>
            <w:r>
              <w:rPr>
                <w:rFonts w:ascii="Arial" w:cs="Arial" w:eastAsia="Arial" w:hAnsi="Arial"/>
                <w:sz w:val="16"/>
                <w:szCs w:val="16"/>
                <w:color w:val="auto"/>
              </w:rPr>
              <w:t>We obtain market data from our independent external consultant</w:t>
            </w:r>
          </w:p>
        </w:tc>
        <w:tc>
          <w:tcPr>
            <w:tcW w:w="0" w:type="dxa"/>
            <w:vAlign w:val="bottom"/>
          </w:tcPr>
          <w:p>
            <w:pPr>
              <w:spacing w:after="0"/>
              <w:rPr>
                <w:sz w:val="1"/>
                <w:szCs w:val="1"/>
                <w:color w:val="auto"/>
              </w:rPr>
            </w:pPr>
          </w:p>
        </w:tc>
      </w:tr>
      <w:tr>
        <w:trPr>
          <w:trHeight w:val="316"/>
        </w:trPr>
        <w:tc>
          <w:tcPr>
            <w:tcW w:w="2480" w:type="dxa"/>
            <w:vAlign w:val="bottom"/>
          </w:tcPr>
          <w:p>
            <w:pPr>
              <w:spacing w:after="0"/>
              <w:rPr>
                <w:sz w:val="24"/>
                <w:szCs w:val="24"/>
                <w:color w:val="auto"/>
              </w:rPr>
            </w:pPr>
          </w:p>
        </w:tc>
        <w:tc>
          <w:tcPr>
            <w:tcW w:w="380" w:type="dxa"/>
            <w:vAlign w:val="bottom"/>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tcPr>
          <w:p>
            <w:pPr>
              <w:ind w:left="20"/>
              <w:spacing w:after="0"/>
              <w:rPr>
                <w:sz w:val="20"/>
                <w:szCs w:val="20"/>
                <w:color w:val="auto"/>
              </w:rPr>
            </w:pPr>
            <w:r>
              <w:rPr>
                <w:rFonts w:ascii="Arial" w:cs="Arial" w:eastAsia="Arial" w:hAnsi="Arial"/>
                <w:sz w:val="16"/>
                <w:szCs w:val="16"/>
                <w:color w:val="auto"/>
              </w:rPr>
              <w:t>We typically target pay opportunities within a competitive range of the market 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type w:val="continuous"/>
        </w:sectPr>
      </w:pPr>
    </w:p>
    <w:bookmarkStart w:id="44" w:name="page45"/>
    <w:bookmarkEnd w:id="44"/>
    <w:p>
      <w:pPr>
        <w:ind w:left="53"/>
        <w:spacing w:after="0"/>
        <w:rPr>
          <w:sz w:val="20"/>
          <w:szCs w:val="20"/>
          <w:color w:val="auto"/>
        </w:rPr>
      </w:pPr>
      <w:r>
        <w:rPr>
          <w:rFonts w:ascii="Arial" w:cs="Arial" w:eastAsia="Arial" w:hAnsi="Arial"/>
          <w:sz w:val="20"/>
          <w:szCs w:val="20"/>
          <w:b w:val="1"/>
          <w:bCs w:val="1"/>
          <w:color w:val="C00000"/>
        </w:rPr>
        <w:t>Compensation Highlights and Best Practices</w:t>
      </w:r>
    </w:p>
    <w:p>
      <w:pPr>
        <w:spacing w:after="0" w:line="244" w:lineRule="exact"/>
        <w:rPr>
          <w:sz w:val="20"/>
          <w:szCs w:val="20"/>
          <w:color w:val="auto"/>
        </w:rPr>
      </w:pPr>
    </w:p>
    <w:p>
      <w:pPr>
        <w:ind w:left="53" w:right="20" w:firstLine="640"/>
        <w:spacing w:after="0" w:line="262" w:lineRule="auto"/>
        <w:rPr>
          <w:sz w:val="20"/>
          <w:szCs w:val="20"/>
          <w:color w:val="auto"/>
        </w:rPr>
      </w:pPr>
      <w:r>
        <w:rPr>
          <w:rFonts w:ascii="Arial" w:cs="Arial" w:eastAsia="Arial" w:hAnsi="Arial"/>
          <w:sz w:val="18"/>
          <w:szCs w:val="18"/>
          <w:color w:val="auto"/>
        </w:rPr>
        <w:t>Our compensation practices include many best pay practices that support our executive compensation objectives and philosophy, and benefit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71120</wp:posOffset>
            </wp:positionV>
            <wp:extent cx="6947535" cy="161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47535" cy="161290"/>
                    </a:xfrm>
                    <a:prstGeom prst="rect">
                      <a:avLst/>
                    </a:prstGeom>
                    <a:noFill/>
                  </pic:spPr>
                </pic:pic>
              </a:graphicData>
            </a:graphic>
          </wp:anchor>
        </w:drawing>
      </w:r>
    </w:p>
    <w:p>
      <w:pPr>
        <w:sectPr>
          <w:pgSz w:w="11900" w:h="16838" w:orient="portrait"/>
          <w:cols w:equalWidth="0" w:num="1">
            <w:col w:w="11293"/>
          </w:cols>
          <w:pgMar w:left="267" w:top="1103" w:right="339" w:bottom="1440" w:gutter="0" w:footer="0" w:header="0"/>
        </w:sectPr>
      </w:pPr>
    </w:p>
    <w:p>
      <w:pPr>
        <w:spacing w:after="0" w:line="120" w:lineRule="exact"/>
        <w:rPr>
          <w:sz w:val="20"/>
          <w:szCs w:val="20"/>
          <w:color w:val="auto"/>
        </w:rPr>
      </w:pPr>
    </w:p>
    <w:p>
      <w:pPr>
        <w:ind w:left="2533"/>
        <w:spacing w:after="0"/>
        <w:rPr>
          <w:sz w:val="20"/>
          <w:szCs w:val="20"/>
          <w:color w:val="auto"/>
        </w:rPr>
      </w:pPr>
      <w:r>
        <w:rPr>
          <w:rFonts w:ascii="Arial" w:cs="Arial" w:eastAsia="Arial" w:hAnsi="Arial"/>
          <w:sz w:val="18"/>
          <w:szCs w:val="18"/>
          <w:b w:val="1"/>
          <w:bCs w:val="1"/>
          <w:color w:val="FFFFFF"/>
        </w:rPr>
        <w:t>What We Do</w:t>
      </w:r>
    </w:p>
    <w:p>
      <w:pPr>
        <w:spacing w:after="0" w:line="38" w:lineRule="exact"/>
        <w:rPr>
          <w:sz w:val="20"/>
          <w:szCs w:val="20"/>
          <w:color w:val="auto"/>
        </w:rPr>
      </w:pPr>
    </w:p>
    <w:p>
      <w:pPr>
        <w:ind w:left="453" w:right="20" w:hanging="453"/>
        <w:spacing w:after="0" w:line="183" w:lineRule="auto"/>
        <w:tabs>
          <w:tab w:leader="none" w:pos="453" w:val="left"/>
        </w:tabs>
        <w:numPr>
          <w:ilvl w:val="0"/>
          <w:numId w:val="55"/>
        </w:numPr>
        <w:rPr>
          <w:rFonts w:ascii="MS PGothic" w:cs="MS PGothic" w:eastAsia="MS PGothic" w:hAnsi="MS PGothic"/>
          <w:sz w:val="33"/>
          <w:szCs w:val="33"/>
          <w:color w:val="auto"/>
          <w:vertAlign w:val="subscript"/>
          <w:shd w:val="clear" w:color="auto" w:fill="C00000"/>
        </w:rPr>
      </w:pPr>
      <w:r>
        <w:rPr>
          <w:rFonts w:ascii="Arial" w:cs="Arial" w:eastAsia="Arial" w:hAnsi="Arial"/>
          <w:sz w:val="15"/>
          <w:szCs w:val="15"/>
          <w:color w:val="auto"/>
        </w:rPr>
        <w:t>Structure our executive officer compensation so it is competitive, and a significant portion of pay is at risk</w:t>
      </w:r>
    </w:p>
    <w:p>
      <w:pPr>
        <w:spacing w:after="0" w:line="30" w:lineRule="exact"/>
        <w:rPr>
          <w:rFonts w:ascii="MS PGothic" w:cs="MS PGothic" w:eastAsia="MS PGothic" w:hAnsi="MS PGothic"/>
          <w:sz w:val="33"/>
          <w:szCs w:val="33"/>
          <w:color w:val="auto"/>
          <w:vertAlign w:val="subscript"/>
          <w:shd w:val="clear" w:color="auto" w:fill="C00000"/>
        </w:rPr>
      </w:pPr>
    </w:p>
    <w:p>
      <w:pPr>
        <w:ind w:left="453" w:right="360" w:hanging="453"/>
        <w:spacing w:after="0" w:line="183" w:lineRule="auto"/>
        <w:tabs>
          <w:tab w:leader="none" w:pos="453" w:val="left"/>
        </w:tabs>
        <w:numPr>
          <w:ilvl w:val="0"/>
          <w:numId w:val="55"/>
        </w:numPr>
        <w:rPr>
          <w:rFonts w:ascii="MS PGothic" w:cs="MS PGothic" w:eastAsia="MS PGothic" w:hAnsi="MS PGothic"/>
          <w:sz w:val="33"/>
          <w:szCs w:val="33"/>
          <w:color w:val="auto"/>
          <w:vertAlign w:val="subscript"/>
          <w:shd w:val="clear" w:color="auto" w:fill="C00000"/>
        </w:rPr>
      </w:pPr>
      <w:r>
        <w:rPr>
          <w:rFonts w:ascii="Arial" w:cs="Arial" w:eastAsia="Arial" w:hAnsi="Arial"/>
          <w:sz w:val="15"/>
          <w:szCs w:val="15"/>
          <w:color w:val="auto"/>
        </w:rPr>
        <w:t>Emphasize long-term performance in our equity-based incentive awards</w:t>
      </w:r>
    </w:p>
    <w:p>
      <w:pPr>
        <w:spacing w:after="0" w:line="43" w:lineRule="exact"/>
        <w:rPr>
          <w:rFonts w:ascii="MS PGothic" w:cs="MS PGothic" w:eastAsia="MS PGothic" w:hAnsi="MS PGothic"/>
          <w:sz w:val="33"/>
          <w:szCs w:val="33"/>
          <w:color w:val="auto"/>
          <w:vertAlign w:val="subscript"/>
          <w:shd w:val="clear" w:color="auto" w:fill="C00000"/>
        </w:rPr>
      </w:pPr>
    </w:p>
    <w:p>
      <w:pPr>
        <w:ind w:left="453" w:hanging="453"/>
        <w:spacing w:after="0"/>
        <w:tabs>
          <w:tab w:leader="none" w:pos="453" w:val="left"/>
        </w:tabs>
        <w:numPr>
          <w:ilvl w:val="0"/>
          <w:numId w:val="55"/>
        </w:numPr>
        <w:rPr>
          <w:rFonts w:ascii="MS PGothic" w:cs="MS PGothic" w:eastAsia="MS PGothic" w:hAnsi="MS PGothic"/>
          <w:sz w:val="20"/>
          <w:szCs w:val="20"/>
          <w:color w:val="auto"/>
          <w:shd w:val="clear" w:color="auto" w:fill="C00000"/>
        </w:rPr>
      </w:pPr>
      <w:r>
        <w:rPr>
          <w:rFonts w:ascii="Arial" w:cs="Arial" w:eastAsia="Arial" w:hAnsi="Arial"/>
          <w:sz w:val="16"/>
          <w:szCs w:val="16"/>
          <w:color w:val="auto"/>
        </w:rPr>
        <w:t>Use a mix of performance measures in our incentive plans</w:t>
      </w:r>
    </w:p>
    <w:p>
      <w:pPr>
        <w:spacing w:after="0" w:line="74" w:lineRule="exact"/>
        <w:rPr>
          <w:rFonts w:ascii="MS PGothic" w:cs="MS PGothic" w:eastAsia="MS PGothic" w:hAnsi="MS PGothic"/>
          <w:sz w:val="20"/>
          <w:szCs w:val="20"/>
          <w:color w:val="auto"/>
          <w:shd w:val="clear" w:color="auto" w:fill="C00000"/>
        </w:rPr>
      </w:pPr>
    </w:p>
    <w:p>
      <w:pPr>
        <w:ind w:left="453" w:hanging="453"/>
        <w:spacing w:after="0"/>
        <w:tabs>
          <w:tab w:leader="none" w:pos="453" w:val="left"/>
        </w:tabs>
        <w:numPr>
          <w:ilvl w:val="0"/>
          <w:numId w:val="55"/>
        </w:numPr>
        <w:rPr>
          <w:rFonts w:ascii="MS PGothic" w:cs="MS PGothic" w:eastAsia="MS PGothic" w:hAnsi="MS PGothic"/>
          <w:sz w:val="20"/>
          <w:szCs w:val="20"/>
          <w:color w:val="auto"/>
          <w:shd w:val="clear" w:color="auto" w:fill="C00000"/>
        </w:rPr>
      </w:pPr>
      <w:r>
        <w:rPr>
          <w:rFonts w:ascii="Arial" w:cs="Arial" w:eastAsia="Arial" w:hAnsi="Arial"/>
          <w:sz w:val="16"/>
          <w:szCs w:val="16"/>
          <w:color w:val="auto"/>
        </w:rPr>
        <w:t>Establish threshold levels of performance and caps on payouts</w:t>
      </w:r>
    </w:p>
    <w:p>
      <w:pPr>
        <w:spacing w:after="0" w:line="141" w:lineRule="exact"/>
        <w:rPr>
          <w:rFonts w:ascii="MS PGothic" w:cs="MS PGothic" w:eastAsia="MS PGothic" w:hAnsi="MS PGothic"/>
          <w:sz w:val="20"/>
          <w:szCs w:val="20"/>
          <w:color w:val="auto"/>
          <w:shd w:val="clear" w:color="auto" w:fill="C00000"/>
        </w:rPr>
      </w:pPr>
    </w:p>
    <w:p>
      <w:pPr>
        <w:ind w:left="453" w:hanging="453"/>
        <w:spacing w:after="0"/>
        <w:tabs>
          <w:tab w:leader="none" w:pos="453" w:val="left"/>
        </w:tabs>
        <w:numPr>
          <w:ilvl w:val="0"/>
          <w:numId w:val="55"/>
        </w:numPr>
        <w:rPr>
          <w:rFonts w:ascii="MS PGothic" w:cs="MS PGothic" w:eastAsia="MS PGothic" w:hAnsi="MS PGothic"/>
          <w:sz w:val="20"/>
          <w:szCs w:val="20"/>
          <w:color w:val="auto"/>
          <w:shd w:val="clear" w:color="auto" w:fill="C00000"/>
        </w:rPr>
      </w:pPr>
      <w:r>
        <w:rPr>
          <w:rFonts w:ascii="Arial" w:cs="Arial" w:eastAsia="Arial" w:hAnsi="Arial"/>
          <w:sz w:val="16"/>
          <w:szCs w:val="16"/>
          <w:color w:val="auto"/>
        </w:rPr>
        <w:t>Maintain a robust clawback policy and provisions</w:t>
      </w:r>
    </w:p>
    <w:p>
      <w:pPr>
        <w:spacing w:after="0" w:line="127" w:lineRule="exact"/>
        <w:rPr>
          <w:rFonts w:ascii="MS PGothic" w:cs="MS PGothic" w:eastAsia="MS PGothic" w:hAnsi="MS PGothic"/>
          <w:sz w:val="20"/>
          <w:szCs w:val="20"/>
          <w:color w:val="auto"/>
          <w:shd w:val="clear" w:color="auto" w:fill="C00000"/>
        </w:rPr>
      </w:pPr>
    </w:p>
    <w:p>
      <w:pPr>
        <w:ind w:left="453" w:hanging="453"/>
        <w:spacing w:after="0" w:line="183" w:lineRule="auto"/>
        <w:tabs>
          <w:tab w:leader="none" w:pos="453" w:val="left"/>
        </w:tabs>
        <w:numPr>
          <w:ilvl w:val="0"/>
          <w:numId w:val="55"/>
        </w:numPr>
        <w:rPr>
          <w:rFonts w:ascii="MS PGothic" w:cs="MS PGothic" w:eastAsia="MS PGothic" w:hAnsi="MS PGothic"/>
          <w:sz w:val="33"/>
          <w:szCs w:val="33"/>
          <w:color w:val="auto"/>
          <w:vertAlign w:val="subscript"/>
          <w:shd w:val="clear" w:color="auto" w:fill="C00000"/>
        </w:rPr>
      </w:pPr>
      <w:r>
        <w:rPr>
          <w:rFonts w:ascii="Arial" w:cs="Arial" w:eastAsia="Arial" w:hAnsi="Arial"/>
          <w:sz w:val="15"/>
          <w:szCs w:val="15"/>
          <w:color w:val="auto"/>
        </w:rPr>
        <w:t>Have robust stock ownership guidelines and holding requirements for executive officers</w:t>
      </w:r>
    </w:p>
    <w:p>
      <w:pPr>
        <w:spacing w:after="0" w:line="43" w:lineRule="exact"/>
        <w:rPr>
          <w:rFonts w:ascii="MS PGothic" w:cs="MS PGothic" w:eastAsia="MS PGothic" w:hAnsi="MS PGothic"/>
          <w:sz w:val="33"/>
          <w:szCs w:val="33"/>
          <w:color w:val="auto"/>
          <w:vertAlign w:val="subscript"/>
          <w:shd w:val="clear" w:color="auto" w:fill="C00000"/>
        </w:rPr>
      </w:pPr>
    </w:p>
    <w:p>
      <w:pPr>
        <w:ind w:left="453" w:hanging="453"/>
        <w:spacing w:after="0"/>
        <w:tabs>
          <w:tab w:leader="none" w:pos="453" w:val="left"/>
        </w:tabs>
        <w:numPr>
          <w:ilvl w:val="0"/>
          <w:numId w:val="55"/>
        </w:numPr>
        <w:rPr>
          <w:rFonts w:ascii="MS PGothic" w:cs="MS PGothic" w:eastAsia="MS PGothic" w:hAnsi="MS PGothic"/>
          <w:sz w:val="20"/>
          <w:szCs w:val="20"/>
          <w:color w:val="auto"/>
          <w:shd w:val="clear" w:color="auto" w:fill="C00000"/>
        </w:rPr>
      </w:pPr>
      <w:r>
        <w:rPr>
          <w:rFonts w:ascii="Arial" w:cs="Arial" w:eastAsia="Arial" w:hAnsi="Arial"/>
          <w:sz w:val="16"/>
          <w:szCs w:val="16"/>
          <w:color w:val="auto"/>
        </w:rPr>
        <w:t>Require minimum vesting periods on equity awards</w:t>
      </w:r>
    </w:p>
    <w:p>
      <w:pPr>
        <w:spacing w:after="0" w:line="74" w:lineRule="exact"/>
        <w:rPr>
          <w:rFonts w:ascii="MS PGothic" w:cs="MS PGothic" w:eastAsia="MS PGothic" w:hAnsi="MS PGothic"/>
          <w:sz w:val="20"/>
          <w:szCs w:val="20"/>
          <w:color w:val="auto"/>
          <w:shd w:val="clear" w:color="auto" w:fill="C00000"/>
        </w:rPr>
      </w:pPr>
    </w:p>
    <w:p>
      <w:pPr>
        <w:ind w:left="453" w:hanging="453"/>
        <w:spacing w:after="0"/>
        <w:tabs>
          <w:tab w:leader="none" w:pos="453" w:val="left"/>
        </w:tabs>
        <w:numPr>
          <w:ilvl w:val="0"/>
          <w:numId w:val="55"/>
        </w:numPr>
        <w:rPr>
          <w:rFonts w:ascii="MS PGothic" w:cs="MS PGothic" w:eastAsia="MS PGothic" w:hAnsi="MS PGothic"/>
          <w:sz w:val="20"/>
          <w:szCs w:val="20"/>
          <w:color w:val="auto"/>
          <w:shd w:val="clear" w:color="auto" w:fill="C00000"/>
        </w:rPr>
      </w:pPr>
      <w:r>
        <w:rPr>
          <w:rFonts w:ascii="Arial" w:cs="Arial" w:eastAsia="Arial" w:hAnsi="Arial"/>
          <w:sz w:val="16"/>
          <w:szCs w:val="16"/>
          <w:color w:val="auto"/>
        </w:rPr>
        <w:t>Hold an annual say-on-pay vote</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left="2082"/>
        <w:spacing w:after="0"/>
        <w:rPr>
          <w:sz w:val="20"/>
          <w:szCs w:val="20"/>
          <w:color w:val="auto"/>
        </w:rPr>
      </w:pPr>
      <w:r>
        <w:rPr>
          <w:rFonts w:ascii="Arial" w:cs="Arial" w:eastAsia="Arial" w:hAnsi="Arial"/>
          <w:sz w:val="18"/>
          <w:szCs w:val="18"/>
          <w:b w:val="1"/>
          <w:bCs w:val="1"/>
          <w:color w:val="FFFFFF"/>
        </w:rPr>
        <w:t>What We Don't Do</w:t>
      </w:r>
    </w:p>
    <w:p>
      <w:pPr>
        <w:spacing w:after="0" w:line="118" w:lineRule="exact"/>
        <w:rPr>
          <w:sz w:val="20"/>
          <w:szCs w:val="20"/>
          <w:color w:val="auto"/>
        </w:rPr>
      </w:pPr>
    </w:p>
    <w:p>
      <w:pPr>
        <w:ind w:left="342" w:hanging="342"/>
        <w:spacing w:after="0"/>
        <w:tabs>
          <w:tab w:leader="none" w:pos="342" w:val="left"/>
        </w:tabs>
        <w:numPr>
          <w:ilvl w:val="0"/>
          <w:numId w:val="56"/>
        </w:numPr>
        <w:rPr>
          <w:rFonts w:ascii="Arial" w:cs="Arial" w:eastAsia="Arial" w:hAnsi="Arial"/>
          <w:sz w:val="18"/>
          <w:szCs w:val="18"/>
          <w:b w:val="1"/>
          <w:bCs w:val="1"/>
          <w:i w:val="1"/>
          <w:iCs w:val="1"/>
          <w:color w:val="BF2115"/>
        </w:rPr>
      </w:pPr>
      <w:r>
        <w:rPr>
          <w:rFonts w:ascii="Arial" w:cs="Arial" w:eastAsia="Arial" w:hAnsi="Arial"/>
          <w:sz w:val="16"/>
          <w:szCs w:val="16"/>
          <w:color w:val="auto"/>
        </w:rPr>
        <w:t>No guaranteed salary increases</w:t>
      </w:r>
    </w:p>
    <w:p>
      <w:pPr>
        <w:spacing w:after="0" w:line="206" w:lineRule="exact"/>
        <w:rPr>
          <w:rFonts w:ascii="Arial" w:cs="Arial" w:eastAsia="Arial" w:hAnsi="Arial"/>
          <w:sz w:val="18"/>
          <w:szCs w:val="18"/>
          <w:b w:val="1"/>
          <w:bCs w:val="1"/>
          <w:i w:val="1"/>
          <w:iCs w:val="1"/>
          <w:color w:val="BF2115"/>
        </w:rPr>
      </w:pPr>
    </w:p>
    <w:p>
      <w:pPr>
        <w:ind w:left="342" w:hanging="342"/>
        <w:spacing w:after="0"/>
        <w:tabs>
          <w:tab w:leader="none" w:pos="342" w:val="left"/>
        </w:tabs>
        <w:numPr>
          <w:ilvl w:val="0"/>
          <w:numId w:val="56"/>
        </w:numPr>
        <w:rPr>
          <w:rFonts w:ascii="Arial" w:cs="Arial" w:eastAsia="Arial" w:hAnsi="Arial"/>
          <w:sz w:val="18"/>
          <w:szCs w:val="18"/>
          <w:b w:val="1"/>
          <w:bCs w:val="1"/>
          <w:i w:val="1"/>
          <w:iCs w:val="1"/>
          <w:color w:val="BF2115"/>
        </w:rPr>
      </w:pPr>
      <w:r>
        <w:rPr>
          <w:rFonts w:ascii="Arial" w:cs="Arial" w:eastAsia="Arial" w:hAnsi="Arial"/>
          <w:sz w:val="16"/>
          <w:szCs w:val="16"/>
          <w:color w:val="auto"/>
        </w:rPr>
        <w:t>No guaranteed bonuses, except on occasion to new hires</w:t>
      </w:r>
    </w:p>
    <w:p>
      <w:pPr>
        <w:spacing w:after="0" w:line="139" w:lineRule="exact"/>
        <w:rPr>
          <w:rFonts w:ascii="Arial" w:cs="Arial" w:eastAsia="Arial" w:hAnsi="Arial"/>
          <w:sz w:val="18"/>
          <w:szCs w:val="18"/>
          <w:b w:val="1"/>
          <w:bCs w:val="1"/>
          <w:i w:val="1"/>
          <w:iCs w:val="1"/>
          <w:color w:val="BF2115"/>
        </w:rPr>
      </w:pPr>
    </w:p>
    <w:p>
      <w:pPr>
        <w:ind w:left="342" w:hanging="342"/>
        <w:spacing w:after="0"/>
        <w:tabs>
          <w:tab w:leader="none" w:pos="342" w:val="left"/>
        </w:tabs>
        <w:numPr>
          <w:ilvl w:val="0"/>
          <w:numId w:val="56"/>
        </w:numPr>
        <w:rPr>
          <w:rFonts w:ascii="Arial" w:cs="Arial" w:eastAsia="Arial" w:hAnsi="Arial"/>
          <w:sz w:val="18"/>
          <w:szCs w:val="18"/>
          <w:b w:val="1"/>
          <w:bCs w:val="1"/>
          <w:i w:val="1"/>
          <w:iCs w:val="1"/>
          <w:color w:val="BF2115"/>
        </w:rPr>
      </w:pPr>
      <w:r>
        <w:rPr>
          <w:rFonts w:ascii="Arial" w:cs="Arial" w:eastAsia="Arial" w:hAnsi="Arial"/>
          <w:sz w:val="16"/>
          <w:szCs w:val="16"/>
          <w:color w:val="auto"/>
        </w:rPr>
        <w:t>No excessive perquisites</w:t>
      </w:r>
    </w:p>
    <w:p>
      <w:pPr>
        <w:spacing w:after="0" w:line="73" w:lineRule="exact"/>
        <w:rPr>
          <w:rFonts w:ascii="Arial" w:cs="Arial" w:eastAsia="Arial" w:hAnsi="Arial"/>
          <w:sz w:val="18"/>
          <w:szCs w:val="18"/>
          <w:b w:val="1"/>
          <w:bCs w:val="1"/>
          <w:i w:val="1"/>
          <w:iCs w:val="1"/>
          <w:color w:val="BF2115"/>
        </w:rPr>
      </w:pPr>
    </w:p>
    <w:p>
      <w:pPr>
        <w:ind w:left="342" w:hanging="342"/>
        <w:spacing w:after="0"/>
        <w:tabs>
          <w:tab w:leader="none" w:pos="342" w:val="left"/>
        </w:tabs>
        <w:numPr>
          <w:ilvl w:val="0"/>
          <w:numId w:val="56"/>
        </w:numPr>
        <w:rPr>
          <w:rFonts w:ascii="Arial" w:cs="Arial" w:eastAsia="Arial" w:hAnsi="Arial"/>
          <w:sz w:val="18"/>
          <w:szCs w:val="18"/>
          <w:b w:val="1"/>
          <w:bCs w:val="1"/>
          <w:i w:val="1"/>
          <w:iCs w:val="1"/>
          <w:color w:val="BF2115"/>
        </w:rPr>
      </w:pPr>
      <w:r>
        <w:rPr>
          <w:rFonts w:ascii="Arial" w:cs="Arial" w:eastAsia="Arial" w:hAnsi="Arial"/>
          <w:sz w:val="16"/>
          <w:szCs w:val="16"/>
          <w:color w:val="auto"/>
        </w:rPr>
        <w:t>No individual employment agreements</w:t>
      </w:r>
    </w:p>
    <w:p>
      <w:pPr>
        <w:spacing w:after="0" w:line="59" w:lineRule="exact"/>
        <w:rPr>
          <w:rFonts w:ascii="Arial" w:cs="Arial" w:eastAsia="Arial" w:hAnsi="Arial"/>
          <w:sz w:val="18"/>
          <w:szCs w:val="18"/>
          <w:b w:val="1"/>
          <w:bCs w:val="1"/>
          <w:i w:val="1"/>
          <w:iCs w:val="1"/>
          <w:color w:val="BF2115"/>
        </w:rPr>
      </w:pPr>
    </w:p>
    <w:p>
      <w:pPr>
        <w:ind w:left="342"/>
        <w:spacing w:after="0"/>
        <w:rPr>
          <w:rFonts w:ascii="Arial" w:cs="Arial" w:eastAsia="Arial" w:hAnsi="Arial"/>
          <w:sz w:val="18"/>
          <w:szCs w:val="18"/>
          <w:b w:val="1"/>
          <w:bCs w:val="1"/>
          <w:i w:val="1"/>
          <w:iCs w:val="1"/>
          <w:color w:val="BF2115"/>
        </w:rPr>
      </w:pPr>
      <w:r>
        <w:rPr>
          <w:rFonts w:ascii="Arial" w:cs="Arial" w:eastAsia="Arial" w:hAnsi="Arial"/>
          <w:sz w:val="16"/>
          <w:szCs w:val="16"/>
          <w:color w:val="auto"/>
        </w:rPr>
        <w:t>No short sales or derivative transactions in TTC stock, including</w:t>
      </w:r>
    </w:p>
    <w:p>
      <w:pPr>
        <w:spacing w:after="0" w:line="5" w:lineRule="exact"/>
        <w:rPr>
          <w:rFonts w:ascii="Arial" w:cs="Arial" w:eastAsia="Arial" w:hAnsi="Arial"/>
          <w:sz w:val="18"/>
          <w:szCs w:val="18"/>
          <w:b w:val="1"/>
          <w:bCs w:val="1"/>
          <w:i w:val="1"/>
          <w:iCs w:val="1"/>
          <w:color w:val="BF2115"/>
        </w:rPr>
      </w:pPr>
    </w:p>
    <w:p>
      <w:pPr>
        <w:ind w:left="342" w:hanging="342"/>
        <w:spacing w:after="0" w:line="184" w:lineRule="auto"/>
        <w:tabs>
          <w:tab w:leader="none" w:pos="342" w:val="left"/>
        </w:tabs>
        <w:numPr>
          <w:ilvl w:val="0"/>
          <w:numId w:val="56"/>
        </w:numPr>
        <w:rPr>
          <w:rFonts w:ascii="Arial" w:cs="Arial" w:eastAsia="Arial" w:hAnsi="Arial"/>
          <w:sz w:val="22"/>
          <w:szCs w:val="22"/>
          <w:b w:val="1"/>
          <w:bCs w:val="1"/>
          <w:i w:val="1"/>
          <w:iCs w:val="1"/>
          <w:color w:val="BF2115"/>
          <w:vertAlign w:val="superscript"/>
        </w:rPr>
      </w:pPr>
      <w:r>
        <w:rPr>
          <w:rFonts w:ascii="Arial" w:cs="Arial" w:eastAsia="Arial" w:hAnsi="Arial"/>
          <w:sz w:val="12"/>
          <w:szCs w:val="12"/>
          <w:color w:val="auto"/>
        </w:rPr>
        <w:t>hedges, or pledging</w:t>
      </w:r>
    </w:p>
    <w:p>
      <w:pPr>
        <w:spacing w:after="0" w:line="126" w:lineRule="exact"/>
        <w:rPr>
          <w:rFonts w:ascii="Arial" w:cs="Arial" w:eastAsia="Arial" w:hAnsi="Arial"/>
          <w:sz w:val="22"/>
          <w:szCs w:val="22"/>
          <w:b w:val="1"/>
          <w:bCs w:val="1"/>
          <w:i w:val="1"/>
          <w:iCs w:val="1"/>
          <w:color w:val="BF2115"/>
          <w:vertAlign w:val="superscript"/>
        </w:rPr>
      </w:pPr>
    </w:p>
    <w:p>
      <w:pPr>
        <w:ind w:left="342" w:hanging="342"/>
        <w:spacing w:after="0" w:line="225" w:lineRule="auto"/>
        <w:tabs>
          <w:tab w:leader="none" w:pos="342" w:val="left"/>
        </w:tabs>
        <w:numPr>
          <w:ilvl w:val="0"/>
          <w:numId w:val="56"/>
        </w:numPr>
        <w:rPr>
          <w:rFonts w:ascii="Arial" w:cs="Arial" w:eastAsia="Arial" w:hAnsi="Arial"/>
          <w:sz w:val="18"/>
          <w:szCs w:val="18"/>
          <w:b w:val="1"/>
          <w:bCs w:val="1"/>
          <w:i w:val="1"/>
          <w:iCs w:val="1"/>
          <w:color w:val="BF2115"/>
        </w:rPr>
      </w:pPr>
      <w:r>
        <w:rPr>
          <w:rFonts w:ascii="Arial" w:cs="Arial" w:eastAsia="Arial" w:hAnsi="Arial"/>
          <w:sz w:val="16"/>
          <w:szCs w:val="16"/>
          <w:color w:val="auto"/>
        </w:rPr>
        <w:t>No current payment of dividends on unvested awards</w:t>
      </w:r>
    </w:p>
    <w:p>
      <w:pPr>
        <w:spacing w:after="0" w:line="136" w:lineRule="exact"/>
        <w:rPr>
          <w:rFonts w:ascii="Arial" w:cs="Arial" w:eastAsia="Arial" w:hAnsi="Arial"/>
          <w:sz w:val="18"/>
          <w:szCs w:val="18"/>
          <w:b w:val="1"/>
          <w:bCs w:val="1"/>
          <w:i w:val="1"/>
          <w:iCs w:val="1"/>
          <w:color w:val="BF2115"/>
        </w:rPr>
      </w:pPr>
    </w:p>
    <w:p>
      <w:pPr>
        <w:ind w:left="342" w:hanging="342"/>
        <w:spacing w:after="0"/>
        <w:tabs>
          <w:tab w:leader="none" w:pos="342" w:val="left"/>
        </w:tabs>
        <w:numPr>
          <w:ilvl w:val="0"/>
          <w:numId w:val="56"/>
        </w:numPr>
        <w:rPr>
          <w:rFonts w:ascii="Arial" w:cs="Arial" w:eastAsia="Arial" w:hAnsi="Arial"/>
          <w:sz w:val="18"/>
          <w:szCs w:val="18"/>
          <w:b w:val="1"/>
          <w:bCs w:val="1"/>
          <w:i w:val="1"/>
          <w:iCs w:val="1"/>
          <w:color w:val="BF2115"/>
        </w:rPr>
      </w:pPr>
      <w:r>
        <w:rPr>
          <w:rFonts w:ascii="Arial" w:cs="Arial" w:eastAsia="Arial" w:hAnsi="Arial"/>
          <w:sz w:val="16"/>
          <w:szCs w:val="16"/>
          <w:color w:val="auto"/>
        </w:rPr>
        <w:t>No repricing of stock options</w:t>
      </w:r>
    </w:p>
    <w:p>
      <w:pPr>
        <w:spacing w:after="0" w:line="73" w:lineRule="exact"/>
        <w:rPr>
          <w:rFonts w:ascii="Arial" w:cs="Arial" w:eastAsia="Arial" w:hAnsi="Arial"/>
          <w:sz w:val="18"/>
          <w:szCs w:val="18"/>
          <w:b w:val="1"/>
          <w:bCs w:val="1"/>
          <w:i w:val="1"/>
          <w:iCs w:val="1"/>
          <w:color w:val="BF2115"/>
        </w:rPr>
      </w:pPr>
    </w:p>
    <w:p>
      <w:pPr>
        <w:ind w:left="342" w:hanging="342"/>
        <w:spacing w:after="0"/>
        <w:tabs>
          <w:tab w:leader="none" w:pos="342" w:val="left"/>
        </w:tabs>
        <w:numPr>
          <w:ilvl w:val="0"/>
          <w:numId w:val="56"/>
        </w:numPr>
        <w:rPr>
          <w:rFonts w:ascii="Arial" w:cs="Arial" w:eastAsia="Arial" w:hAnsi="Arial"/>
          <w:sz w:val="18"/>
          <w:szCs w:val="18"/>
          <w:b w:val="1"/>
          <w:bCs w:val="1"/>
          <w:i w:val="1"/>
          <w:iCs w:val="1"/>
          <w:color w:val="BF2115"/>
        </w:rPr>
      </w:pPr>
      <w:r>
        <w:rPr>
          <w:rFonts w:ascii="Arial" w:cs="Arial" w:eastAsia="Arial" w:hAnsi="Arial"/>
          <w:sz w:val="16"/>
          <w:szCs w:val="16"/>
          <w:color w:val="auto"/>
        </w:rPr>
        <w:t>No excise or other tax gross-ups</w:t>
      </w:r>
    </w:p>
    <w:p>
      <w:pPr>
        <w:spacing w:after="0" w:line="200" w:lineRule="exact"/>
        <w:rPr>
          <w:sz w:val="20"/>
          <w:szCs w:val="20"/>
          <w:color w:val="auto"/>
        </w:rPr>
      </w:pPr>
    </w:p>
    <w:p>
      <w:pPr>
        <w:sectPr>
          <w:pgSz w:w="11900" w:h="16838" w:orient="portrait"/>
          <w:cols w:equalWidth="0" w:num="2">
            <w:col w:w="5353" w:space="298"/>
            <w:col w:w="5642"/>
          </w:cols>
          <w:pgMar w:left="267" w:top="1103" w:right="339" w:bottom="1440" w:gutter="0" w:footer="0" w:header="0"/>
          <w:type w:val="continuous"/>
        </w:sectPr>
      </w:pPr>
    </w:p>
    <w:p>
      <w:pPr>
        <w:spacing w:after="0" w:line="77" w:lineRule="exact"/>
        <w:rPr>
          <w:sz w:val="20"/>
          <w:szCs w:val="20"/>
          <w:color w:val="auto"/>
        </w:rPr>
      </w:pPr>
    </w:p>
    <w:p>
      <w:pPr>
        <w:ind w:left="53"/>
        <w:spacing w:after="0"/>
        <w:rPr>
          <w:sz w:val="20"/>
          <w:szCs w:val="20"/>
          <w:color w:val="auto"/>
        </w:rPr>
      </w:pPr>
      <w:r>
        <w:rPr>
          <w:rFonts w:ascii="Arial" w:cs="Arial" w:eastAsia="Arial" w:hAnsi="Arial"/>
          <w:sz w:val="20"/>
          <w:szCs w:val="20"/>
          <w:b w:val="1"/>
          <w:bCs w:val="1"/>
          <w:color w:val="C00000"/>
        </w:rPr>
        <w:t>Pay for Performance and Pay Mix</w:t>
      </w:r>
    </w:p>
    <w:p>
      <w:pPr>
        <w:spacing w:after="0" w:line="97" w:lineRule="exact"/>
        <w:rPr>
          <w:sz w:val="20"/>
          <w:szCs w:val="20"/>
          <w:color w:val="auto"/>
        </w:rPr>
      </w:pPr>
    </w:p>
    <w:p>
      <w:pPr>
        <w:ind w:left="693"/>
        <w:spacing w:after="0"/>
        <w:rPr>
          <w:sz w:val="20"/>
          <w:szCs w:val="20"/>
          <w:color w:val="auto"/>
        </w:rPr>
      </w:pPr>
      <w:r>
        <w:rPr>
          <w:rFonts w:ascii="Arial" w:cs="Arial" w:eastAsia="Arial" w:hAnsi="Arial"/>
          <w:sz w:val="17"/>
          <w:szCs w:val="17"/>
          <w:color w:val="auto"/>
        </w:rPr>
        <w:t>We seek to motivate executive officers to achieve improved financial performance of our Company through incentive plans that reward</w:t>
      </w:r>
    </w:p>
    <w:p>
      <w:pPr>
        <w:spacing w:after="0" w:line="21" w:lineRule="exact"/>
        <w:rPr>
          <w:sz w:val="20"/>
          <w:szCs w:val="20"/>
          <w:color w:val="auto"/>
        </w:rPr>
      </w:pPr>
    </w:p>
    <w:p>
      <w:pPr>
        <w:ind w:left="53"/>
        <w:spacing w:after="0" w:line="237" w:lineRule="auto"/>
        <w:rPr>
          <w:sz w:val="20"/>
          <w:szCs w:val="20"/>
          <w:color w:val="auto"/>
        </w:rPr>
      </w:pPr>
      <w:r>
        <w:rPr>
          <w:rFonts w:ascii="Arial" w:cs="Arial" w:eastAsia="Arial" w:hAnsi="Arial"/>
          <w:sz w:val="17"/>
          <w:szCs w:val="17"/>
          <w:color w:val="auto"/>
        </w:rPr>
        <w:t>better performance with increased incentive payouts and hold executive officers accountable for financial performance that falls below targeted levels by paying reduced or no incentive compensation. Accordingly, a significant portion of the target total direct compensation for our</w:t>
      </w:r>
    </w:p>
    <w:p>
      <w:pPr>
        <w:spacing w:after="0" w:line="1" w:lineRule="exact"/>
        <w:rPr>
          <w:sz w:val="20"/>
          <w:szCs w:val="20"/>
          <w:color w:val="auto"/>
        </w:rPr>
      </w:pPr>
    </w:p>
    <w:p>
      <w:pPr>
        <w:ind w:left="53"/>
        <w:spacing w:after="0" w:line="243" w:lineRule="auto"/>
        <w:rPr>
          <w:sz w:val="20"/>
          <w:szCs w:val="20"/>
          <w:color w:val="auto"/>
        </w:rPr>
      </w:pPr>
      <w:r>
        <w:rPr>
          <w:rFonts w:ascii="Arial" w:cs="Arial" w:eastAsia="Arial" w:hAnsi="Arial"/>
          <w:sz w:val="18"/>
          <w:szCs w:val="18"/>
          <w:color w:val="auto"/>
        </w:rPr>
        <w:t>Chairman and CEO and other executive officers is comprised of short- and long-term variable performance-based, or at risk, compensation to directly link their pay to performance. Generally, higher level executive positions have a higher level of pay that is performance-based.</w:t>
      </w:r>
    </w:p>
    <w:p>
      <w:pPr>
        <w:spacing w:after="0" w:line="59" w:lineRule="exact"/>
        <w:rPr>
          <w:sz w:val="20"/>
          <w:szCs w:val="20"/>
          <w:color w:val="auto"/>
        </w:rPr>
      </w:pPr>
    </w:p>
    <w:p>
      <w:pPr>
        <w:ind w:left="53" w:firstLine="640"/>
        <w:spacing w:after="0" w:line="262" w:lineRule="auto"/>
        <w:rPr>
          <w:sz w:val="20"/>
          <w:szCs w:val="20"/>
          <w:color w:val="auto"/>
        </w:rPr>
      </w:pPr>
      <w:r>
        <w:rPr>
          <w:rFonts w:ascii="Arial" w:cs="Arial" w:eastAsia="Arial" w:hAnsi="Arial"/>
          <w:sz w:val="18"/>
          <w:szCs w:val="18"/>
          <w:color w:val="auto"/>
        </w:rPr>
        <w:t>The breakdown of variable, at-risk, pay (broken out between target annual cash incentives and target long-term incentives) compared fixed pay (i.e., annual base salary) for our Chairman and CEO and other NEOs is shown below:</w:t>
      </w:r>
    </w:p>
    <w:p>
      <w:pPr>
        <w:spacing w:after="0" w:line="88" w:lineRule="exact"/>
        <w:rPr>
          <w:sz w:val="20"/>
          <w:szCs w:val="20"/>
          <w:color w:val="auto"/>
        </w:rPr>
      </w:pPr>
    </w:p>
    <w:tbl>
      <w:tblPr>
        <w:tblLayout w:type="fixed"/>
        <w:tblInd w:w="373" w:type="dxa"/>
        <w:tblCellMar>
          <w:top w:w="0" w:type="dxa"/>
          <w:left w:w="0" w:type="dxa"/>
          <w:bottom w:w="0" w:type="dxa"/>
          <w:right w:w="0" w:type="dxa"/>
        </w:tblCellMar>
      </w:tblPr>
      <w:tr>
        <w:trPr>
          <w:trHeight w:val="184"/>
        </w:trPr>
        <w:tc>
          <w:tcPr>
            <w:tcW w:w="53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Chairman and CEO</w:t>
            </w:r>
          </w:p>
        </w:tc>
        <w:tc>
          <w:tcPr>
            <w:tcW w:w="80" w:type="dxa"/>
            <w:vAlign w:val="bottom"/>
          </w:tcPr>
          <w:p>
            <w:pPr>
              <w:spacing w:after="0"/>
              <w:rPr>
                <w:sz w:val="16"/>
                <w:szCs w:val="16"/>
                <w:color w:val="auto"/>
              </w:rPr>
            </w:pPr>
          </w:p>
        </w:tc>
        <w:tc>
          <w:tcPr>
            <w:tcW w:w="51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All Other Named Executive Officers</w:t>
            </w:r>
          </w:p>
        </w:tc>
      </w:tr>
      <w:tr>
        <w:trPr>
          <w:trHeight w:val="213"/>
        </w:trPr>
        <w:tc>
          <w:tcPr>
            <w:tcW w:w="53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Target Total Direct Compensation Mix</w:t>
            </w:r>
          </w:p>
        </w:tc>
        <w:tc>
          <w:tcPr>
            <w:tcW w:w="80" w:type="dxa"/>
            <w:vAlign w:val="bottom"/>
          </w:tcPr>
          <w:p>
            <w:pPr>
              <w:spacing w:after="0"/>
              <w:rPr>
                <w:sz w:val="18"/>
                <w:szCs w:val="18"/>
                <w:color w:val="auto"/>
              </w:rPr>
            </w:pPr>
          </w:p>
        </w:tc>
        <w:tc>
          <w:tcPr>
            <w:tcW w:w="51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Target Total Direct Compensation Mix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50800</wp:posOffset>
            </wp:positionV>
            <wp:extent cx="5845810" cy="2050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45810" cy="205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2"/>
        <w:spacing w:after="0"/>
        <w:rPr>
          <w:sz w:val="20"/>
          <w:szCs w:val="20"/>
          <w:color w:val="auto"/>
        </w:rPr>
      </w:pPr>
      <w:r>
        <w:rPr>
          <w:rFonts w:ascii="Arial" w:cs="Arial" w:eastAsia="Arial" w:hAnsi="Arial"/>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79375</wp:posOffset>
            </wp:positionV>
            <wp:extent cx="715962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93"/>
          </w:cols>
          <w:pgMar w:left="267" w:top="1103"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20"/>
          <w:szCs w:val="20"/>
          <w:b w:val="1"/>
          <w:bCs w:val="1"/>
          <w:color w:val="C00000"/>
        </w:rPr>
        <w:t>Elements of Our Executive Compensation Program</w:t>
      </w:r>
    </w:p>
    <w:p>
      <w:pPr>
        <w:spacing w:after="0" w:line="1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fiscal 2025 executive compensation program consisted of the following elements, their purpose and key actions taken during fiscal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89535</wp:posOffset>
            </wp:positionV>
            <wp:extent cx="7049135" cy="135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49135" cy="135255"/>
                    </a:xfrm>
                    <a:prstGeom prst="rect">
                      <a:avLst/>
                    </a:prstGeom>
                    <a:noFill/>
                  </pic:spPr>
                </pic:pic>
              </a:graphicData>
            </a:graphic>
          </wp:anchor>
        </w:drawing>
      </w:r>
    </w:p>
    <w:p>
      <w:pPr>
        <w:spacing w:after="0" w:line="138" w:lineRule="exact"/>
        <w:rPr>
          <w:sz w:val="20"/>
          <w:szCs w:val="20"/>
          <w:color w:val="auto"/>
        </w:rPr>
      </w:pPr>
    </w:p>
    <w:p>
      <w:pPr>
        <w:ind w:left="440"/>
        <w:spacing w:after="0"/>
        <w:tabs>
          <w:tab w:leader="none" w:pos="2360" w:val="left"/>
          <w:tab w:leader="none" w:pos="5480" w:val="left"/>
          <w:tab w:leader="none" w:pos="8440" w:val="left"/>
        </w:tabs>
        <w:rPr>
          <w:sz w:val="20"/>
          <w:szCs w:val="20"/>
          <w:color w:val="auto"/>
        </w:rPr>
      </w:pPr>
      <w:r>
        <w:rPr>
          <w:rFonts w:ascii="Arial" w:cs="Arial" w:eastAsia="Arial" w:hAnsi="Arial"/>
          <w:sz w:val="14"/>
          <w:szCs w:val="14"/>
          <w:b w:val="1"/>
          <w:bCs w:val="1"/>
          <w:color w:val="FFFFFF"/>
        </w:rPr>
        <w:t>Element</w:t>
      </w:r>
      <w:r>
        <w:rPr>
          <w:sz w:val="20"/>
          <w:szCs w:val="20"/>
          <w:color w:val="auto"/>
        </w:rPr>
        <w:tab/>
      </w:r>
      <w:r>
        <w:rPr>
          <w:rFonts w:ascii="Arial" w:cs="Arial" w:eastAsia="Arial" w:hAnsi="Arial"/>
          <w:sz w:val="14"/>
          <w:szCs w:val="14"/>
          <w:b w:val="1"/>
          <w:bCs w:val="1"/>
          <w:color w:val="FFFFFF"/>
        </w:rPr>
        <w:t>Description</w:t>
      </w:r>
      <w:r>
        <w:rPr>
          <w:sz w:val="20"/>
          <w:szCs w:val="20"/>
          <w:color w:val="auto"/>
        </w:rPr>
        <w:tab/>
      </w:r>
      <w:r>
        <w:rPr>
          <w:rFonts w:ascii="Arial" w:cs="Arial" w:eastAsia="Arial" w:hAnsi="Arial"/>
          <w:sz w:val="14"/>
          <w:szCs w:val="14"/>
          <w:b w:val="1"/>
          <w:bCs w:val="1"/>
          <w:color w:val="FFFFFF"/>
        </w:rPr>
        <w:t>Purpose</w:t>
      </w:r>
      <w:r>
        <w:rPr>
          <w:sz w:val="20"/>
          <w:szCs w:val="20"/>
          <w:color w:val="auto"/>
        </w:rPr>
        <w:tab/>
      </w:r>
      <w:r>
        <w:rPr>
          <w:rFonts w:ascii="Arial" w:cs="Arial" w:eastAsia="Arial" w:hAnsi="Arial"/>
          <w:sz w:val="14"/>
          <w:szCs w:val="14"/>
          <w:b w:val="1"/>
          <w:bCs w:val="1"/>
          <w:color w:val="FFFFFF"/>
        </w:rPr>
        <w:t>Key Fiscal 2025 Actions</w:t>
      </w:r>
    </w:p>
    <w:p>
      <w:pPr>
        <w:sectPr>
          <w:pgSz w:w="11900" w:h="16838" w:orient="portrait"/>
          <w:cols w:equalWidth="0" w:num="1">
            <w:col w:w="11240"/>
          </w:cols>
          <w:pgMar w:left="320" w:top="1103" w:right="339" w:bottom="1440" w:gutter="0" w:footer="0" w:header="0"/>
        </w:sectPr>
      </w:pPr>
    </w:p>
    <w:p>
      <w:pPr>
        <w:spacing w:after="0" w:line="34" w:lineRule="exact"/>
        <w:rPr>
          <w:sz w:val="20"/>
          <w:szCs w:val="20"/>
          <w:color w:val="auto"/>
        </w:rPr>
      </w:pPr>
    </w:p>
    <w:tbl>
      <w:tblPr>
        <w:tblLayout w:type="fixed"/>
        <w:tblInd w:w="100" w:type="dxa"/>
        <w:tblCellMar>
          <w:top w:w="0" w:type="dxa"/>
          <w:left w:w="0" w:type="dxa"/>
          <w:bottom w:w="0" w:type="dxa"/>
          <w:right w:w="0" w:type="dxa"/>
        </w:tblCellMar>
      </w:tblPr>
      <w:tr>
        <w:trPr>
          <w:trHeight w:val="188"/>
        </w:trPr>
        <w:tc>
          <w:tcPr>
            <w:tcW w:w="1060" w:type="dxa"/>
            <w:vAlign w:val="bottom"/>
          </w:tcPr>
          <w:p>
            <w:pPr>
              <w:spacing w:after="0"/>
              <w:rPr>
                <w:sz w:val="20"/>
                <w:szCs w:val="20"/>
                <w:color w:val="auto"/>
              </w:rPr>
            </w:pPr>
            <w:r>
              <w:rPr>
                <w:rFonts w:ascii="Arial" w:cs="Arial" w:eastAsia="Arial" w:hAnsi="Arial"/>
                <w:sz w:val="16"/>
                <w:szCs w:val="16"/>
                <w:color w:val="auto"/>
              </w:rPr>
              <w:t>Base Salary</w:t>
            </w:r>
          </w:p>
        </w:tc>
        <w:tc>
          <w:tcPr>
            <w:tcW w:w="2780" w:type="dxa"/>
            <w:vAlign w:val="bottom"/>
          </w:tcPr>
          <w:p>
            <w:pPr>
              <w:ind w:left="200"/>
              <w:spacing w:after="0"/>
              <w:rPr>
                <w:sz w:val="20"/>
                <w:szCs w:val="20"/>
                <w:color w:val="auto"/>
              </w:rPr>
            </w:pPr>
            <w:r>
              <w:rPr>
                <w:rFonts w:ascii="Arial" w:cs="Arial" w:eastAsia="Arial" w:hAnsi="Arial"/>
                <w:sz w:val="16"/>
                <w:szCs w:val="16"/>
                <w:color w:val="auto"/>
              </w:rPr>
              <w:t>A fixed amount, paid in cash and</w:t>
            </w:r>
          </w:p>
        </w:tc>
        <w:tc>
          <w:tcPr>
            <w:tcW w:w="3260" w:type="dxa"/>
            <w:vAlign w:val="bottom"/>
          </w:tcPr>
          <w:p>
            <w:pPr>
              <w:ind w:left="260"/>
              <w:spacing w:after="0"/>
              <w:rPr>
                <w:sz w:val="20"/>
                <w:szCs w:val="20"/>
                <w:color w:val="auto"/>
              </w:rPr>
            </w:pPr>
            <w:r>
              <w:rPr>
                <w:rFonts w:ascii="Arial" w:cs="Arial" w:eastAsia="Arial" w:hAnsi="Arial"/>
                <w:sz w:val="16"/>
                <w:szCs w:val="16"/>
                <w:color w:val="auto"/>
              </w:rPr>
              <w:t>Provide a source of fixed income that is</w:t>
            </w:r>
          </w:p>
        </w:tc>
        <w:tc>
          <w:tcPr>
            <w:tcW w:w="0" w:type="dxa"/>
            <w:vAlign w:val="bottom"/>
          </w:tcPr>
          <w:p>
            <w:pPr>
              <w:spacing w:after="0"/>
              <w:rPr>
                <w:sz w:val="1"/>
                <w:szCs w:val="1"/>
                <w:color w:val="auto"/>
              </w:rPr>
            </w:pPr>
          </w:p>
        </w:tc>
      </w:tr>
      <w:tr>
        <w:trPr>
          <w:trHeight w:val="187"/>
        </w:trPr>
        <w:tc>
          <w:tcPr>
            <w:tcW w:w="1060" w:type="dxa"/>
            <w:vAlign w:val="bottom"/>
          </w:tcPr>
          <w:p>
            <w:pPr>
              <w:spacing w:after="0"/>
              <w:rPr>
                <w:sz w:val="16"/>
                <w:szCs w:val="16"/>
                <w:color w:val="auto"/>
              </w:rPr>
            </w:pPr>
          </w:p>
        </w:tc>
        <w:tc>
          <w:tcPr>
            <w:tcW w:w="2780" w:type="dxa"/>
            <w:vAlign w:val="bottom"/>
          </w:tcPr>
          <w:p>
            <w:pPr>
              <w:ind w:left="200"/>
              <w:spacing w:after="0"/>
              <w:rPr>
                <w:sz w:val="20"/>
                <w:szCs w:val="20"/>
                <w:color w:val="auto"/>
              </w:rPr>
            </w:pPr>
            <w:r>
              <w:rPr>
                <w:rFonts w:ascii="Arial" w:cs="Arial" w:eastAsia="Arial" w:hAnsi="Arial"/>
                <w:sz w:val="16"/>
                <w:szCs w:val="16"/>
                <w:color w:val="auto"/>
              </w:rPr>
              <w:t>reviewed annually and,</w:t>
            </w:r>
          </w:p>
        </w:tc>
        <w:tc>
          <w:tcPr>
            <w:tcW w:w="3260" w:type="dxa"/>
            <w:vAlign w:val="bottom"/>
          </w:tcPr>
          <w:p>
            <w:pPr>
              <w:ind w:left="260"/>
              <w:spacing w:after="0"/>
              <w:rPr>
                <w:sz w:val="20"/>
                <w:szCs w:val="20"/>
                <w:color w:val="auto"/>
              </w:rPr>
            </w:pPr>
            <w:r>
              <w:rPr>
                <w:rFonts w:ascii="Arial" w:cs="Arial" w:eastAsia="Arial" w:hAnsi="Arial"/>
                <w:sz w:val="16"/>
                <w:szCs w:val="16"/>
                <w:color w:val="auto"/>
                <w:w w:val="99"/>
              </w:rPr>
              <w:t>market competitive and reflects scope and</w:t>
            </w:r>
          </w:p>
        </w:tc>
        <w:tc>
          <w:tcPr>
            <w:tcW w:w="0" w:type="dxa"/>
            <w:vAlign w:val="bottom"/>
          </w:tcPr>
          <w:p>
            <w:pPr>
              <w:spacing w:after="0"/>
              <w:rPr>
                <w:sz w:val="1"/>
                <w:szCs w:val="1"/>
                <w:color w:val="auto"/>
              </w:rPr>
            </w:pPr>
          </w:p>
        </w:tc>
      </w:tr>
      <w:tr>
        <w:trPr>
          <w:trHeight w:val="211"/>
        </w:trPr>
        <w:tc>
          <w:tcPr>
            <w:tcW w:w="1060" w:type="dxa"/>
            <w:vAlign w:val="bottom"/>
          </w:tcPr>
          <w:p>
            <w:pPr>
              <w:spacing w:after="0"/>
              <w:rPr>
                <w:sz w:val="18"/>
                <w:szCs w:val="18"/>
                <w:color w:val="auto"/>
              </w:rPr>
            </w:pPr>
          </w:p>
        </w:tc>
        <w:tc>
          <w:tcPr>
            <w:tcW w:w="2780" w:type="dxa"/>
            <w:vAlign w:val="bottom"/>
            <w:vMerge w:val="restart"/>
          </w:tcPr>
          <w:p>
            <w:pPr>
              <w:ind w:left="200"/>
              <w:spacing w:after="0"/>
              <w:rPr>
                <w:sz w:val="20"/>
                <w:szCs w:val="20"/>
                <w:color w:val="auto"/>
              </w:rPr>
            </w:pPr>
            <w:r>
              <w:rPr>
                <w:rFonts w:ascii="Arial" w:cs="Arial" w:eastAsia="Arial" w:hAnsi="Arial"/>
                <w:sz w:val="16"/>
                <w:szCs w:val="16"/>
                <w:color w:val="auto"/>
              </w:rPr>
              <w:t>if appropriate, adjusted.</w:t>
            </w:r>
          </w:p>
        </w:tc>
        <w:tc>
          <w:tcPr>
            <w:tcW w:w="3260" w:type="dxa"/>
            <w:vAlign w:val="bottom"/>
          </w:tcPr>
          <w:p>
            <w:pPr>
              <w:ind w:left="260"/>
              <w:spacing w:after="0"/>
              <w:rPr>
                <w:sz w:val="20"/>
                <w:szCs w:val="20"/>
                <w:color w:val="auto"/>
              </w:rPr>
            </w:pPr>
            <w:r>
              <w:rPr>
                <w:rFonts w:ascii="Arial" w:cs="Arial" w:eastAsia="Arial" w:hAnsi="Arial"/>
                <w:sz w:val="16"/>
                <w:szCs w:val="16"/>
                <w:color w:val="auto"/>
              </w:rPr>
              <w:t>responsibility of the position held.</w:t>
            </w:r>
          </w:p>
        </w:tc>
        <w:tc>
          <w:tcPr>
            <w:tcW w:w="0" w:type="dxa"/>
            <w:vAlign w:val="bottom"/>
          </w:tcPr>
          <w:p>
            <w:pPr>
              <w:spacing w:after="0"/>
              <w:rPr>
                <w:sz w:val="1"/>
                <w:szCs w:val="1"/>
                <w:color w:val="auto"/>
              </w:rPr>
            </w:pPr>
          </w:p>
        </w:tc>
      </w:tr>
      <w:tr>
        <w:trPr>
          <w:trHeight w:val="53"/>
        </w:trPr>
        <w:tc>
          <w:tcPr>
            <w:tcW w:w="1060" w:type="dxa"/>
            <w:vAlign w:val="bottom"/>
          </w:tcPr>
          <w:p>
            <w:pPr>
              <w:spacing w:after="0"/>
              <w:rPr>
                <w:sz w:val="4"/>
                <w:szCs w:val="4"/>
                <w:color w:val="auto"/>
              </w:rPr>
            </w:pPr>
          </w:p>
        </w:tc>
        <w:tc>
          <w:tcPr>
            <w:tcW w:w="2780" w:type="dxa"/>
            <w:vAlign w:val="bottom"/>
            <w:vMerge w:val="continue"/>
          </w:tcPr>
          <w:p>
            <w:pPr>
              <w:spacing w:after="0"/>
              <w:rPr>
                <w:sz w:val="4"/>
                <w:szCs w:val="4"/>
                <w:color w:val="auto"/>
              </w:rPr>
            </w:pPr>
          </w:p>
        </w:tc>
        <w:tc>
          <w:tcPr>
            <w:tcW w:w="32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1080" w:type="dxa"/>
            <w:vAlign w:val="bottom"/>
          </w:tcPr>
          <w:p>
            <w:pPr>
              <w:spacing w:after="0"/>
              <w:rPr>
                <w:sz w:val="20"/>
                <w:szCs w:val="20"/>
                <w:color w:val="auto"/>
              </w:rPr>
            </w:pPr>
            <w:r>
              <w:rPr>
                <w:rFonts w:ascii="Arial" w:cs="Arial" w:eastAsia="Arial" w:hAnsi="Arial"/>
                <w:sz w:val="16"/>
                <w:szCs w:val="16"/>
                <w:color w:val="auto"/>
              </w:rPr>
              <w:t>Annual Cash</w:t>
            </w:r>
          </w:p>
        </w:tc>
        <w:tc>
          <w:tcPr>
            <w:tcW w:w="2940" w:type="dxa"/>
            <w:vAlign w:val="bottom"/>
          </w:tcPr>
          <w:p>
            <w:pPr>
              <w:ind w:left="180"/>
              <w:spacing w:after="0"/>
              <w:rPr>
                <w:sz w:val="20"/>
                <w:szCs w:val="20"/>
                <w:color w:val="auto"/>
              </w:rPr>
            </w:pPr>
            <w:r>
              <w:rPr>
                <w:rFonts w:ascii="Arial" w:cs="Arial" w:eastAsia="Arial" w:hAnsi="Arial"/>
                <w:sz w:val="16"/>
                <w:szCs w:val="16"/>
                <w:color w:val="auto"/>
              </w:rPr>
              <w:t>A variable, short-term element of</w:t>
            </w:r>
          </w:p>
        </w:tc>
        <w:tc>
          <w:tcPr>
            <w:tcW w:w="3140" w:type="dxa"/>
            <w:vAlign w:val="bottom"/>
          </w:tcPr>
          <w:p>
            <w:pPr>
              <w:ind w:left="80"/>
              <w:spacing w:after="0"/>
              <w:rPr>
                <w:sz w:val="20"/>
                <w:szCs w:val="20"/>
                <w:color w:val="auto"/>
              </w:rPr>
            </w:pPr>
            <w:r>
              <w:rPr>
                <w:rFonts w:ascii="Arial" w:cs="Arial" w:eastAsia="Arial" w:hAnsi="Arial"/>
                <w:sz w:val="16"/>
                <w:szCs w:val="16"/>
                <w:color w:val="auto"/>
              </w:rPr>
              <w:t>Motivate and reward our executive officers</w:t>
            </w:r>
          </w:p>
        </w:tc>
      </w:tr>
      <w:tr>
        <w:trPr>
          <w:trHeight w:val="187"/>
        </w:trPr>
        <w:tc>
          <w:tcPr>
            <w:tcW w:w="1080" w:type="dxa"/>
            <w:vAlign w:val="bottom"/>
          </w:tcPr>
          <w:p>
            <w:pPr>
              <w:spacing w:after="0"/>
              <w:rPr>
                <w:sz w:val="20"/>
                <w:szCs w:val="20"/>
                <w:color w:val="auto"/>
              </w:rPr>
            </w:pPr>
            <w:r>
              <w:rPr>
                <w:rFonts w:ascii="Arial" w:cs="Arial" w:eastAsia="Arial" w:hAnsi="Arial"/>
                <w:sz w:val="16"/>
                <w:szCs w:val="16"/>
                <w:color w:val="auto"/>
              </w:rPr>
              <w:t>Incentive</w:t>
            </w:r>
          </w:p>
        </w:tc>
        <w:tc>
          <w:tcPr>
            <w:tcW w:w="2940" w:type="dxa"/>
            <w:vAlign w:val="bottom"/>
          </w:tcPr>
          <w:p>
            <w:pPr>
              <w:ind w:left="180"/>
              <w:spacing w:after="0"/>
              <w:rPr>
                <w:sz w:val="20"/>
                <w:szCs w:val="20"/>
                <w:color w:val="auto"/>
              </w:rPr>
            </w:pPr>
            <w:r>
              <w:rPr>
                <w:rFonts w:ascii="Arial" w:cs="Arial" w:eastAsia="Arial" w:hAnsi="Arial"/>
                <w:sz w:val="16"/>
                <w:szCs w:val="16"/>
                <w:color w:val="auto"/>
              </w:rPr>
              <w:t>compensation, payable in cash based</w:t>
            </w:r>
          </w:p>
        </w:tc>
        <w:tc>
          <w:tcPr>
            <w:tcW w:w="3140" w:type="dxa"/>
            <w:vAlign w:val="bottom"/>
          </w:tcPr>
          <w:p>
            <w:pPr>
              <w:ind w:left="80"/>
              <w:spacing w:after="0"/>
              <w:rPr>
                <w:sz w:val="20"/>
                <w:szCs w:val="20"/>
                <w:color w:val="auto"/>
              </w:rPr>
            </w:pPr>
            <w:r>
              <w:rPr>
                <w:rFonts w:ascii="Arial" w:cs="Arial" w:eastAsia="Arial" w:hAnsi="Arial"/>
                <w:sz w:val="16"/>
                <w:szCs w:val="16"/>
                <w:color w:val="auto"/>
              </w:rPr>
              <w:t>for achievement of annual financial goals</w:t>
            </w:r>
          </w:p>
        </w:tc>
      </w:tr>
      <w:tr>
        <w:trPr>
          <w:trHeight w:val="187"/>
        </w:trPr>
        <w:tc>
          <w:tcPr>
            <w:tcW w:w="1080" w:type="dxa"/>
            <w:vAlign w:val="bottom"/>
          </w:tcPr>
          <w:p>
            <w:pPr>
              <w:spacing w:after="0"/>
              <w:rPr>
                <w:sz w:val="16"/>
                <w:szCs w:val="16"/>
                <w:color w:val="auto"/>
              </w:rPr>
            </w:pPr>
          </w:p>
        </w:tc>
        <w:tc>
          <w:tcPr>
            <w:tcW w:w="2940" w:type="dxa"/>
            <w:vAlign w:val="bottom"/>
          </w:tcPr>
          <w:p>
            <w:pPr>
              <w:ind w:left="180"/>
              <w:spacing w:after="0"/>
              <w:rPr>
                <w:sz w:val="20"/>
                <w:szCs w:val="20"/>
                <w:color w:val="auto"/>
              </w:rPr>
            </w:pPr>
            <w:r>
              <w:rPr>
                <w:rFonts w:ascii="Arial" w:cs="Arial" w:eastAsia="Arial" w:hAnsi="Arial"/>
                <w:sz w:val="16"/>
                <w:szCs w:val="16"/>
                <w:color w:val="auto"/>
              </w:rPr>
              <w:t>on achievement of pre-established</w:t>
            </w:r>
          </w:p>
        </w:tc>
        <w:tc>
          <w:tcPr>
            <w:tcW w:w="3140" w:type="dxa"/>
            <w:vAlign w:val="bottom"/>
          </w:tcPr>
          <w:p>
            <w:pPr>
              <w:ind w:left="80"/>
              <w:spacing w:after="0"/>
              <w:rPr>
                <w:sz w:val="20"/>
                <w:szCs w:val="20"/>
                <w:color w:val="auto"/>
              </w:rPr>
            </w:pPr>
            <w:r>
              <w:rPr>
                <w:rFonts w:ascii="Arial" w:cs="Arial" w:eastAsia="Arial" w:hAnsi="Arial"/>
                <w:sz w:val="16"/>
                <w:szCs w:val="16"/>
                <w:color w:val="auto"/>
                <w:w w:val="98"/>
              </w:rPr>
              <w:t>intended to drive overall company, group or</w:t>
            </w:r>
          </w:p>
        </w:tc>
      </w:tr>
      <w:tr>
        <w:trPr>
          <w:trHeight w:val="211"/>
        </w:trPr>
        <w:tc>
          <w:tcPr>
            <w:tcW w:w="1080" w:type="dxa"/>
            <w:vAlign w:val="bottom"/>
          </w:tcPr>
          <w:p>
            <w:pPr>
              <w:spacing w:after="0"/>
              <w:rPr>
                <w:sz w:val="18"/>
                <w:szCs w:val="18"/>
                <w:color w:val="auto"/>
              </w:rPr>
            </w:pPr>
          </w:p>
        </w:tc>
        <w:tc>
          <w:tcPr>
            <w:tcW w:w="2940" w:type="dxa"/>
            <w:vAlign w:val="bottom"/>
          </w:tcPr>
          <w:p>
            <w:pPr>
              <w:ind w:left="180"/>
              <w:spacing w:after="0"/>
              <w:rPr>
                <w:sz w:val="20"/>
                <w:szCs w:val="20"/>
                <w:color w:val="auto"/>
              </w:rPr>
            </w:pPr>
            <w:r>
              <w:rPr>
                <w:rFonts w:ascii="Arial" w:cs="Arial" w:eastAsia="Arial" w:hAnsi="Arial"/>
                <w:sz w:val="16"/>
                <w:szCs w:val="16"/>
                <w:color w:val="auto"/>
              </w:rPr>
              <w:t>annual financial goals.</w:t>
            </w:r>
          </w:p>
        </w:tc>
        <w:tc>
          <w:tcPr>
            <w:tcW w:w="3140" w:type="dxa"/>
            <w:vAlign w:val="bottom"/>
          </w:tcPr>
          <w:p>
            <w:pPr>
              <w:ind w:left="80"/>
              <w:spacing w:after="0"/>
              <w:rPr>
                <w:sz w:val="20"/>
                <w:szCs w:val="20"/>
                <w:color w:val="auto"/>
              </w:rPr>
            </w:pPr>
            <w:r>
              <w:rPr>
                <w:rFonts w:ascii="Arial" w:cs="Arial" w:eastAsia="Arial" w:hAnsi="Arial"/>
                <w:sz w:val="16"/>
                <w:szCs w:val="16"/>
                <w:color w:val="auto"/>
              </w:rPr>
              <w:t>divisional performance.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-480060</wp:posOffset>
            </wp:positionV>
            <wp:extent cx="7049135" cy="17202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49135" cy="172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1000" w:type="dxa"/>
            <w:vAlign w:val="bottom"/>
          </w:tcPr>
          <w:p>
            <w:pPr>
              <w:spacing w:after="0"/>
              <w:rPr>
                <w:sz w:val="20"/>
                <w:szCs w:val="20"/>
                <w:color w:val="auto"/>
              </w:rPr>
            </w:pPr>
            <w:r>
              <w:rPr>
                <w:rFonts w:ascii="Arial" w:cs="Arial" w:eastAsia="Arial" w:hAnsi="Arial"/>
                <w:sz w:val="16"/>
                <w:szCs w:val="16"/>
                <w:color w:val="auto"/>
              </w:rPr>
              <w:t>Long-Term</w:t>
            </w:r>
          </w:p>
        </w:tc>
        <w:tc>
          <w:tcPr>
            <w:tcW w:w="3060" w:type="dxa"/>
            <w:vAlign w:val="bottom"/>
          </w:tcPr>
          <w:p>
            <w:pPr>
              <w:ind w:left="260"/>
              <w:spacing w:after="0"/>
              <w:rPr>
                <w:sz w:val="20"/>
                <w:szCs w:val="20"/>
                <w:color w:val="auto"/>
              </w:rPr>
            </w:pPr>
            <w:r>
              <w:rPr>
                <w:rFonts w:ascii="Arial" w:cs="Arial" w:eastAsia="Arial" w:hAnsi="Arial"/>
                <w:sz w:val="16"/>
                <w:szCs w:val="16"/>
                <w:color w:val="auto"/>
              </w:rPr>
              <w:t>A variable, long-term element of</w:t>
            </w:r>
          </w:p>
        </w:tc>
        <w:tc>
          <w:tcPr>
            <w:tcW w:w="3160" w:type="dxa"/>
            <w:vAlign w:val="bottom"/>
          </w:tcPr>
          <w:p>
            <w:pPr>
              <w:ind w:left="40"/>
              <w:spacing w:after="0"/>
              <w:rPr>
                <w:sz w:val="20"/>
                <w:szCs w:val="20"/>
                <w:color w:val="auto"/>
              </w:rPr>
            </w:pPr>
            <w:r>
              <w:rPr>
                <w:rFonts w:ascii="Arial" w:cs="Arial" w:eastAsia="Arial" w:hAnsi="Arial"/>
                <w:sz w:val="16"/>
                <w:szCs w:val="16"/>
                <w:color w:val="auto"/>
              </w:rPr>
              <w:t>Align the interests of our executive officers</w:t>
            </w:r>
          </w:p>
        </w:tc>
      </w:tr>
      <w:tr>
        <w:trPr>
          <w:trHeight w:val="187"/>
        </w:trPr>
        <w:tc>
          <w:tcPr>
            <w:tcW w:w="1000" w:type="dxa"/>
            <w:vAlign w:val="bottom"/>
          </w:tcPr>
          <w:p>
            <w:pPr>
              <w:spacing w:after="0"/>
              <w:rPr>
                <w:sz w:val="20"/>
                <w:szCs w:val="20"/>
                <w:color w:val="auto"/>
              </w:rPr>
            </w:pPr>
            <w:r>
              <w:rPr>
                <w:rFonts w:ascii="Arial" w:cs="Arial" w:eastAsia="Arial" w:hAnsi="Arial"/>
                <w:sz w:val="16"/>
                <w:szCs w:val="16"/>
                <w:color w:val="auto"/>
              </w:rPr>
              <w:t>Incentives</w:t>
            </w:r>
          </w:p>
        </w:tc>
        <w:tc>
          <w:tcPr>
            <w:tcW w:w="3060" w:type="dxa"/>
            <w:vAlign w:val="bottom"/>
          </w:tcPr>
          <w:p>
            <w:pPr>
              <w:ind w:left="260"/>
              <w:spacing w:after="0"/>
              <w:rPr>
                <w:sz w:val="20"/>
                <w:szCs w:val="20"/>
                <w:color w:val="auto"/>
              </w:rPr>
            </w:pPr>
            <w:r>
              <w:rPr>
                <w:rFonts w:ascii="Arial" w:cs="Arial" w:eastAsia="Arial" w:hAnsi="Arial"/>
                <w:sz w:val="16"/>
                <w:szCs w:val="16"/>
                <w:color w:val="auto"/>
              </w:rPr>
              <w:t>compensation, provided in the form of</w:t>
            </w:r>
          </w:p>
        </w:tc>
        <w:tc>
          <w:tcPr>
            <w:tcW w:w="3160" w:type="dxa"/>
            <w:vAlign w:val="bottom"/>
          </w:tcPr>
          <w:p>
            <w:pPr>
              <w:ind w:left="40"/>
              <w:spacing w:after="0"/>
              <w:rPr>
                <w:sz w:val="20"/>
                <w:szCs w:val="20"/>
                <w:color w:val="auto"/>
              </w:rPr>
            </w:pPr>
            <w:r>
              <w:rPr>
                <w:rFonts w:ascii="Arial" w:cs="Arial" w:eastAsia="Arial" w:hAnsi="Arial"/>
                <w:sz w:val="16"/>
                <w:szCs w:val="16"/>
                <w:color w:val="auto"/>
              </w:rPr>
              <w:t>with our stockholders; encourage focus on</w:t>
            </w:r>
          </w:p>
        </w:tc>
      </w:tr>
      <w:tr>
        <w:trPr>
          <w:trHeight w:val="187"/>
        </w:trPr>
        <w:tc>
          <w:tcPr>
            <w:tcW w:w="1000" w:type="dxa"/>
            <w:vAlign w:val="bottom"/>
          </w:tcPr>
          <w:p>
            <w:pPr>
              <w:spacing w:after="0"/>
              <w:rPr>
                <w:sz w:val="16"/>
                <w:szCs w:val="16"/>
                <w:color w:val="auto"/>
              </w:rPr>
            </w:pPr>
          </w:p>
        </w:tc>
        <w:tc>
          <w:tcPr>
            <w:tcW w:w="3060" w:type="dxa"/>
            <w:vAlign w:val="bottom"/>
          </w:tcPr>
          <w:p>
            <w:pPr>
              <w:ind w:left="260"/>
              <w:spacing w:after="0"/>
              <w:rPr>
                <w:sz w:val="20"/>
                <w:szCs w:val="20"/>
                <w:color w:val="auto"/>
              </w:rPr>
            </w:pPr>
            <w:r>
              <w:rPr>
                <w:rFonts w:ascii="Arial" w:cs="Arial" w:eastAsia="Arial" w:hAnsi="Arial"/>
                <w:sz w:val="16"/>
                <w:szCs w:val="16"/>
                <w:color w:val="auto"/>
              </w:rPr>
              <w:t>performance share awards (payable</w:t>
            </w:r>
          </w:p>
        </w:tc>
        <w:tc>
          <w:tcPr>
            <w:tcW w:w="3160" w:type="dxa"/>
            <w:vAlign w:val="bottom"/>
          </w:tcPr>
          <w:p>
            <w:pPr>
              <w:ind w:left="40"/>
              <w:spacing w:after="0"/>
              <w:rPr>
                <w:sz w:val="20"/>
                <w:szCs w:val="20"/>
                <w:color w:val="auto"/>
              </w:rPr>
            </w:pPr>
            <w:r>
              <w:rPr>
                <w:rFonts w:ascii="Arial" w:cs="Arial" w:eastAsia="Arial" w:hAnsi="Arial"/>
                <w:sz w:val="16"/>
                <w:szCs w:val="16"/>
                <w:color w:val="auto"/>
              </w:rPr>
              <w:t>long-term company financial performance</w:t>
            </w:r>
          </w:p>
        </w:tc>
      </w:tr>
      <w:tr>
        <w:trPr>
          <w:trHeight w:val="173"/>
        </w:trPr>
        <w:tc>
          <w:tcPr>
            <w:tcW w:w="1000" w:type="dxa"/>
            <w:vAlign w:val="bottom"/>
          </w:tcPr>
          <w:p>
            <w:pPr>
              <w:spacing w:after="0"/>
              <w:rPr>
                <w:sz w:val="15"/>
                <w:szCs w:val="15"/>
                <w:color w:val="auto"/>
              </w:rPr>
            </w:pPr>
          </w:p>
        </w:tc>
        <w:tc>
          <w:tcPr>
            <w:tcW w:w="3060" w:type="dxa"/>
            <w:vAlign w:val="bottom"/>
          </w:tcPr>
          <w:p>
            <w:pPr>
              <w:ind w:left="260"/>
              <w:spacing w:after="0" w:line="174" w:lineRule="exact"/>
              <w:rPr>
                <w:sz w:val="20"/>
                <w:szCs w:val="20"/>
                <w:color w:val="auto"/>
              </w:rPr>
            </w:pPr>
            <w:r>
              <w:rPr>
                <w:rFonts w:ascii="Arial" w:cs="Arial" w:eastAsia="Arial" w:hAnsi="Arial"/>
                <w:sz w:val="16"/>
                <w:szCs w:val="16"/>
                <w:color w:val="auto"/>
              </w:rPr>
              <w:t>based on achievement of three-year</w:t>
            </w:r>
          </w:p>
        </w:tc>
        <w:tc>
          <w:tcPr>
            <w:tcW w:w="3160" w:type="dxa"/>
            <w:vAlign w:val="bottom"/>
          </w:tcPr>
          <w:p>
            <w:pPr>
              <w:ind w:left="40"/>
              <w:spacing w:after="0" w:line="174" w:lineRule="exact"/>
              <w:rPr>
                <w:sz w:val="20"/>
                <w:szCs w:val="20"/>
                <w:color w:val="auto"/>
              </w:rPr>
            </w:pPr>
            <w:r>
              <w:rPr>
                <w:rFonts w:ascii="Arial" w:cs="Arial" w:eastAsia="Arial" w:hAnsi="Arial"/>
                <w:sz w:val="16"/>
                <w:szCs w:val="16"/>
                <w:color w:val="auto"/>
                <w:w w:val="99"/>
              </w:rPr>
              <w:t>measures that are deemed strategically and</w:t>
            </w:r>
          </w:p>
        </w:tc>
      </w:tr>
      <w:tr>
        <w:trPr>
          <w:trHeight w:val="187"/>
        </w:trPr>
        <w:tc>
          <w:tcPr>
            <w:tcW w:w="1000" w:type="dxa"/>
            <w:vAlign w:val="bottom"/>
          </w:tcPr>
          <w:p>
            <w:pPr>
              <w:spacing w:after="0"/>
              <w:rPr>
                <w:sz w:val="16"/>
                <w:szCs w:val="16"/>
                <w:color w:val="auto"/>
              </w:rPr>
            </w:pPr>
          </w:p>
        </w:tc>
        <w:tc>
          <w:tcPr>
            <w:tcW w:w="3060" w:type="dxa"/>
            <w:vAlign w:val="bottom"/>
          </w:tcPr>
          <w:p>
            <w:pPr>
              <w:ind w:left="260"/>
              <w:spacing w:after="0"/>
              <w:rPr>
                <w:sz w:val="20"/>
                <w:szCs w:val="20"/>
                <w:color w:val="auto"/>
              </w:rPr>
            </w:pPr>
            <w:r>
              <w:rPr>
                <w:rFonts w:ascii="Arial" w:cs="Arial" w:eastAsia="Arial" w:hAnsi="Arial"/>
                <w:sz w:val="16"/>
                <w:szCs w:val="16"/>
                <w:color w:val="auto"/>
              </w:rPr>
              <w:t>cumulative financial goals) and stock</w:t>
            </w:r>
          </w:p>
        </w:tc>
        <w:tc>
          <w:tcPr>
            <w:tcW w:w="3160" w:type="dxa"/>
            <w:vAlign w:val="bottom"/>
          </w:tcPr>
          <w:p>
            <w:pPr>
              <w:ind w:left="40"/>
              <w:spacing w:after="0"/>
              <w:rPr>
                <w:sz w:val="20"/>
                <w:szCs w:val="20"/>
                <w:color w:val="auto"/>
              </w:rPr>
            </w:pPr>
            <w:r>
              <w:rPr>
                <w:rFonts w:ascii="Arial" w:cs="Arial" w:eastAsia="Arial" w:hAnsi="Arial"/>
                <w:sz w:val="16"/>
                <w:szCs w:val="16"/>
                <w:color w:val="auto"/>
              </w:rPr>
              <w:t>operationally important to our Company;</w:t>
            </w:r>
          </w:p>
        </w:tc>
      </w:tr>
      <w:tr>
        <w:trPr>
          <w:trHeight w:val="187"/>
        </w:trPr>
        <w:tc>
          <w:tcPr>
            <w:tcW w:w="1000" w:type="dxa"/>
            <w:vAlign w:val="bottom"/>
          </w:tcPr>
          <w:p>
            <w:pPr>
              <w:spacing w:after="0"/>
              <w:rPr>
                <w:sz w:val="16"/>
                <w:szCs w:val="16"/>
                <w:color w:val="auto"/>
              </w:rPr>
            </w:pPr>
          </w:p>
        </w:tc>
        <w:tc>
          <w:tcPr>
            <w:tcW w:w="3060" w:type="dxa"/>
            <w:vAlign w:val="bottom"/>
          </w:tcPr>
          <w:p>
            <w:pPr>
              <w:ind w:left="260"/>
              <w:spacing w:after="0"/>
              <w:rPr>
                <w:sz w:val="20"/>
                <w:szCs w:val="20"/>
                <w:color w:val="auto"/>
              </w:rPr>
            </w:pPr>
            <w:r>
              <w:rPr>
                <w:rFonts w:ascii="Arial" w:cs="Arial" w:eastAsia="Arial" w:hAnsi="Arial"/>
                <w:sz w:val="16"/>
                <w:szCs w:val="16"/>
                <w:color w:val="auto"/>
              </w:rPr>
              <w:t>options, which vest annually over three</w:t>
            </w:r>
          </w:p>
        </w:tc>
        <w:tc>
          <w:tcPr>
            <w:tcW w:w="3160" w:type="dxa"/>
            <w:vAlign w:val="bottom"/>
          </w:tcPr>
          <w:p>
            <w:pPr>
              <w:ind w:left="40"/>
              <w:spacing w:after="0"/>
              <w:rPr>
                <w:sz w:val="20"/>
                <w:szCs w:val="20"/>
                <w:color w:val="auto"/>
              </w:rPr>
            </w:pPr>
            <w:r>
              <w:rPr>
                <w:rFonts w:ascii="Arial" w:cs="Arial" w:eastAsia="Arial" w:hAnsi="Arial"/>
                <w:sz w:val="16"/>
                <w:szCs w:val="16"/>
                <w:color w:val="auto"/>
              </w:rPr>
              <w:t>promote retention of our executive officers;</w:t>
            </w:r>
          </w:p>
        </w:tc>
      </w:tr>
      <w:tr>
        <w:trPr>
          <w:trHeight w:val="173"/>
        </w:trPr>
        <w:tc>
          <w:tcPr>
            <w:tcW w:w="1000" w:type="dxa"/>
            <w:vAlign w:val="bottom"/>
          </w:tcPr>
          <w:p>
            <w:pPr>
              <w:spacing w:after="0"/>
              <w:rPr>
                <w:sz w:val="15"/>
                <w:szCs w:val="15"/>
                <w:color w:val="auto"/>
              </w:rPr>
            </w:pPr>
          </w:p>
        </w:tc>
        <w:tc>
          <w:tcPr>
            <w:tcW w:w="3060" w:type="dxa"/>
            <w:vAlign w:val="bottom"/>
          </w:tcPr>
          <w:p>
            <w:pPr>
              <w:ind w:left="260"/>
              <w:spacing w:after="0" w:line="174" w:lineRule="exact"/>
              <w:rPr>
                <w:sz w:val="20"/>
                <w:szCs w:val="20"/>
                <w:color w:val="auto"/>
              </w:rPr>
            </w:pPr>
            <w:r>
              <w:rPr>
                <w:rFonts w:ascii="Arial" w:cs="Arial" w:eastAsia="Arial" w:hAnsi="Arial"/>
                <w:sz w:val="16"/>
                <w:szCs w:val="16"/>
                <w:color w:val="auto"/>
              </w:rPr>
              <w:t>years.</w:t>
            </w:r>
          </w:p>
        </w:tc>
        <w:tc>
          <w:tcPr>
            <w:tcW w:w="3160" w:type="dxa"/>
            <w:vAlign w:val="bottom"/>
          </w:tcPr>
          <w:p>
            <w:pPr>
              <w:ind w:left="40"/>
              <w:spacing w:after="0" w:line="174" w:lineRule="exact"/>
              <w:rPr>
                <w:sz w:val="20"/>
                <w:szCs w:val="20"/>
                <w:color w:val="auto"/>
              </w:rPr>
            </w:pPr>
            <w:r>
              <w:rPr>
                <w:rFonts w:ascii="Arial" w:cs="Arial" w:eastAsia="Arial" w:hAnsi="Arial"/>
                <w:sz w:val="16"/>
                <w:szCs w:val="16"/>
                <w:color w:val="auto"/>
              </w:rPr>
              <w:t>and encourage significant ownership of our</w:t>
            </w:r>
          </w:p>
        </w:tc>
      </w:tr>
      <w:tr>
        <w:trPr>
          <w:trHeight w:val="211"/>
        </w:trPr>
        <w:tc>
          <w:tcPr>
            <w:tcW w:w="10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160" w:type="dxa"/>
            <w:vAlign w:val="bottom"/>
          </w:tcPr>
          <w:p>
            <w:pPr>
              <w:ind w:left="40"/>
              <w:spacing w:after="0"/>
              <w:rPr>
                <w:sz w:val="20"/>
                <w:szCs w:val="20"/>
                <w:color w:val="auto"/>
              </w:rPr>
            </w:pPr>
            <w:r>
              <w:rPr>
                <w:rFonts w:ascii="Arial" w:cs="Arial" w:eastAsia="Arial" w:hAnsi="Arial"/>
                <w:sz w:val="16"/>
                <w:szCs w:val="16"/>
                <w:color w:val="auto"/>
              </w:rPr>
              <w:t>common stock.</w:t>
            </w:r>
          </w:p>
        </w:tc>
      </w:tr>
    </w:tbl>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160"/>
        <w:spacing w:after="0" w:line="245" w:lineRule="auto"/>
        <w:rPr>
          <w:sz w:val="20"/>
          <w:szCs w:val="20"/>
          <w:color w:val="auto"/>
        </w:rPr>
      </w:pPr>
      <w:r>
        <w:rPr>
          <w:rFonts w:ascii="Arial" w:cs="Arial" w:eastAsia="Arial" w:hAnsi="Arial"/>
          <w:sz w:val="16"/>
          <w:szCs w:val="16"/>
          <w:color w:val="auto"/>
        </w:rPr>
        <w:t>Our NEOs received base salary increases on March 1, 2025 with our Chairman and CEO receiving a</w:t>
      </w:r>
    </w:p>
    <w:p>
      <w:pPr>
        <w:spacing w:after="0" w:line="1"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color w:val="auto"/>
        </w:rPr>
        <w:t>3.4% increase and other NEOs receiving increases between 3.5% and 10.2%.</w:t>
      </w:r>
    </w:p>
    <w:p>
      <w:pPr>
        <w:spacing w:after="0" w:line="4" w:lineRule="exact"/>
        <w:rPr>
          <w:sz w:val="20"/>
          <w:szCs w:val="20"/>
          <w:color w:val="auto"/>
        </w:rPr>
      </w:pPr>
    </w:p>
    <w:p>
      <w:pPr>
        <w:ind w:right="220"/>
        <w:spacing w:after="0" w:line="249" w:lineRule="auto"/>
        <w:rPr>
          <w:sz w:val="20"/>
          <w:szCs w:val="20"/>
          <w:color w:val="auto"/>
        </w:rPr>
      </w:pPr>
      <w:r>
        <w:rPr>
          <w:rFonts w:ascii="Arial" w:cs="Arial" w:eastAsia="Arial" w:hAnsi="Arial"/>
          <w:sz w:val="16"/>
          <w:szCs w:val="16"/>
          <w:color w:val="auto"/>
        </w:rPr>
        <w:t>On September 1, 2025, in connection with his promotion to President and Chief Operating Officer, Mr. Funk received an additional 44.3% base salary increase.</w:t>
      </w:r>
    </w:p>
    <w:p>
      <w:pPr>
        <w:spacing w:after="0" w:line="24" w:lineRule="exact"/>
        <w:rPr>
          <w:sz w:val="20"/>
          <w:szCs w:val="20"/>
          <w:color w:val="auto"/>
        </w:rPr>
      </w:pPr>
    </w:p>
    <w:p>
      <w:pPr>
        <w:ind w:right="260"/>
        <w:spacing w:after="0" w:line="243" w:lineRule="auto"/>
        <w:rPr>
          <w:sz w:val="20"/>
          <w:szCs w:val="20"/>
          <w:color w:val="auto"/>
        </w:rPr>
      </w:pPr>
      <w:r>
        <w:rPr>
          <w:rFonts w:ascii="Arial" w:cs="Arial" w:eastAsia="Arial" w:hAnsi="Arial"/>
          <w:sz w:val="16"/>
          <w:szCs w:val="16"/>
          <w:color w:val="auto"/>
        </w:rPr>
        <w:t>On October 27, 2025, Mr. Moeller received an additional 22.7% base salary increase to acknowledge his additional international division responsibilities and to align with our competitive market positioning and Mr. Janey received an additional 14.9% base salary increase to align with our competitive market positioning.</w:t>
      </w:r>
    </w:p>
    <w:p>
      <w:pPr>
        <w:spacing w:after="0" w:line="84" w:lineRule="exact"/>
        <w:rPr>
          <w:sz w:val="20"/>
          <w:szCs w:val="20"/>
          <w:color w:val="auto"/>
        </w:rPr>
      </w:pPr>
    </w:p>
    <w:p>
      <w:pPr>
        <w:jc w:val="both"/>
        <w:ind w:right="180"/>
        <w:spacing w:after="0" w:line="238" w:lineRule="auto"/>
        <w:rPr>
          <w:sz w:val="20"/>
          <w:szCs w:val="20"/>
          <w:color w:val="auto"/>
        </w:rPr>
      </w:pPr>
      <w:r>
        <w:rPr>
          <w:rFonts w:ascii="Arial" w:cs="Arial" w:eastAsia="Arial" w:hAnsi="Arial"/>
          <w:sz w:val="16"/>
          <w:szCs w:val="16"/>
          <w:color w:val="auto"/>
        </w:rPr>
        <w:t>At the beginning of fiscal 2025, a target award as a percent of base salary was established at 130% for our Chairman and CEO and between 65% and 70% for our other NEOs.</w:t>
      </w:r>
    </w:p>
    <w:p>
      <w:pPr>
        <w:spacing w:after="0" w:line="31"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auto"/>
        </w:rPr>
        <w:t>In connection with his promotion, Mr. Funk's annual percentage increased to 90% effective on September 1, 2025.</w:t>
      </w:r>
    </w:p>
    <w:p>
      <w:pPr>
        <w:spacing w:after="0" w:line="21" w:lineRule="exact"/>
        <w:rPr>
          <w:sz w:val="20"/>
          <w:szCs w:val="20"/>
          <w:color w:val="auto"/>
        </w:rPr>
      </w:pPr>
    </w:p>
    <w:p>
      <w:pPr>
        <w:ind w:right="100"/>
        <w:spacing w:after="0" w:line="235" w:lineRule="auto"/>
        <w:rPr>
          <w:sz w:val="20"/>
          <w:szCs w:val="20"/>
          <w:color w:val="auto"/>
        </w:rPr>
      </w:pPr>
      <w:r>
        <w:rPr>
          <w:rFonts w:ascii="Arial" w:cs="Arial" w:eastAsia="Arial" w:hAnsi="Arial"/>
          <w:sz w:val="16"/>
          <w:szCs w:val="16"/>
          <w:color w:val="auto"/>
        </w:rPr>
        <w:t>Corporate performance measures, weightings and goals were established for all our NEOs. Additionally, group performance measures, weightings and goals were established for Mr. Funk, who served as group vice president for a portion of the fiscal year and Messrs. Moeller and Janey who served as group vice presidents during fiscal 2025.</w:t>
      </w:r>
    </w:p>
    <w:p>
      <w:pPr>
        <w:spacing w:after="0" w:line="87" w:lineRule="exact"/>
        <w:rPr>
          <w:sz w:val="20"/>
          <w:szCs w:val="20"/>
          <w:color w:val="auto"/>
        </w:rPr>
      </w:pPr>
    </w:p>
    <w:p>
      <w:pPr>
        <w:ind w:right="560"/>
        <w:spacing w:after="0" w:line="261" w:lineRule="auto"/>
        <w:rPr>
          <w:sz w:val="20"/>
          <w:szCs w:val="20"/>
          <w:color w:val="auto"/>
        </w:rPr>
      </w:pPr>
      <w:r>
        <w:rPr>
          <w:rFonts w:ascii="Arial" w:cs="Arial" w:eastAsia="Arial" w:hAnsi="Arial"/>
          <w:sz w:val="16"/>
          <w:szCs w:val="16"/>
          <w:color w:val="auto"/>
        </w:rPr>
        <w:t>All our NEOs were granted performance share awards and stock options.</w:t>
      </w:r>
    </w:p>
    <w:p>
      <w:pPr>
        <w:ind w:right="100"/>
        <w:spacing w:after="0" w:line="234" w:lineRule="auto"/>
        <w:rPr>
          <w:sz w:val="20"/>
          <w:szCs w:val="20"/>
          <w:color w:val="auto"/>
        </w:rPr>
      </w:pPr>
      <w:r>
        <w:rPr>
          <w:rFonts w:ascii="Arial" w:cs="Arial" w:eastAsia="Arial" w:hAnsi="Arial"/>
          <w:sz w:val="16"/>
          <w:szCs w:val="16"/>
          <w:color w:val="auto"/>
        </w:rPr>
        <w:t>Mr. Funk was granted a restricted stock unit award in connection with his promotion in September 2025 and each of Messrs. Moeller and Janey were granted a restricted stock unit award for retention purposes. Mr. Funk's restricted stock unit award vests in annual installments over three years and Messrs. Moeller's and Janey's cliff vest on the three-year anniversary of the grant date.</w:t>
      </w:r>
    </w:p>
    <w:p>
      <w:pPr>
        <w:spacing w:after="0" w:line="19" w:lineRule="exact"/>
        <w:rPr>
          <w:sz w:val="20"/>
          <w:szCs w:val="20"/>
          <w:color w:val="auto"/>
        </w:rPr>
      </w:pPr>
    </w:p>
    <w:p>
      <w:pPr>
        <w:ind w:right="420"/>
        <w:spacing w:after="0" w:line="272" w:lineRule="auto"/>
        <w:rPr>
          <w:sz w:val="20"/>
          <w:szCs w:val="20"/>
          <w:color w:val="auto"/>
        </w:rPr>
      </w:pPr>
      <w:r>
        <w:rPr>
          <w:rFonts w:ascii="Arial" w:cs="Arial" w:eastAsia="Arial" w:hAnsi="Arial"/>
          <w:sz w:val="16"/>
          <w:szCs w:val="16"/>
          <w:color w:val="auto"/>
        </w:rPr>
        <w:t>All stock options vest in annual installments over three years.</w:t>
      </w:r>
    </w:p>
    <w:p>
      <w:pPr>
        <w:spacing w:after="0" w:line="1" w:lineRule="exact"/>
        <w:rPr>
          <w:sz w:val="20"/>
          <w:szCs w:val="20"/>
          <w:color w:val="auto"/>
        </w:rPr>
      </w:pPr>
    </w:p>
    <w:p>
      <w:pPr>
        <w:sectPr>
          <w:pgSz w:w="11900" w:h="16838" w:orient="portrait"/>
          <w:cols w:equalWidth="0" w:num="2">
            <w:col w:w="7320" w:space="60"/>
            <w:col w:w="3860"/>
          </w:cols>
          <w:pgMar w:left="320" w:top="1103" w:right="339" w:bottom="1440" w:gutter="0" w:footer="0" w:header="0"/>
          <w:type w:val="continuous"/>
        </w:sectPr>
      </w:pPr>
    </w:p>
    <w:tbl>
      <w:tblPr>
        <w:tblLayout w:type="fixed"/>
        <w:tblInd w:w="80" w:type="dxa"/>
        <w:tblCellMar>
          <w:top w:w="0" w:type="dxa"/>
          <w:left w:w="0" w:type="dxa"/>
          <w:bottom w:w="0" w:type="dxa"/>
          <w:right w:w="0" w:type="dxa"/>
        </w:tblCellMar>
      </w:tblPr>
      <w:tr>
        <w:trPr>
          <w:trHeight w:val="170"/>
        </w:trPr>
        <w:tc>
          <w:tcPr>
            <w:tcW w:w="1240" w:type="dxa"/>
            <w:vAlign w:val="bottom"/>
            <w:shd w:val="clear" w:color="auto" w:fill="DBDBDB"/>
          </w:tcPr>
          <w:p>
            <w:pPr>
              <w:ind w:left="20"/>
              <w:spacing w:after="0" w:line="170" w:lineRule="exact"/>
              <w:rPr>
                <w:sz w:val="20"/>
                <w:szCs w:val="20"/>
                <w:color w:val="auto"/>
              </w:rPr>
            </w:pPr>
            <w:r>
              <w:rPr>
                <w:rFonts w:ascii="Arial" w:cs="Arial" w:eastAsia="Arial" w:hAnsi="Arial"/>
                <w:sz w:val="16"/>
                <w:szCs w:val="16"/>
                <w:color w:val="auto"/>
              </w:rPr>
              <w:t>Health and</w:t>
            </w:r>
          </w:p>
        </w:tc>
        <w:tc>
          <w:tcPr>
            <w:tcW w:w="2840" w:type="dxa"/>
            <w:vAlign w:val="bottom"/>
            <w:shd w:val="clear" w:color="auto" w:fill="DBDBDB"/>
          </w:tcPr>
          <w:p>
            <w:pPr>
              <w:ind w:left="40"/>
              <w:spacing w:after="0" w:line="170" w:lineRule="exact"/>
              <w:rPr>
                <w:sz w:val="20"/>
                <w:szCs w:val="20"/>
                <w:color w:val="auto"/>
              </w:rPr>
            </w:pPr>
            <w:r>
              <w:rPr>
                <w:rFonts w:ascii="Arial" w:cs="Arial" w:eastAsia="Arial" w:hAnsi="Arial"/>
                <w:sz w:val="16"/>
                <w:szCs w:val="16"/>
                <w:color w:val="auto"/>
              </w:rPr>
              <w:t>Includes medical and dental insurance,</w:t>
            </w:r>
          </w:p>
        </w:tc>
        <w:tc>
          <w:tcPr>
            <w:tcW w:w="3020" w:type="dxa"/>
            <w:vAlign w:val="bottom"/>
            <w:shd w:val="clear" w:color="auto" w:fill="DBDBDB"/>
          </w:tcPr>
          <w:p>
            <w:pPr>
              <w:ind w:left="40"/>
              <w:spacing w:after="0" w:line="170" w:lineRule="exact"/>
              <w:rPr>
                <w:sz w:val="20"/>
                <w:szCs w:val="20"/>
                <w:color w:val="auto"/>
              </w:rPr>
            </w:pPr>
            <w:r>
              <w:rPr>
                <w:rFonts w:ascii="Arial" w:cs="Arial" w:eastAsia="Arial" w:hAnsi="Arial"/>
                <w:sz w:val="16"/>
                <w:szCs w:val="16"/>
                <w:color w:val="auto"/>
              </w:rPr>
              <w:t>Provide competitive health and welfare</w:t>
            </w:r>
          </w:p>
        </w:tc>
        <w:tc>
          <w:tcPr>
            <w:tcW w:w="4000" w:type="dxa"/>
            <w:vAlign w:val="bottom"/>
            <w:shd w:val="clear" w:color="auto" w:fill="DBDBDB"/>
          </w:tcPr>
          <w:p>
            <w:pPr>
              <w:ind w:left="200"/>
              <w:spacing w:after="0" w:line="170" w:lineRule="exact"/>
              <w:rPr>
                <w:sz w:val="20"/>
                <w:szCs w:val="20"/>
                <w:color w:val="auto"/>
              </w:rPr>
            </w:pPr>
            <w:r>
              <w:rPr>
                <w:rFonts w:ascii="Arial" w:cs="Arial" w:eastAsia="Arial" w:hAnsi="Arial"/>
                <w:sz w:val="16"/>
                <w:szCs w:val="16"/>
                <w:color w:val="auto"/>
              </w:rPr>
              <w:t>No significant changes were made to our health and</w:t>
            </w:r>
          </w:p>
        </w:tc>
      </w:tr>
      <w:tr>
        <w:trPr>
          <w:trHeight w:val="187"/>
        </w:trPr>
        <w:tc>
          <w:tcPr>
            <w:tcW w:w="1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Welfare Benefits</w:t>
            </w:r>
          </w:p>
        </w:tc>
        <w:tc>
          <w:tcPr>
            <w:tcW w:w="2840" w:type="dxa"/>
            <w:vAlign w:val="bottom"/>
            <w:shd w:val="clear" w:color="auto" w:fill="DBDBDB"/>
          </w:tcPr>
          <w:p>
            <w:pPr>
              <w:ind w:left="40"/>
              <w:spacing w:after="0"/>
              <w:rPr>
                <w:sz w:val="20"/>
                <w:szCs w:val="20"/>
                <w:color w:val="auto"/>
              </w:rPr>
            </w:pPr>
            <w:r>
              <w:rPr>
                <w:rFonts w:ascii="Arial" w:cs="Arial" w:eastAsia="Arial" w:hAnsi="Arial"/>
                <w:sz w:val="16"/>
                <w:szCs w:val="16"/>
                <w:color w:val="auto"/>
              </w:rPr>
              <w:t>life and disability insurance and certain</w:t>
            </w:r>
          </w:p>
        </w:tc>
        <w:tc>
          <w:tcPr>
            <w:tcW w:w="3020" w:type="dxa"/>
            <w:vAlign w:val="bottom"/>
            <w:shd w:val="clear" w:color="auto" w:fill="DBDBDB"/>
          </w:tcPr>
          <w:p>
            <w:pPr>
              <w:ind w:left="40"/>
              <w:spacing w:after="0"/>
              <w:rPr>
                <w:sz w:val="20"/>
                <w:szCs w:val="20"/>
                <w:color w:val="auto"/>
              </w:rPr>
            </w:pPr>
            <w:r>
              <w:rPr>
                <w:rFonts w:ascii="Arial" w:cs="Arial" w:eastAsia="Arial" w:hAnsi="Arial"/>
                <w:sz w:val="16"/>
                <w:szCs w:val="16"/>
                <w:color w:val="auto"/>
              </w:rPr>
              <w:t>benefits.</w:t>
            </w:r>
          </w:p>
        </w:tc>
        <w:tc>
          <w:tcPr>
            <w:tcW w:w="4000" w:type="dxa"/>
            <w:vAlign w:val="bottom"/>
            <w:shd w:val="clear" w:color="auto" w:fill="DBDBDB"/>
          </w:tcPr>
          <w:p>
            <w:pPr>
              <w:ind w:left="200"/>
              <w:spacing w:after="0"/>
              <w:rPr>
                <w:sz w:val="20"/>
                <w:szCs w:val="20"/>
                <w:color w:val="auto"/>
              </w:rPr>
            </w:pPr>
            <w:r>
              <w:rPr>
                <w:rFonts w:ascii="Arial" w:cs="Arial" w:eastAsia="Arial" w:hAnsi="Arial"/>
                <w:sz w:val="16"/>
                <w:szCs w:val="16"/>
                <w:color w:val="auto"/>
              </w:rPr>
              <w:t>welfare benefits.</w:t>
            </w:r>
          </w:p>
        </w:tc>
      </w:tr>
      <w:tr>
        <w:trPr>
          <w:trHeight w:val="211"/>
        </w:trPr>
        <w:tc>
          <w:tcPr>
            <w:tcW w:w="1240" w:type="dxa"/>
            <w:vAlign w:val="bottom"/>
            <w:shd w:val="clear" w:color="auto" w:fill="DBDBDB"/>
          </w:tcPr>
          <w:p>
            <w:pPr>
              <w:spacing w:after="0"/>
              <w:rPr>
                <w:sz w:val="18"/>
                <w:szCs w:val="18"/>
                <w:color w:val="auto"/>
              </w:rPr>
            </w:pPr>
          </w:p>
        </w:tc>
        <w:tc>
          <w:tcPr>
            <w:tcW w:w="2840" w:type="dxa"/>
            <w:vAlign w:val="bottom"/>
            <w:shd w:val="clear" w:color="auto" w:fill="DBDBDB"/>
          </w:tcPr>
          <w:p>
            <w:pPr>
              <w:ind w:left="40"/>
              <w:spacing w:after="0"/>
              <w:rPr>
                <w:sz w:val="20"/>
                <w:szCs w:val="20"/>
                <w:color w:val="auto"/>
              </w:rPr>
            </w:pPr>
            <w:r>
              <w:rPr>
                <w:rFonts w:ascii="Arial" w:cs="Arial" w:eastAsia="Arial" w:hAnsi="Arial"/>
                <w:sz w:val="16"/>
                <w:szCs w:val="16"/>
                <w:color w:val="auto"/>
              </w:rPr>
              <w:t>voluntary benefits.</w:t>
            </w:r>
          </w:p>
        </w:tc>
        <w:tc>
          <w:tcPr>
            <w:tcW w:w="3020" w:type="dxa"/>
            <w:vAlign w:val="bottom"/>
            <w:shd w:val="clear" w:color="auto" w:fill="DBDBDB"/>
          </w:tcPr>
          <w:p>
            <w:pPr>
              <w:spacing w:after="0"/>
              <w:rPr>
                <w:sz w:val="18"/>
                <w:szCs w:val="18"/>
                <w:color w:val="auto"/>
              </w:rPr>
            </w:pPr>
          </w:p>
        </w:tc>
        <w:tc>
          <w:tcPr>
            <w:tcW w:w="4000" w:type="dxa"/>
            <w:vAlign w:val="bottom"/>
            <w:shd w:val="clear" w:color="auto" w:fill="DBDBDB"/>
          </w:tcPr>
          <w:p>
            <w:pPr>
              <w:spacing w:after="0"/>
              <w:rPr>
                <w:sz w:val="18"/>
                <w:szCs w:val="18"/>
                <w:color w:val="auto"/>
              </w:rPr>
            </w:pPr>
          </w:p>
        </w:tc>
      </w:tr>
      <w:tr>
        <w:trPr>
          <w:trHeight w:val="30"/>
        </w:trPr>
        <w:tc>
          <w:tcPr>
            <w:tcW w:w="1240" w:type="dxa"/>
            <w:vAlign w:val="bottom"/>
            <w:shd w:val="clear" w:color="auto" w:fill="DBDBDB"/>
          </w:tcPr>
          <w:p>
            <w:pPr>
              <w:spacing w:after="0"/>
              <w:rPr>
                <w:sz w:val="2"/>
                <w:szCs w:val="2"/>
                <w:color w:val="auto"/>
              </w:rPr>
            </w:pPr>
          </w:p>
        </w:tc>
        <w:tc>
          <w:tcPr>
            <w:tcW w:w="2840" w:type="dxa"/>
            <w:vAlign w:val="bottom"/>
            <w:shd w:val="clear" w:color="auto" w:fill="DBDBDB"/>
          </w:tcPr>
          <w:p>
            <w:pPr>
              <w:spacing w:after="0"/>
              <w:rPr>
                <w:sz w:val="2"/>
                <w:szCs w:val="2"/>
                <w:color w:val="auto"/>
              </w:rPr>
            </w:pPr>
          </w:p>
        </w:tc>
        <w:tc>
          <w:tcPr>
            <w:tcW w:w="3020" w:type="dxa"/>
            <w:vAlign w:val="bottom"/>
            <w:shd w:val="clear" w:color="auto" w:fill="DBDBDB"/>
          </w:tcPr>
          <w:p>
            <w:pPr>
              <w:spacing w:after="0"/>
              <w:rPr>
                <w:sz w:val="2"/>
                <w:szCs w:val="2"/>
                <w:color w:val="auto"/>
              </w:rPr>
            </w:pPr>
          </w:p>
        </w:tc>
        <w:tc>
          <w:tcPr>
            <w:tcW w:w="400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46" w:name="page47"/>
    <w:bookmarkEnd w:id="46"/>
    <w:p>
      <w:pPr>
        <w:ind w:left="1260" w:hanging="1267"/>
        <w:spacing w:after="0" w:line="252" w:lineRule="auto"/>
        <w:rPr>
          <w:sz w:val="20"/>
          <w:szCs w:val="20"/>
          <w:color w:val="auto"/>
        </w:rPr>
      </w:pPr>
      <w:r>
        <w:rPr>
          <w:rFonts w:ascii="Arial" w:cs="Arial" w:eastAsia="Arial" w:hAnsi="Arial"/>
          <w:sz w:val="16"/>
          <w:szCs w:val="16"/>
          <w:color w:val="auto"/>
        </w:rPr>
        <w:t>Retirement Plans Includes a defined contribution retirement plan and certain nonqualified retirement plans.</w:t>
      </w:r>
    </w:p>
    <w:p>
      <w:pPr>
        <w:spacing w:after="0" w:line="20" w:lineRule="exact"/>
        <w:rPr>
          <w:sz w:val="20"/>
          <w:szCs w:val="20"/>
          <w:color w:val="auto"/>
        </w:rPr>
      </w:pPr>
      <w:r>
        <w:rPr>
          <w:sz w:val="20"/>
          <w:szCs w:val="20"/>
          <w:color w:val="auto"/>
        </w:rPr>
        <w:br w:type="column"/>
      </w:r>
    </w:p>
    <w:p>
      <w:pPr>
        <w:spacing w:after="0" w:line="278" w:lineRule="auto"/>
        <w:rPr>
          <w:sz w:val="20"/>
          <w:szCs w:val="20"/>
          <w:color w:val="auto"/>
        </w:rPr>
      </w:pPr>
      <w:r>
        <w:rPr>
          <w:rFonts w:ascii="Arial" w:cs="Arial" w:eastAsia="Arial" w:hAnsi="Arial"/>
          <w:sz w:val="16"/>
          <w:szCs w:val="16"/>
          <w:color w:val="auto"/>
        </w:rPr>
        <w:t>Provide an opportunity for employees to save and prepare financially for retirement.</w:t>
      </w:r>
    </w:p>
    <w:p>
      <w:pPr>
        <w:spacing w:after="0" w:line="20" w:lineRule="exact"/>
        <w:rPr>
          <w:sz w:val="20"/>
          <w:szCs w:val="20"/>
          <w:color w:val="auto"/>
        </w:rPr>
      </w:pPr>
      <w:r>
        <w:rPr>
          <w:sz w:val="20"/>
          <w:szCs w:val="20"/>
          <w:color w:val="auto"/>
        </w:rPr>
        <w:br w:type="column"/>
      </w:r>
    </w:p>
    <w:p>
      <w:pPr>
        <w:spacing w:after="0" w:line="278" w:lineRule="auto"/>
        <w:rPr>
          <w:sz w:val="20"/>
          <w:szCs w:val="20"/>
          <w:color w:val="auto"/>
        </w:rPr>
      </w:pPr>
      <w:r>
        <w:rPr>
          <w:rFonts w:ascii="Arial" w:cs="Arial" w:eastAsia="Arial" w:hAnsi="Arial"/>
          <w:sz w:val="16"/>
          <w:szCs w:val="16"/>
          <w:color w:val="auto"/>
        </w:rPr>
        <w:t>No significant changes were made to our retirement plans.</w:t>
      </w:r>
    </w:p>
    <w:p>
      <w:pPr>
        <w:spacing w:after="0" w:line="174" w:lineRule="exact"/>
        <w:rPr>
          <w:sz w:val="20"/>
          <w:szCs w:val="20"/>
          <w:color w:val="auto"/>
        </w:rPr>
      </w:pPr>
    </w:p>
    <w:p>
      <w:pPr>
        <w:sectPr>
          <w:pgSz w:w="11900" w:h="16838" w:orient="portrait"/>
          <w:cols w:equalWidth="0" w:num="3">
            <w:col w:w="3440" w:space="660"/>
            <w:col w:w="3040" w:space="140"/>
            <w:col w:w="3680"/>
          </w:cols>
          <w:pgMar w:left="420" w:top="1153" w:right="519" w:bottom="1440" w:gutter="0" w:footer="0" w:header="0"/>
        </w:sectPr>
      </w:pPr>
    </w:p>
    <w:p>
      <w:pPr>
        <w:spacing w:after="0"/>
        <w:tabs>
          <w:tab w:leader="none" w:pos="1240" w:val="left"/>
          <w:tab w:leader="none" w:pos="4080" w:val="left"/>
          <w:tab w:leader="none" w:pos="7260" w:val="left"/>
        </w:tabs>
        <w:rPr>
          <w:sz w:val="20"/>
          <w:szCs w:val="20"/>
          <w:color w:val="auto"/>
        </w:rPr>
      </w:pPr>
      <w:r>
        <w:rPr>
          <w:rFonts w:ascii="Arial" w:cs="Arial" w:eastAsia="Arial" w:hAnsi="Arial"/>
          <w:sz w:val="16"/>
          <w:szCs w:val="16"/>
          <w:color w:val="auto"/>
        </w:rPr>
        <w:t>Perquisites</w:t>
      </w:r>
      <w:r>
        <w:rPr>
          <w:sz w:val="20"/>
          <w:szCs w:val="20"/>
          <w:color w:val="auto"/>
        </w:rPr>
        <w:tab/>
      </w:r>
      <w:r>
        <w:rPr>
          <w:rFonts w:ascii="Arial" w:cs="Arial" w:eastAsia="Arial" w:hAnsi="Arial"/>
          <w:sz w:val="16"/>
          <w:szCs w:val="16"/>
          <w:color w:val="auto"/>
        </w:rPr>
        <w:t>Includes a financial planning</w:t>
      </w:r>
      <w:r>
        <w:rPr>
          <w:sz w:val="20"/>
          <w:szCs w:val="20"/>
          <w:color w:val="auto"/>
        </w:rPr>
        <w:tab/>
      </w:r>
      <w:r>
        <w:rPr>
          <w:rFonts w:ascii="Arial" w:cs="Arial" w:eastAsia="Arial" w:hAnsi="Arial"/>
          <w:sz w:val="16"/>
          <w:szCs w:val="16"/>
          <w:color w:val="auto"/>
        </w:rPr>
        <w:t>Assist in promoting the personal financial</w:t>
      </w:r>
      <w:r>
        <w:rPr>
          <w:sz w:val="20"/>
          <w:szCs w:val="20"/>
          <w:color w:val="auto"/>
        </w:rPr>
        <w:tab/>
      </w:r>
      <w:r>
        <w:rPr>
          <w:rFonts w:ascii="Arial" w:cs="Arial" w:eastAsia="Arial" w:hAnsi="Arial"/>
          <w:sz w:val="16"/>
          <w:szCs w:val="16"/>
          <w:color w:val="auto"/>
        </w:rPr>
        <w:t>No significant changes were made to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-115570</wp:posOffset>
            </wp:positionV>
            <wp:extent cx="7049135" cy="8470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49135" cy="847090"/>
                    </a:xfrm>
                    <a:prstGeom prst="rect">
                      <a:avLst/>
                    </a:prstGeom>
                    <a:noFill/>
                  </pic:spPr>
                </pic:pic>
              </a:graphicData>
            </a:graphic>
          </wp:anchor>
        </w:drawing>
      </w:r>
    </w:p>
    <w:p>
      <w:pPr>
        <w:ind w:left="1260"/>
        <w:spacing w:after="0"/>
        <w:tabs>
          <w:tab w:leader="none" w:pos="4080" w:val="left"/>
        </w:tabs>
        <w:rPr>
          <w:sz w:val="20"/>
          <w:szCs w:val="20"/>
          <w:color w:val="auto"/>
        </w:rPr>
      </w:pPr>
      <w:r>
        <w:rPr>
          <w:rFonts w:ascii="Arial" w:cs="Arial" w:eastAsia="Arial" w:hAnsi="Arial"/>
          <w:sz w:val="16"/>
          <w:szCs w:val="16"/>
          <w:color w:val="auto"/>
        </w:rPr>
        <w:t>allowance, Company products,</w:t>
      </w:r>
      <w:r>
        <w:rPr>
          <w:sz w:val="20"/>
          <w:szCs w:val="20"/>
          <w:color w:val="auto"/>
        </w:rPr>
        <w:tab/>
      </w:r>
      <w:r>
        <w:rPr>
          <w:rFonts w:ascii="Arial" w:cs="Arial" w:eastAsia="Arial" w:hAnsi="Arial"/>
          <w:sz w:val="15"/>
          <w:szCs w:val="15"/>
          <w:color w:val="auto"/>
        </w:rPr>
        <w:t>security of our executive officers; promote</w:t>
      </w:r>
    </w:p>
    <w:p>
      <w:pPr>
        <w:ind w:left="1260"/>
        <w:spacing w:after="0"/>
        <w:rPr>
          <w:sz w:val="20"/>
          <w:szCs w:val="20"/>
          <w:color w:val="auto"/>
        </w:rPr>
      </w:pPr>
      <w:r>
        <w:rPr>
          <w:rFonts w:ascii="Arial" w:cs="Arial" w:eastAsia="Arial" w:hAnsi="Arial"/>
          <w:sz w:val="16"/>
          <w:szCs w:val="16"/>
          <w:color w:val="auto"/>
        </w:rPr>
        <w:t>company-leased automobile, executive personal use of our products by our</w:t>
      </w:r>
    </w:p>
    <w:p>
      <w:pPr>
        <w:spacing w:after="0" w:line="3" w:lineRule="exact"/>
        <w:rPr>
          <w:sz w:val="20"/>
          <w:szCs w:val="20"/>
          <w:color w:val="auto"/>
        </w:rPr>
      </w:pPr>
    </w:p>
    <w:p>
      <w:pPr>
        <w:ind w:left="1260"/>
        <w:spacing w:after="0"/>
        <w:tabs>
          <w:tab w:leader="none" w:pos="4080" w:val="left"/>
        </w:tabs>
        <w:rPr>
          <w:sz w:val="20"/>
          <w:szCs w:val="20"/>
          <w:color w:val="auto"/>
        </w:rPr>
      </w:pPr>
      <w:r>
        <w:rPr>
          <w:rFonts w:ascii="Arial" w:cs="Arial" w:eastAsia="Arial" w:hAnsi="Arial"/>
          <w:sz w:val="16"/>
          <w:szCs w:val="16"/>
          <w:color w:val="auto"/>
        </w:rPr>
        <w:t>physical and certain travel costs for</w:t>
      </w:r>
      <w:r>
        <w:rPr>
          <w:sz w:val="20"/>
          <w:szCs w:val="20"/>
          <w:color w:val="auto"/>
        </w:rPr>
        <w:tab/>
      </w:r>
      <w:r>
        <w:rPr>
          <w:rFonts w:ascii="Arial" w:cs="Arial" w:eastAsia="Arial" w:hAnsi="Arial"/>
          <w:sz w:val="15"/>
          <w:szCs w:val="15"/>
          <w:color w:val="auto"/>
        </w:rPr>
        <w:t>executive officers and the attraction,</w:t>
      </w:r>
    </w:p>
    <w:p>
      <w:pPr>
        <w:ind w:left="1260"/>
        <w:spacing w:after="0" w:line="229" w:lineRule="auto"/>
        <w:tabs>
          <w:tab w:leader="none" w:pos="4080" w:val="left"/>
        </w:tabs>
        <w:rPr>
          <w:sz w:val="20"/>
          <w:szCs w:val="20"/>
          <w:color w:val="auto"/>
        </w:rPr>
      </w:pPr>
      <w:r>
        <w:rPr>
          <w:rFonts w:ascii="Arial" w:cs="Arial" w:eastAsia="Arial" w:hAnsi="Arial"/>
          <w:sz w:val="16"/>
          <w:szCs w:val="16"/>
          <w:color w:val="auto"/>
        </w:rPr>
        <w:t>spouses in connection with certain off-</w:t>
        <w:tab/>
        <w:t>retention and wellbeing of our executive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site business related meetings in which officers.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it is appropriate for a spouse to attend.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79375</wp:posOffset>
            </wp:positionV>
            <wp:extent cx="715962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60"/>
          </w:cols>
          <w:pgMar w:left="420" w:top="1153" w:right="519" w:bottom="1440" w:gutter="0" w:footer="0" w:header="0"/>
          <w:type w:val="continuous"/>
        </w:sectPr>
      </w:pPr>
    </w:p>
    <w:bookmarkStart w:id="47" w:name="page48"/>
    <w:bookmarkEnd w:id="47"/>
    <w:p>
      <w:pPr>
        <w:ind w:left="320"/>
        <w:spacing w:after="0"/>
        <w:rPr>
          <w:sz w:val="20"/>
          <w:szCs w:val="20"/>
          <w:color w:val="auto"/>
        </w:rPr>
      </w:pPr>
      <w:r>
        <w:rPr>
          <w:rFonts w:ascii="Arial" w:cs="Arial" w:eastAsia="Arial" w:hAnsi="Arial"/>
          <w:sz w:val="18"/>
          <w:szCs w:val="18"/>
          <w:b w:val="1"/>
          <w:bCs w:val="1"/>
          <w:color w:val="auto"/>
        </w:rPr>
        <w:t>Base Salary</w:t>
      </w:r>
    </w:p>
    <w:p>
      <w:pPr>
        <w:spacing w:after="0" w:line="102" w:lineRule="exact"/>
        <w:rPr>
          <w:sz w:val="20"/>
          <w:szCs w:val="20"/>
          <w:color w:val="auto"/>
        </w:rPr>
      </w:pPr>
    </w:p>
    <w:p>
      <w:pPr>
        <w:ind w:firstLine="640"/>
        <w:spacing w:after="0" w:line="247"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We set base salaries for new executive officers at the time of hire and each year thereafter to ensure they remain market</w:t>
      </w:r>
      <w:r>
        <w:rPr>
          <w:rFonts w:ascii="Arial" w:cs="Arial" w:eastAsia="Arial" w:hAnsi="Arial"/>
          <w:sz w:val="17"/>
          <w:szCs w:val="17"/>
          <w:i w:val="1"/>
          <w:iCs w:val="1"/>
          <w:color w:val="auto"/>
        </w:rPr>
        <w:t xml:space="preserve"> </w:t>
      </w:r>
      <w:r>
        <w:rPr>
          <w:rFonts w:ascii="Arial" w:cs="Arial" w:eastAsia="Arial" w:hAnsi="Arial"/>
          <w:sz w:val="17"/>
          <w:szCs w:val="17"/>
          <w:color w:val="auto"/>
        </w:rPr>
        <w:t>competitive and reflect the scope and responsibility of their positions, with any changes effective the following March 1st. We also review base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salaries in connection with promotions and otherwise upon a significant change in an executive officer's responsibilities or role.</w:t>
      </w:r>
    </w:p>
    <w:p>
      <w:pPr>
        <w:spacing w:after="0" w:line="8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Discussion and Analysis. </w:t>
      </w:r>
      <w:r>
        <w:rPr>
          <w:rFonts w:ascii="Arial" w:cs="Arial" w:eastAsia="Arial" w:hAnsi="Arial"/>
          <w:sz w:val="18"/>
          <w:szCs w:val="18"/>
          <w:color w:val="auto"/>
        </w:rPr>
        <w:t>We take into consideration the following factors in setting or reviewing base salaries for our executive</w:t>
      </w:r>
    </w:p>
    <w:p>
      <w:pPr>
        <w:spacing w:after="0" w:line="243" w:lineRule="auto"/>
        <w:rPr>
          <w:sz w:val="20"/>
          <w:szCs w:val="20"/>
          <w:color w:val="auto"/>
        </w:rPr>
      </w:pPr>
      <w:r>
        <w:rPr>
          <w:rFonts w:ascii="Arial" w:cs="Arial" w:eastAsia="Arial" w:hAnsi="Arial"/>
          <w:sz w:val="18"/>
          <w:szCs w:val="18"/>
          <w:color w:val="auto"/>
        </w:rPr>
        <w:t>officers: current base salary; positioning relative to competitive market data; scope and complexity of the position; experience; tenure; historical and current levels of function, division and individual performance; future potential; and internal pay comparisons.</w:t>
      </w:r>
    </w:p>
    <w:p>
      <w:pPr>
        <w:spacing w:after="0" w:line="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fiscal 2025 base salaries of our NEOs and any percent increase over fiscal 2024 base salaries are provided in the table below.</w:t>
      </w:r>
    </w:p>
    <w:p>
      <w:pPr>
        <w:spacing w:after="0" w:line="143"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1840" w:type="dxa"/>
            <w:vAlign w:val="bottom"/>
            <w:shd w:val="clear" w:color="auto" w:fill="BF2115"/>
          </w:tcPr>
          <w:p>
            <w:pPr>
              <w:spacing w:after="0"/>
              <w:rPr>
                <w:sz w:val="17"/>
                <w:szCs w:val="17"/>
                <w:color w:val="auto"/>
              </w:rPr>
            </w:pPr>
          </w:p>
        </w:tc>
        <w:tc>
          <w:tcPr>
            <w:tcW w:w="3920" w:type="dxa"/>
            <w:vAlign w:val="bottom"/>
            <w:shd w:val="clear" w:color="auto" w:fill="BF2115"/>
          </w:tcPr>
          <w:p>
            <w:pPr>
              <w:jc w:val="right"/>
              <w:ind w:right="183"/>
              <w:spacing w:after="0"/>
              <w:rPr>
                <w:sz w:val="20"/>
                <w:szCs w:val="20"/>
                <w:color w:val="auto"/>
              </w:rPr>
            </w:pPr>
            <w:r>
              <w:rPr>
                <w:rFonts w:ascii="Arial" w:cs="Arial" w:eastAsia="Arial" w:hAnsi="Arial"/>
                <w:sz w:val="14"/>
                <w:szCs w:val="14"/>
                <w:b w:val="1"/>
                <w:bCs w:val="1"/>
                <w:color w:val="FFFFFF"/>
              </w:rPr>
              <w:t>Fiscal 2025 Base Salary (as of March 1,</w:t>
            </w:r>
          </w:p>
        </w:tc>
        <w:tc>
          <w:tcPr>
            <w:tcW w:w="2940" w:type="dxa"/>
            <w:vAlign w:val="bottom"/>
            <w:shd w:val="clear" w:color="auto" w:fill="BF2115"/>
          </w:tcPr>
          <w:p>
            <w:pPr>
              <w:jc w:val="center"/>
              <w:ind w:right="18"/>
              <w:spacing w:after="0"/>
              <w:rPr>
                <w:sz w:val="20"/>
                <w:szCs w:val="20"/>
                <w:color w:val="auto"/>
              </w:rPr>
            </w:pPr>
            <w:r>
              <w:rPr>
                <w:rFonts w:ascii="Arial" w:cs="Arial" w:eastAsia="Arial" w:hAnsi="Arial"/>
                <w:sz w:val="14"/>
                <w:szCs w:val="14"/>
                <w:b w:val="1"/>
                <w:bCs w:val="1"/>
                <w:color w:val="FFFFFF"/>
              </w:rPr>
              <w:t>Percent Increase Over Fiscal 2024 Base</w:t>
            </w:r>
          </w:p>
        </w:tc>
      </w:tr>
      <w:tr>
        <w:trPr>
          <w:trHeight w:val="173"/>
        </w:trPr>
        <w:tc>
          <w:tcPr>
            <w:tcW w:w="1840" w:type="dxa"/>
            <w:vAlign w:val="bottom"/>
            <w:shd w:val="clear" w:color="auto" w:fill="BF2115"/>
          </w:tcPr>
          <w:p>
            <w:pPr>
              <w:spacing w:after="0"/>
              <w:rPr>
                <w:sz w:val="15"/>
                <w:szCs w:val="15"/>
                <w:color w:val="auto"/>
              </w:rPr>
            </w:pPr>
          </w:p>
        </w:tc>
        <w:tc>
          <w:tcPr>
            <w:tcW w:w="3920" w:type="dxa"/>
            <w:vAlign w:val="bottom"/>
            <w:shd w:val="clear" w:color="auto" w:fill="BF2115"/>
          </w:tcPr>
          <w:p>
            <w:pPr>
              <w:jc w:val="right"/>
              <w:ind w:right="1323"/>
              <w:spacing w:after="0"/>
              <w:rPr>
                <w:sz w:val="20"/>
                <w:szCs w:val="20"/>
                <w:color w:val="auto"/>
              </w:rPr>
            </w:pPr>
            <w:r>
              <w:rPr>
                <w:rFonts w:ascii="Arial" w:cs="Arial" w:eastAsia="Arial" w:hAnsi="Arial"/>
                <w:sz w:val="14"/>
                <w:szCs w:val="14"/>
                <w:b w:val="1"/>
                <w:bCs w:val="1"/>
                <w:color w:val="FFFFFF"/>
              </w:rPr>
              <w:t>2025)</w:t>
            </w:r>
          </w:p>
        </w:tc>
        <w:tc>
          <w:tcPr>
            <w:tcW w:w="29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9"/>
              </w:rPr>
              <w:t>Salary</w:t>
            </w:r>
          </w:p>
        </w:tc>
      </w:tr>
      <w:tr>
        <w:trPr>
          <w:trHeight w:val="196"/>
        </w:trPr>
        <w:tc>
          <w:tcPr>
            <w:tcW w:w="184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3920" w:type="dxa"/>
            <w:vAlign w:val="bottom"/>
            <w:shd w:val="clear" w:color="auto" w:fill="BF2115"/>
          </w:tcPr>
          <w:p>
            <w:pPr>
              <w:jc w:val="right"/>
              <w:ind w:right="1423"/>
              <w:spacing w:after="0"/>
              <w:rPr>
                <w:sz w:val="20"/>
                <w:szCs w:val="20"/>
                <w:color w:val="auto"/>
              </w:rPr>
            </w:pPr>
            <w:r>
              <w:rPr>
                <w:rFonts w:ascii="Arial" w:cs="Arial" w:eastAsia="Arial" w:hAnsi="Arial"/>
                <w:sz w:val="14"/>
                <w:szCs w:val="14"/>
                <w:b w:val="1"/>
                <w:bCs w:val="1"/>
                <w:color w:val="FFFFFF"/>
              </w:rPr>
              <w:t>($)</w:t>
            </w:r>
          </w:p>
        </w:tc>
        <w:tc>
          <w:tcPr>
            <w:tcW w:w="29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t>
            </w:r>
          </w:p>
        </w:tc>
      </w:tr>
      <w:tr>
        <w:trPr>
          <w:trHeight w:val="240"/>
        </w:trPr>
        <w:tc>
          <w:tcPr>
            <w:tcW w:w="1840" w:type="dxa"/>
            <w:vAlign w:val="bottom"/>
          </w:tcPr>
          <w:p>
            <w:pPr>
              <w:ind w:left="20"/>
              <w:spacing w:after="0"/>
              <w:rPr>
                <w:sz w:val="20"/>
                <w:szCs w:val="20"/>
                <w:color w:val="auto"/>
              </w:rPr>
            </w:pPr>
            <w:r>
              <w:rPr>
                <w:rFonts w:ascii="Arial" w:cs="Arial" w:eastAsia="Arial" w:hAnsi="Arial"/>
                <w:sz w:val="16"/>
                <w:szCs w:val="16"/>
                <w:color w:val="auto"/>
              </w:rPr>
              <w:t>Mr. Olson</w:t>
            </w:r>
          </w:p>
        </w:tc>
        <w:tc>
          <w:tcPr>
            <w:tcW w:w="3920" w:type="dxa"/>
            <w:vAlign w:val="bottom"/>
          </w:tcPr>
          <w:p>
            <w:pPr>
              <w:jc w:val="right"/>
              <w:ind w:right="23"/>
              <w:spacing w:after="0"/>
              <w:rPr>
                <w:sz w:val="20"/>
                <w:szCs w:val="20"/>
                <w:color w:val="auto"/>
              </w:rPr>
            </w:pPr>
            <w:r>
              <w:rPr>
                <w:rFonts w:ascii="Arial" w:cs="Arial" w:eastAsia="Arial" w:hAnsi="Arial"/>
                <w:sz w:val="16"/>
                <w:szCs w:val="16"/>
                <w:color w:val="auto"/>
              </w:rPr>
              <w:t>1,230,000</w:t>
            </w:r>
          </w:p>
        </w:tc>
        <w:tc>
          <w:tcPr>
            <w:tcW w:w="2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40"/>
        </w:trPr>
        <w:tc>
          <w:tcPr>
            <w:tcW w:w="1840" w:type="dxa"/>
            <w:vAlign w:val="bottom"/>
            <w:shd w:val="clear" w:color="auto" w:fill="DBDBDB"/>
          </w:tcPr>
          <w:p>
            <w:pPr>
              <w:ind w:left="20"/>
              <w:spacing w:after="0"/>
              <w:rPr>
                <w:sz w:val="20"/>
                <w:szCs w:val="20"/>
                <w:color w:val="auto"/>
              </w:rPr>
            </w:pPr>
            <w:r>
              <w:rPr>
                <w:rFonts w:ascii="Arial" w:cs="Arial" w:eastAsia="Arial" w:hAnsi="Arial"/>
                <w:sz w:val="16"/>
                <w:szCs w:val="16"/>
                <w:color w:val="auto"/>
              </w:rPr>
              <w:t>Ms. Drake</w:t>
            </w:r>
          </w:p>
        </w:tc>
        <w:tc>
          <w:tcPr>
            <w:tcW w:w="3920" w:type="dxa"/>
            <w:vAlign w:val="bottom"/>
            <w:shd w:val="clear" w:color="auto" w:fill="DBDBDB"/>
          </w:tcPr>
          <w:p>
            <w:pPr>
              <w:jc w:val="right"/>
              <w:ind w:right="23"/>
              <w:spacing w:after="0"/>
              <w:rPr>
                <w:sz w:val="20"/>
                <w:szCs w:val="20"/>
                <w:color w:val="auto"/>
              </w:rPr>
            </w:pPr>
            <w:r>
              <w:rPr>
                <w:rFonts w:ascii="Arial" w:cs="Arial" w:eastAsia="Arial" w:hAnsi="Arial"/>
                <w:sz w:val="16"/>
                <w:szCs w:val="16"/>
                <w:color w:val="auto"/>
              </w:rPr>
              <w:t>608,000</w:t>
            </w:r>
          </w:p>
        </w:tc>
        <w:tc>
          <w:tcPr>
            <w:tcW w:w="2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w:t>
            </w:r>
          </w:p>
        </w:tc>
      </w:tr>
      <w:tr>
        <w:trPr>
          <w:trHeight w:val="240"/>
        </w:trPr>
        <w:tc>
          <w:tcPr>
            <w:tcW w:w="1840" w:type="dxa"/>
            <w:vAlign w:val="bottom"/>
          </w:tcPr>
          <w:p>
            <w:pPr>
              <w:ind w:left="20"/>
              <w:spacing w:after="0"/>
              <w:rPr>
                <w:sz w:val="20"/>
                <w:szCs w:val="20"/>
                <w:color w:val="auto"/>
              </w:rPr>
            </w:pPr>
            <w:r>
              <w:rPr>
                <w:rFonts w:ascii="Arial" w:cs="Arial" w:eastAsia="Arial" w:hAnsi="Arial"/>
                <w:sz w:val="16"/>
                <w:szCs w:val="16"/>
                <w:color w:val="auto"/>
              </w:rPr>
              <w:t>Mr. Funk</w:t>
            </w:r>
          </w:p>
        </w:tc>
        <w:tc>
          <w:tcPr>
            <w:tcW w:w="3920" w:type="dxa"/>
            <w:vAlign w:val="bottom"/>
          </w:tcPr>
          <w:p>
            <w:pPr>
              <w:jc w:val="right"/>
              <w:ind w:right="23"/>
              <w:spacing w:after="0"/>
              <w:rPr>
                <w:sz w:val="20"/>
                <w:szCs w:val="20"/>
                <w:color w:val="auto"/>
              </w:rPr>
            </w:pPr>
            <w:r>
              <w:rPr>
                <w:rFonts w:ascii="Arial" w:cs="Arial" w:eastAsia="Arial" w:hAnsi="Arial"/>
                <w:sz w:val="16"/>
                <w:szCs w:val="16"/>
                <w:color w:val="auto"/>
              </w:rPr>
              <w:t>485,000</w:t>
            </w:r>
          </w:p>
        </w:tc>
        <w:tc>
          <w:tcPr>
            <w:tcW w:w="29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40"/>
        </w:trPr>
        <w:tc>
          <w:tcPr>
            <w:tcW w:w="1840" w:type="dxa"/>
            <w:vAlign w:val="bottom"/>
            <w:shd w:val="clear" w:color="auto" w:fill="DBDBDB"/>
          </w:tcPr>
          <w:p>
            <w:pPr>
              <w:ind w:left="20"/>
              <w:spacing w:after="0"/>
              <w:rPr>
                <w:sz w:val="20"/>
                <w:szCs w:val="20"/>
                <w:color w:val="auto"/>
              </w:rPr>
            </w:pPr>
            <w:r>
              <w:rPr>
                <w:rFonts w:ascii="Arial" w:cs="Arial" w:eastAsia="Arial" w:hAnsi="Arial"/>
                <w:sz w:val="16"/>
                <w:szCs w:val="16"/>
                <w:color w:val="auto"/>
              </w:rPr>
              <w:t>Mr. Moeller</w:t>
            </w:r>
          </w:p>
        </w:tc>
        <w:tc>
          <w:tcPr>
            <w:tcW w:w="3920" w:type="dxa"/>
            <w:vAlign w:val="bottom"/>
            <w:shd w:val="clear" w:color="auto" w:fill="DBDBDB"/>
          </w:tcPr>
          <w:p>
            <w:pPr>
              <w:jc w:val="right"/>
              <w:ind w:right="23"/>
              <w:spacing w:after="0"/>
              <w:rPr>
                <w:sz w:val="20"/>
                <w:szCs w:val="20"/>
                <w:color w:val="auto"/>
              </w:rPr>
            </w:pPr>
            <w:r>
              <w:rPr>
                <w:rFonts w:ascii="Arial" w:cs="Arial" w:eastAsia="Arial" w:hAnsi="Arial"/>
                <w:sz w:val="16"/>
                <w:szCs w:val="16"/>
                <w:color w:val="auto"/>
              </w:rPr>
              <w:t>440,000</w:t>
            </w:r>
          </w:p>
        </w:tc>
        <w:tc>
          <w:tcPr>
            <w:tcW w:w="2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1840" w:type="dxa"/>
            <w:vAlign w:val="bottom"/>
          </w:tcPr>
          <w:p>
            <w:pPr>
              <w:ind w:left="20"/>
              <w:spacing w:after="0"/>
              <w:rPr>
                <w:sz w:val="20"/>
                <w:szCs w:val="20"/>
                <w:color w:val="auto"/>
              </w:rPr>
            </w:pPr>
            <w:r>
              <w:rPr>
                <w:rFonts w:ascii="Arial" w:cs="Arial" w:eastAsia="Arial" w:hAnsi="Arial"/>
                <w:sz w:val="16"/>
                <w:szCs w:val="16"/>
                <w:color w:val="auto"/>
              </w:rPr>
              <w:t>Mr. Janey</w:t>
            </w:r>
          </w:p>
        </w:tc>
        <w:tc>
          <w:tcPr>
            <w:tcW w:w="3920" w:type="dxa"/>
            <w:vAlign w:val="bottom"/>
          </w:tcPr>
          <w:p>
            <w:pPr>
              <w:jc w:val="right"/>
              <w:ind w:right="23"/>
              <w:spacing w:after="0"/>
              <w:rPr>
                <w:sz w:val="20"/>
                <w:szCs w:val="20"/>
                <w:color w:val="auto"/>
              </w:rPr>
            </w:pPr>
            <w:r>
              <w:rPr>
                <w:rFonts w:ascii="Arial" w:cs="Arial" w:eastAsia="Arial" w:hAnsi="Arial"/>
                <w:sz w:val="16"/>
                <w:szCs w:val="16"/>
                <w:color w:val="auto"/>
              </w:rPr>
              <w:t>470,000</w:t>
            </w:r>
          </w:p>
        </w:tc>
        <w:tc>
          <w:tcPr>
            <w:tcW w:w="294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16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Mr. Funk received a 10.2% increase to align with our competitive market positioning and reflect the scope, scale and complexity of his</w:t>
      </w:r>
    </w:p>
    <w:p>
      <w:pPr>
        <w:spacing w:after="0" w:line="2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role. He received another 44.3% base salary increase in September 2025 in connection with his promotion to President and Chief Operating Officer. Each of Messrs. Moeller and Janey received an additional base salary increase of 22.7% and 14.9%, respectively, in October 2025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align with our competitive market positioning and, in the case of Mr. Moeller, reflect his expanded international division responsibilities.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Annual Cash Incentives</w:t>
      </w:r>
    </w:p>
    <w:p>
      <w:pPr>
        <w:spacing w:after="0" w:line="89" w:lineRule="exact"/>
        <w:rPr>
          <w:sz w:val="20"/>
          <w:szCs w:val="20"/>
          <w:color w:val="auto"/>
        </w:rPr>
      </w:pPr>
    </w:p>
    <w:p>
      <w:pPr>
        <w:ind w:firstLine="640"/>
        <w:spacing w:after="0" w:line="241"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To help ensure we link pay to performance, we provide the opportunity for our executive officers to earn an annual cash</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designed to motivate attainment and reward accomplishment of annual financial goals. Early each fiscal year, the Compensation &amp;</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Human Resources Committee approves a target award expressed as a percentage of base salary, performance measures, weightings, goals and adjustment events for each executive officer. For each performance measure, threshold, target and maximum performance levels are</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defined with a corresponding payout percentage. Following the end of each fiscal year, management presents a summary of, and the Committee certifies, actual performance compared to the pre-established goals together with a corresponding payout percentage, which 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expressed as a percent of target performance.</w:t>
      </w:r>
    </w:p>
    <w:p>
      <w:pPr>
        <w:spacing w:after="0" w:line="84" w:lineRule="exact"/>
        <w:rPr>
          <w:sz w:val="20"/>
          <w:szCs w:val="20"/>
          <w:color w:val="auto"/>
        </w:rPr>
      </w:pPr>
    </w:p>
    <w:p>
      <w:pPr>
        <w:spacing w:after="0" w:line="233" w:lineRule="auto"/>
        <w:rPr>
          <w:sz w:val="20"/>
          <w:szCs w:val="20"/>
          <w:color w:val="auto"/>
        </w:rPr>
      </w:pPr>
      <w:r>
        <w:rPr>
          <w:rFonts w:ascii="Arial" w:cs="Arial" w:eastAsia="Arial" w:hAnsi="Arial"/>
          <w:sz w:val="18"/>
          <w:szCs w:val="18"/>
          <w:i w:val="1"/>
          <w:iCs w:val="1"/>
          <w:color w:val="auto"/>
        </w:rPr>
        <w:t>Target Awards</w:t>
      </w:r>
      <w:r>
        <w:rPr>
          <w:rFonts w:ascii="Arial" w:cs="Arial" w:eastAsia="Arial" w:hAnsi="Arial"/>
          <w:sz w:val="18"/>
          <w:szCs w:val="18"/>
          <w:color w:val="auto"/>
        </w:rPr>
        <w:t>. When determining the target award for each executive officer, the Committee reviews the market data for target total cash</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(sum of base salary and target annual cash incentive) for the position in which such executive officer serves. Our objective is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that when we achieve target levels of performance for each measure, resulting total cash compensation paid to our executive officers is within</w:t>
      </w:r>
    </w:p>
    <w:p>
      <w:pPr>
        <w:spacing w:after="0" w:line="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 reasonable range of the market 50</w:t>
      </w:r>
      <w:r>
        <w:rPr>
          <w:rFonts w:ascii="Arial" w:cs="Arial" w:eastAsia="Arial" w:hAnsi="Arial"/>
          <w:sz w:val="10"/>
          <w:szCs w:val="10"/>
          <w:color w:val="auto"/>
        </w:rPr>
        <w:t>th</w:t>
      </w:r>
      <w:r>
        <w:rPr>
          <w:rFonts w:ascii="Arial" w:cs="Arial" w:eastAsia="Arial" w:hAnsi="Arial"/>
          <w:sz w:val="18"/>
          <w:szCs w:val="18"/>
          <w:color w:val="auto"/>
        </w:rPr>
        <w:t xml:space="preserve"> percentile. Actual total cash compensation will generally exceed the market 50</w:t>
      </w:r>
      <w:r>
        <w:rPr>
          <w:rFonts w:ascii="Arial" w:cs="Arial" w:eastAsia="Arial" w:hAnsi="Arial"/>
          <w:sz w:val="10"/>
          <w:szCs w:val="10"/>
          <w:color w:val="auto"/>
        </w:rPr>
        <w:t>th</w:t>
      </w:r>
      <w:r>
        <w:rPr>
          <w:rFonts w:ascii="Arial" w:cs="Arial" w:eastAsia="Arial" w:hAnsi="Arial"/>
          <w:sz w:val="18"/>
          <w:szCs w:val="18"/>
          <w:color w:val="auto"/>
        </w:rPr>
        <w:t xml:space="preserve"> percentile if actual performance for each measure exceeds the pre-established target annual financial goals and will generally be less than the market 50</w:t>
      </w:r>
      <w:r>
        <w:rPr>
          <w:rFonts w:ascii="Arial" w:cs="Arial" w:eastAsia="Arial" w:hAnsi="Arial"/>
          <w:sz w:val="10"/>
          <w:szCs w:val="10"/>
          <w:color w:val="auto"/>
        </w:rPr>
        <w:t>th</w:t>
      </w:r>
    </w:p>
    <w:p>
      <w:pPr>
        <w:spacing w:after="0" w:line="232" w:lineRule="auto"/>
        <w:rPr>
          <w:sz w:val="20"/>
          <w:szCs w:val="20"/>
          <w:color w:val="auto"/>
        </w:rPr>
      </w:pPr>
      <w:r>
        <w:rPr>
          <w:rFonts w:ascii="Arial" w:cs="Arial" w:eastAsia="Arial" w:hAnsi="Arial"/>
          <w:sz w:val="18"/>
          <w:szCs w:val="18"/>
          <w:color w:val="auto"/>
        </w:rPr>
        <w:t>percentile if actual performance for each measure is below the pre-established target annual financial goals. In addition to market data, the</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Committee also considers experience, tenure, scope and complexity of the executive officer's position, individual contributions and performance, as well as internal pay equity. Actual payouts can range from 0% (if threshold levels of performance are not met) to 200%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target award (if maximum levels of performance are met or exceeded for all performance measures).</w:t>
      </w:r>
    </w:p>
    <w:p>
      <w:pPr>
        <w:spacing w:after="0" w:line="97" w:lineRule="exact"/>
        <w:rPr>
          <w:sz w:val="20"/>
          <w:szCs w:val="20"/>
          <w:color w:val="auto"/>
        </w:rPr>
      </w:pPr>
    </w:p>
    <w:p>
      <w:pPr>
        <w:ind w:firstLine="388"/>
        <w:spacing w:after="0" w:line="262" w:lineRule="auto"/>
        <w:rPr>
          <w:sz w:val="20"/>
          <w:szCs w:val="20"/>
          <w:color w:val="auto"/>
        </w:rPr>
      </w:pPr>
      <w:r>
        <w:rPr>
          <w:rFonts w:ascii="Arial" w:cs="Arial" w:eastAsia="Arial" w:hAnsi="Arial"/>
          <w:sz w:val="18"/>
          <w:szCs w:val="18"/>
          <w:i w:val="1"/>
          <w:iCs w:val="1"/>
          <w:color w:val="auto"/>
        </w:rPr>
        <w:t xml:space="preserve">Fiscal 2025 Awards. </w:t>
      </w:r>
      <w:r>
        <w:rPr>
          <w:rFonts w:ascii="Arial" w:cs="Arial" w:eastAsia="Arial" w:hAnsi="Arial"/>
          <w:sz w:val="18"/>
          <w:szCs w:val="18"/>
          <w:color w:val="auto"/>
        </w:rPr>
        <w:t>The fiscal 2025 target awards for our NEOs, any change in the target award percentage, the resulting cash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award, and actual target total cash compensation are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48" w:name="page49"/>
    <w:bookmarkEnd w:id="48"/>
    <w:tbl>
      <w:tblPr>
        <w:tblLayout w:type="fixed"/>
        <w:tblInd w:w="200" w:type="dxa"/>
        <w:tblCellMar>
          <w:top w:w="0" w:type="dxa"/>
          <w:left w:w="0" w:type="dxa"/>
          <w:bottom w:w="0" w:type="dxa"/>
          <w:right w:w="0" w:type="dxa"/>
        </w:tblCellMar>
      </w:tblPr>
      <w:tr>
        <w:trPr>
          <w:trHeight w:val="239"/>
        </w:trPr>
        <w:tc>
          <w:tcPr>
            <w:tcW w:w="1340" w:type="dxa"/>
            <w:vAlign w:val="bottom"/>
            <w:shd w:val="clear" w:color="auto" w:fill="BF2115"/>
          </w:tcPr>
          <w:p>
            <w:pPr>
              <w:spacing w:after="0"/>
              <w:rPr>
                <w:sz w:val="20"/>
                <w:szCs w:val="20"/>
                <w:color w:val="auto"/>
              </w:rPr>
            </w:pPr>
          </w:p>
        </w:tc>
        <w:tc>
          <w:tcPr>
            <w:tcW w:w="2080" w:type="dxa"/>
            <w:vAlign w:val="bottom"/>
            <w:shd w:val="clear" w:color="auto" w:fill="BF2115"/>
          </w:tcPr>
          <w:p>
            <w:pPr>
              <w:spacing w:after="0"/>
              <w:rPr>
                <w:sz w:val="20"/>
                <w:szCs w:val="20"/>
                <w:color w:val="auto"/>
              </w:rPr>
            </w:pPr>
          </w:p>
        </w:tc>
        <w:tc>
          <w:tcPr>
            <w:tcW w:w="1940" w:type="dxa"/>
            <w:vAlign w:val="bottom"/>
            <w:vMerge w:val="restart"/>
            <w:shd w:val="clear" w:color="auto" w:fill="BF2115"/>
          </w:tcPr>
          <w:p>
            <w:pPr>
              <w:jc w:val="center"/>
              <w:ind w:right="223"/>
              <w:spacing w:after="0"/>
              <w:rPr>
                <w:sz w:val="20"/>
                <w:szCs w:val="20"/>
                <w:color w:val="auto"/>
              </w:rPr>
            </w:pPr>
            <w:r>
              <w:rPr>
                <w:rFonts w:ascii="Arial" w:cs="Arial" w:eastAsia="Arial" w:hAnsi="Arial"/>
                <w:sz w:val="14"/>
                <w:szCs w:val="14"/>
                <w:b w:val="1"/>
                <w:bCs w:val="1"/>
                <w:color w:val="FFFFFF"/>
              </w:rPr>
              <w:t>Fiscal 2025</w:t>
            </w:r>
          </w:p>
        </w:tc>
        <w:tc>
          <w:tcPr>
            <w:tcW w:w="1660" w:type="dxa"/>
            <w:vAlign w:val="bottom"/>
            <w:shd w:val="clear" w:color="auto" w:fill="BF2115"/>
          </w:tcPr>
          <w:p>
            <w:pPr>
              <w:jc w:val="center"/>
              <w:ind w:right="224"/>
              <w:spacing w:after="0"/>
              <w:rPr>
                <w:sz w:val="20"/>
                <w:szCs w:val="20"/>
                <w:color w:val="auto"/>
              </w:rPr>
            </w:pPr>
            <w:r>
              <w:rPr>
                <w:rFonts w:ascii="Arial" w:cs="Arial" w:eastAsia="Arial" w:hAnsi="Arial"/>
                <w:sz w:val="14"/>
                <w:szCs w:val="14"/>
                <w:b w:val="1"/>
                <w:bCs w:val="1"/>
                <w:color w:val="FFFFFF"/>
              </w:rPr>
              <w:t>Fiscal 2025</w:t>
            </w:r>
          </w:p>
        </w:tc>
        <w:tc>
          <w:tcPr>
            <w:tcW w:w="2060" w:type="dxa"/>
            <w:vAlign w:val="bottom"/>
            <w:shd w:val="clear" w:color="auto" w:fill="BF2115"/>
          </w:tcPr>
          <w:p>
            <w:pPr>
              <w:jc w:val="center"/>
              <w:ind w:right="224"/>
              <w:spacing w:after="0"/>
              <w:rPr>
                <w:sz w:val="20"/>
                <w:szCs w:val="20"/>
                <w:color w:val="auto"/>
              </w:rPr>
            </w:pPr>
            <w:r>
              <w:rPr>
                <w:rFonts w:ascii="Arial" w:cs="Arial" w:eastAsia="Arial" w:hAnsi="Arial"/>
                <w:sz w:val="14"/>
                <w:szCs w:val="14"/>
                <w:b w:val="1"/>
                <w:bCs w:val="1"/>
                <w:color w:val="FFFFFF"/>
              </w:rPr>
              <w:t>Fiscal 2025</w:t>
            </w:r>
          </w:p>
        </w:tc>
        <w:tc>
          <w:tcPr>
            <w:tcW w:w="1760" w:type="dxa"/>
            <w:vAlign w:val="bottom"/>
            <w:shd w:val="clear" w:color="auto" w:fill="BF2115"/>
          </w:tcPr>
          <w:p>
            <w:pPr>
              <w:jc w:val="center"/>
              <w:ind w:right="44"/>
              <w:spacing w:after="0"/>
              <w:rPr>
                <w:sz w:val="20"/>
                <w:szCs w:val="20"/>
                <w:color w:val="auto"/>
              </w:rPr>
            </w:pPr>
            <w:r>
              <w:rPr>
                <w:rFonts w:ascii="Arial" w:cs="Arial" w:eastAsia="Arial" w:hAnsi="Arial"/>
                <w:sz w:val="14"/>
                <w:szCs w:val="14"/>
                <w:b w:val="1"/>
                <w:bCs w:val="1"/>
                <w:color w:val="FFFFFF"/>
              </w:rPr>
              <w:t>Fiscal 2025</w:t>
            </w:r>
          </w:p>
        </w:tc>
        <w:tc>
          <w:tcPr>
            <w:tcW w:w="0" w:type="dxa"/>
            <w:vAlign w:val="bottom"/>
          </w:tcPr>
          <w:p>
            <w:pPr>
              <w:spacing w:after="0"/>
              <w:rPr>
                <w:sz w:val="1"/>
                <w:szCs w:val="1"/>
                <w:color w:val="auto"/>
              </w:rPr>
            </w:pPr>
          </w:p>
        </w:tc>
      </w:tr>
      <w:tr>
        <w:trPr>
          <w:trHeight w:val="93"/>
        </w:trPr>
        <w:tc>
          <w:tcPr>
            <w:tcW w:w="1340" w:type="dxa"/>
            <w:vAlign w:val="bottom"/>
            <w:shd w:val="clear" w:color="auto" w:fill="BF2115"/>
          </w:tcPr>
          <w:p>
            <w:pPr>
              <w:spacing w:after="0"/>
              <w:rPr>
                <w:sz w:val="8"/>
                <w:szCs w:val="8"/>
                <w:color w:val="auto"/>
              </w:rPr>
            </w:pPr>
          </w:p>
        </w:tc>
        <w:tc>
          <w:tcPr>
            <w:tcW w:w="2080" w:type="dxa"/>
            <w:vAlign w:val="bottom"/>
            <w:vMerge w:val="restart"/>
            <w:shd w:val="clear" w:color="auto" w:fill="BF2115"/>
          </w:tcPr>
          <w:p>
            <w:pPr>
              <w:jc w:val="center"/>
              <w:ind w:left="43"/>
              <w:spacing w:after="0"/>
              <w:rPr>
                <w:sz w:val="20"/>
                <w:szCs w:val="20"/>
                <w:color w:val="auto"/>
              </w:rPr>
            </w:pPr>
            <w:r>
              <w:rPr>
                <w:rFonts w:ascii="Arial" w:cs="Arial" w:eastAsia="Arial" w:hAnsi="Arial"/>
                <w:sz w:val="14"/>
                <w:szCs w:val="14"/>
                <w:b w:val="1"/>
                <w:bCs w:val="1"/>
                <w:color w:val="FFFFFF"/>
              </w:rPr>
              <w:t>Fiscal 2025</w:t>
            </w:r>
          </w:p>
        </w:tc>
        <w:tc>
          <w:tcPr>
            <w:tcW w:w="1940" w:type="dxa"/>
            <w:vAlign w:val="bottom"/>
            <w:vMerge w:val="continue"/>
            <w:shd w:val="clear" w:color="auto" w:fill="BF2115"/>
          </w:tcPr>
          <w:p>
            <w:pPr>
              <w:spacing w:after="0"/>
              <w:rPr>
                <w:sz w:val="8"/>
                <w:szCs w:val="8"/>
                <w:color w:val="auto"/>
              </w:rPr>
            </w:pPr>
          </w:p>
        </w:tc>
        <w:tc>
          <w:tcPr>
            <w:tcW w:w="1660" w:type="dxa"/>
            <w:vAlign w:val="bottom"/>
            <w:vMerge w:val="restart"/>
            <w:shd w:val="clear" w:color="auto" w:fill="BF2115"/>
          </w:tcPr>
          <w:p>
            <w:pPr>
              <w:jc w:val="center"/>
              <w:ind w:right="224"/>
              <w:spacing w:after="0"/>
              <w:rPr>
                <w:sz w:val="20"/>
                <w:szCs w:val="20"/>
                <w:color w:val="auto"/>
              </w:rPr>
            </w:pPr>
            <w:r>
              <w:rPr>
                <w:rFonts w:ascii="Arial" w:cs="Arial" w:eastAsia="Arial" w:hAnsi="Arial"/>
                <w:sz w:val="14"/>
                <w:szCs w:val="14"/>
                <w:b w:val="1"/>
                <w:bCs w:val="1"/>
                <w:color w:val="FFFFFF"/>
                <w:w w:val="98"/>
              </w:rPr>
              <w:t>Target Award</w:t>
            </w:r>
          </w:p>
        </w:tc>
        <w:tc>
          <w:tcPr>
            <w:tcW w:w="2060" w:type="dxa"/>
            <w:vAlign w:val="bottom"/>
            <w:vMerge w:val="restart"/>
            <w:shd w:val="clear" w:color="auto" w:fill="BF2115"/>
          </w:tcPr>
          <w:p>
            <w:pPr>
              <w:jc w:val="center"/>
              <w:ind w:right="244"/>
              <w:spacing w:after="0"/>
              <w:rPr>
                <w:sz w:val="20"/>
                <w:szCs w:val="20"/>
                <w:color w:val="auto"/>
              </w:rPr>
            </w:pPr>
            <w:r>
              <w:rPr>
                <w:rFonts w:ascii="Arial" w:cs="Arial" w:eastAsia="Arial" w:hAnsi="Arial"/>
                <w:sz w:val="14"/>
                <w:szCs w:val="14"/>
                <w:b w:val="1"/>
                <w:bCs w:val="1"/>
                <w:color w:val="FFFFFF"/>
              </w:rPr>
              <w:t>Target Annual Cash</w:t>
            </w:r>
          </w:p>
        </w:tc>
        <w:tc>
          <w:tcPr>
            <w:tcW w:w="1760" w:type="dxa"/>
            <w:vAlign w:val="bottom"/>
            <w:vMerge w:val="restart"/>
            <w:shd w:val="clear" w:color="auto" w:fill="BF2115"/>
          </w:tcPr>
          <w:p>
            <w:pPr>
              <w:jc w:val="center"/>
              <w:ind w:right="24"/>
              <w:spacing w:after="0"/>
              <w:rPr>
                <w:sz w:val="20"/>
                <w:szCs w:val="20"/>
                <w:color w:val="auto"/>
              </w:rPr>
            </w:pPr>
            <w:r>
              <w:rPr>
                <w:rFonts w:ascii="Arial" w:cs="Arial" w:eastAsia="Arial" w:hAnsi="Arial"/>
                <w:sz w:val="14"/>
                <w:szCs w:val="14"/>
                <w:b w:val="1"/>
                <w:bCs w:val="1"/>
                <w:color w:val="FFFFFF"/>
                <w:w w:val="99"/>
              </w:rPr>
              <w:t>Target Total Cash</w:t>
            </w:r>
          </w:p>
        </w:tc>
        <w:tc>
          <w:tcPr>
            <w:tcW w:w="0" w:type="dxa"/>
            <w:vAlign w:val="bottom"/>
          </w:tcPr>
          <w:p>
            <w:pPr>
              <w:spacing w:after="0"/>
              <w:rPr>
                <w:sz w:val="1"/>
                <w:szCs w:val="1"/>
                <w:color w:val="auto"/>
              </w:rPr>
            </w:pPr>
          </w:p>
        </w:tc>
      </w:tr>
      <w:tr>
        <w:trPr>
          <w:trHeight w:val="107"/>
        </w:trPr>
        <w:tc>
          <w:tcPr>
            <w:tcW w:w="1340" w:type="dxa"/>
            <w:vAlign w:val="bottom"/>
            <w:shd w:val="clear" w:color="auto" w:fill="BF2115"/>
          </w:tcPr>
          <w:p>
            <w:pPr>
              <w:spacing w:after="0"/>
              <w:rPr>
                <w:sz w:val="9"/>
                <w:szCs w:val="9"/>
                <w:color w:val="auto"/>
              </w:rPr>
            </w:pPr>
          </w:p>
        </w:tc>
        <w:tc>
          <w:tcPr>
            <w:tcW w:w="2080" w:type="dxa"/>
            <w:vAlign w:val="bottom"/>
            <w:vMerge w:val="continue"/>
            <w:shd w:val="clear" w:color="auto" w:fill="BF2115"/>
          </w:tcPr>
          <w:p>
            <w:pPr>
              <w:spacing w:after="0"/>
              <w:rPr>
                <w:sz w:val="9"/>
                <w:szCs w:val="9"/>
                <w:color w:val="auto"/>
              </w:rPr>
            </w:pPr>
          </w:p>
        </w:tc>
        <w:tc>
          <w:tcPr>
            <w:tcW w:w="1940" w:type="dxa"/>
            <w:vAlign w:val="bottom"/>
            <w:vMerge w:val="restart"/>
            <w:shd w:val="clear" w:color="auto" w:fill="BF2115"/>
          </w:tcPr>
          <w:p>
            <w:pPr>
              <w:jc w:val="center"/>
              <w:ind w:right="243"/>
              <w:spacing w:after="0"/>
              <w:rPr>
                <w:sz w:val="20"/>
                <w:szCs w:val="20"/>
                <w:color w:val="auto"/>
              </w:rPr>
            </w:pPr>
            <w:r>
              <w:rPr>
                <w:rFonts w:ascii="Arial" w:cs="Arial" w:eastAsia="Arial" w:hAnsi="Arial"/>
                <w:sz w:val="14"/>
                <w:szCs w:val="14"/>
                <w:b w:val="1"/>
                <w:bCs w:val="1"/>
                <w:color w:val="FFFFFF"/>
              </w:rPr>
              <w:t>Award at Target</w:t>
            </w:r>
          </w:p>
        </w:tc>
        <w:tc>
          <w:tcPr>
            <w:tcW w:w="1660" w:type="dxa"/>
            <w:vAlign w:val="bottom"/>
            <w:vMerge w:val="continue"/>
            <w:shd w:val="clear" w:color="auto" w:fill="BF2115"/>
          </w:tcPr>
          <w:p>
            <w:pPr>
              <w:spacing w:after="0"/>
              <w:rPr>
                <w:sz w:val="9"/>
                <w:szCs w:val="9"/>
                <w:color w:val="auto"/>
              </w:rPr>
            </w:pPr>
          </w:p>
        </w:tc>
        <w:tc>
          <w:tcPr>
            <w:tcW w:w="2060" w:type="dxa"/>
            <w:vAlign w:val="bottom"/>
            <w:vMerge w:val="continue"/>
            <w:shd w:val="clear" w:color="auto" w:fill="BF2115"/>
          </w:tcPr>
          <w:p>
            <w:pPr>
              <w:spacing w:after="0"/>
              <w:rPr>
                <w:sz w:val="9"/>
                <w:szCs w:val="9"/>
                <w:color w:val="auto"/>
              </w:rPr>
            </w:pPr>
          </w:p>
        </w:tc>
        <w:tc>
          <w:tcPr>
            <w:tcW w:w="1760" w:type="dxa"/>
            <w:vAlign w:val="bottom"/>
            <w:vMerge w:val="continue"/>
            <w:shd w:val="clear" w:color="auto" w:fill="BF2115"/>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340" w:type="dxa"/>
            <w:vAlign w:val="bottom"/>
            <w:shd w:val="clear" w:color="auto" w:fill="BF2115"/>
          </w:tcPr>
          <w:p>
            <w:pPr>
              <w:spacing w:after="0"/>
              <w:rPr>
                <w:sz w:val="8"/>
                <w:szCs w:val="8"/>
                <w:color w:val="auto"/>
              </w:rPr>
            </w:pPr>
          </w:p>
        </w:tc>
        <w:tc>
          <w:tcPr>
            <w:tcW w:w="2080" w:type="dxa"/>
            <w:vAlign w:val="bottom"/>
            <w:vMerge w:val="restart"/>
            <w:shd w:val="clear" w:color="auto" w:fill="BF2115"/>
          </w:tcPr>
          <w:p>
            <w:pPr>
              <w:jc w:val="center"/>
              <w:ind w:left="23"/>
              <w:spacing w:after="0"/>
              <w:rPr>
                <w:sz w:val="20"/>
                <w:szCs w:val="20"/>
                <w:color w:val="auto"/>
              </w:rPr>
            </w:pPr>
            <w:r>
              <w:rPr>
                <w:rFonts w:ascii="Arial" w:cs="Arial" w:eastAsia="Arial" w:hAnsi="Arial"/>
                <w:sz w:val="14"/>
                <w:szCs w:val="14"/>
                <w:b w:val="1"/>
                <w:bCs w:val="1"/>
                <w:color w:val="FFFFFF"/>
              </w:rPr>
              <w:t>Base Salary Earnings</w:t>
            </w:r>
          </w:p>
        </w:tc>
        <w:tc>
          <w:tcPr>
            <w:tcW w:w="1940" w:type="dxa"/>
            <w:vAlign w:val="bottom"/>
            <w:vMerge w:val="continue"/>
            <w:shd w:val="clear" w:color="auto" w:fill="BF2115"/>
          </w:tcPr>
          <w:p>
            <w:pPr>
              <w:spacing w:after="0"/>
              <w:rPr>
                <w:sz w:val="8"/>
                <w:szCs w:val="8"/>
                <w:color w:val="auto"/>
              </w:rPr>
            </w:pPr>
          </w:p>
        </w:tc>
        <w:tc>
          <w:tcPr>
            <w:tcW w:w="1660" w:type="dxa"/>
            <w:vAlign w:val="bottom"/>
            <w:vMerge w:val="restart"/>
            <w:shd w:val="clear" w:color="auto" w:fill="BF2115"/>
          </w:tcPr>
          <w:p>
            <w:pPr>
              <w:jc w:val="center"/>
              <w:ind w:right="224"/>
              <w:spacing w:after="0"/>
              <w:rPr>
                <w:sz w:val="20"/>
                <w:szCs w:val="20"/>
                <w:color w:val="auto"/>
              </w:rPr>
            </w:pPr>
            <w:r>
              <w:rPr>
                <w:rFonts w:ascii="Arial" w:cs="Arial" w:eastAsia="Arial" w:hAnsi="Arial"/>
                <w:sz w:val="14"/>
                <w:szCs w:val="14"/>
                <w:b w:val="1"/>
                <w:bCs w:val="1"/>
                <w:color w:val="FFFFFF"/>
              </w:rPr>
              <w:t>Percentage</w:t>
            </w:r>
          </w:p>
        </w:tc>
        <w:tc>
          <w:tcPr>
            <w:tcW w:w="2060" w:type="dxa"/>
            <w:vAlign w:val="bottom"/>
            <w:vMerge w:val="restart"/>
            <w:shd w:val="clear" w:color="auto" w:fill="BF2115"/>
          </w:tcPr>
          <w:p>
            <w:pPr>
              <w:jc w:val="center"/>
              <w:ind w:right="244"/>
              <w:spacing w:after="0"/>
              <w:rPr>
                <w:sz w:val="20"/>
                <w:szCs w:val="20"/>
                <w:color w:val="auto"/>
              </w:rPr>
            </w:pPr>
            <w:r>
              <w:rPr>
                <w:rFonts w:ascii="Arial" w:cs="Arial" w:eastAsia="Arial" w:hAnsi="Arial"/>
                <w:sz w:val="14"/>
                <w:szCs w:val="14"/>
                <w:b w:val="1"/>
                <w:bCs w:val="1"/>
                <w:color w:val="FFFFFF"/>
              </w:rPr>
              <w:t>Incentive Award</w:t>
            </w:r>
          </w:p>
        </w:tc>
        <w:tc>
          <w:tcPr>
            <w:tcW w:w="1760" w:type="dxa"/>
            <w:vAlign w:val="bottom"/>
            <w:vMerge w:val="restart"/>
            <w:shd w:val="clear" w:color="auto" w:fill="BF2115"/>
          </w:tcPr>
          <w:p>
            <w:pPr>
              <w:jc w:val="center"/>
              <w:ind w:right="24"/>
              <w:spacing w:after="0"/>
              <w:rPr>
                <w:sz w:val="20"/>
                <w:szCs w:val="20"/>
                <w:color w:val="auto"/>
              </w:rPr>
            </w:pPr>
            <w:r>
              <w:rPr>
                <w:rFonts w:ascii="Arial" w:cs="Arial" w:eastAsia="Arial" w:hAnsi="Arial"/>
                <w:sz w:val="14"/>
                <w:szCs w:val="14"/>
                <w:b w:val="1"/>
                <w:bCs w:val="1"/>
                <w:color w:val="FFFFFF"/>
              </w:rPr>
              <w:t>Compensation</w:t>
            </w:r>
          </w:p>
        </w:tc>
        <w:tc>
          <w:tcPr>
            <w:tcW w:w="0" w:type="dxa"/>
            <w:vAlign w:val="bottom"/>
          </w:tcPr>
          <w:p>
            <w:pPr>
              <w:spacing w:after="0"/>
              <w:rPr>
                <w:sz w:val="1"/>
                <w:szCs w:val="1"/>
                <w:color w:val="auto"/>
              </w:rPr>
            </w:pPr>
          </w:p>
        </w:tc>
      </w:tr>
      <w:tr>
        <w:trPr>
          <w:trHeight w:val="99"/>
        </w:trPr>
        <w:tc>
          <w:tcPr>
            <w:tcW w:w="1340" w:type="dxa"/>
            <w:vAlign w:val="bottom"/>
            <w:shd w:val="clear" w:color="auto" w:fill="BF2115"/>
          </w:tcPr>
          <w:p>
            <w:pPr>
              <w:spacing w:after="0"/>
              <w:rPr>
                <w:sz w:val="8"/>
                <w:szCs w:val="8"/>
                <w:color w:val="auto"/>
              </w:rPr>
            </w:pPr>
          </w:p>
        </w:tc>
        <w:tc>
          <w:tcPr>
            <w:tcW w:w="2080" w:type="dxa"/>
            <w:vAlign w:val="bottom"/>
            <w:vMerge w:val="continue"/>
            <w:shd w:val="clear" w:color="auto" w:fill="BF2115"/>
          </w:tcPr>
          <w:p>
            <w:pPr>
              <w:spacing w:after="0"/>
              <w:rPr>
                <w:sz w:val="8"/>
                <w:szCs w:val="8"/>
                <w:color w:val="auto"/>
              </w:rPr>
            </w:pPr>
          </w:p>
        </w:tc>
        <w:tc>
          <w:tcPr>
            <w:tcW w:w="1940" w:type="dxa"/>
            <w:vAlign w:val="bottom"/>
            <w:vMerge w:val="restart"/>
            <w:shd w:val="clear" w:color="auto" w:fill="BF2115"/>
          </w:tcPr>
          <w:p>
            <w:pPr>
              <w:jc w:val="center"/>
              <w:ind w:right="223"/>
              <w:spacing w:after="0"/>
              <w:rPr>
                <w:sz w:val="20"/>
                <w:szCs w:val="20"/>
                <w:color w:val="auto"/>
              </w:rPr>
            </w:pPr>
            <w:r>
              <w:rPr>
                <w:rFonts w:ascii="Arial" w:cs="Arial" w:eastAsia="Arial" w:hAnsi="Arial"/>
                <w:sz w:val="14"/>
                <w:szCs w:val="14"/>
                <w:b w:val="1"/>
                <w:bCs w:val="1"/>
                <w:color w:val="FFFFFF"/>
              </w:rPr>
              <w:t>(% of base salary)</w:t>
            </w:r>
          </w:p>
        </w:tc>
        <w:tc>
          <w:tcPr>
            <w:tcW w:w="1660" w:type="dxa"/>
            <w:vAlign w:val="bottom"/>
            <w:vMerge w:val="continue"/>
            <w:shd w:val="clear" w:color="auto" w:fill="BF2115"/>
          </w:tcPr>
          <w:p>
            <w:pPr>
              <w:spacing w:after="0"/>
              <w:rPr>
                <w:sz w:val="8"/>
                <w:szCs w:val="8"/>
                <w:color w:val="auto"/>
              </w:rPr>
            </w:pPr>
          </w:p>
        </w:tc>
        <w:tc>
          <w:tcPr>
            <w:tcW w:w="2060" w:type="dxa"/>
            <w:vAlign w:val="bottom"/>
            <w:vMerge w:val="continue"/>
            <w:shd w:val="clear" w:color="auto" w:fill="BF2115"/>
          </w:tcPr>
          <w:p>
            <w:pPr>
              <w:spacing w:after="0"/>
              <w:rPr>
                <w:sz w:val="8"/>
                <w:szCs w:val="8"/>
                <w:color w:val="auto"/>
              </w:rPr>
            </w:pPr>
          </w:p>
        </w:tc>
        <w:tc>
          <w:tcPr>
            <w:tcW w:w="1760" w:type="dxa"/>
            <w:vAlign w:val="bottom"/>
            <w:vMerge w:val="continue"/>
            <w:shd w:val="clear" w:color="auto" w:fill="BF2115"/>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340" w:type="dxa"/>
            <w:vAlign w:val="bottom"/>
            <w:vMerge w:val="restart"/>
            <w:shd w:val="clear" w:color="auto" w:fill="BF2115"/>
          </w:tcPr>
          <w:p>
            <w:pPr>
              <w:ind w:left="580"/>
              <w:spacing w:after="0"/>
              <w:rPr>
                <w:sz w:val="20"/>
                <w:szCs w:val="20"/>
                <w:color w:val="auto"/>
              </w:rPr>
            </w:pPr>
            <w:r>
              <w:rPr>
                <w:rFonts w:ascii="Arial" w:cs="Arial" w:eastAsia="Arial" w:hAnsi="Arial"/>
                <w:sz w:val="14"/>
                <w:szCs w:val="14"/>
                <w:b w:val="1"/>
                <w:bCs w:val="1"/>
                <w:color w:val="FFFFFF"/>
              </w:rPr>
              <w:t>Name</w:t>
            </w:r>
          </w:p>
        </w:tc>
        <w:tc>
          <w:tcPr>
            <w:tcW w:w="2080" w:type="dxa"/>
            <w:vAlign w:val="bottom"/>
            <w:vMerge w:val="restart"/>
            <w:shd w:val="clear" w:color="auto" w:fill="BF2115"/>
          </w:tcPr>
          <w:p>
            <w:pPr>
              <w:jc w:val="center"/>
              <w:ind w:left="23"/>
              <w:spacing w:after="0"/>
              <w:rPr>
                <w:sz w:val="20"/>
                <w:szCs w:val="20"/>
                <w:color w:val="auto"/>
              </w:rPr>
            </w:pPr>
            <w:r>
              <w:rPr>
                <w:rFonts w:ascii="Arial" w:cs="Arial" w:eastAsia="Arial" w:hAnsi="Arial"/>
                <w:sz w:val="14"/>
                <w:szCs w:val="14"/>
                <w:b w:val="1"/>
                <w:bCs w:val="1"/>
                <w:color w:val="FFFFFF"/>
              </w:rPr>
              <w:t>($)</w:t>
            </w:r>
          </w:p>
        </w:tc>
        <w:tc>
          <w:tcPr>
            <w:tcW w:w="1940" w:type="dxa"/>
            <w:vAlign w:val="bottom"/>
            <w:vMerge w:val="continue"/>
            <w:shd w:val="clear" w:color="auto" w:fill="BF2115"/>
          </w:tcPr>
          <w:p>
            <w:pPr>
              <w:spacing w:after="0"/>
              <w:rPr>
                <w:sz w:val="8"/>
                <w:szCs w:val="8"/>
                <w:color w:val="auto"/>
              </w:rPr>
            </w:pPr>
          </w:p>
        </w:tc>
        <w:tc>
          <w:tcPr>
            <w:tcW w:w="1660" w:type="dxa"/>
            <w:vAlign w:val="bottom"/>
            <w:vMerge w:val="restart"/>
            <w:shd w:val="clear" w:color="auto" w:fill="BF2115"/>
          </w:tcPr>
          <w:p>
            <w:pPr>
              <w:jc w:val="center"/>
              <w:ind w:right="224"/>
              <w:spacing w:after="0"/>
              <w:rPr>
                <w:sz w:val="20"/>
                <w:szCs w:val="20"/>
                <w:color w:val="auto"/>
              </w:rPr>
            </w:pPr>
            <w:r>
              <w:rPr>
                <w:rFonts w:ascii="Arial" w:cs="Arial" w:eastAsia="Arial" w:hAnsi="Arial"/>
                <w:sz w:val="14"/>
                <w:szCs w:val="14"/>
                <w:b w:val="1"/>
                <w:bCs w:val="1"/>
                <w:color w:val="FFFFFF"/>
              </w:rPr>
              <w:t>Change</w:t>
            </w:r>
          </w:p>
        </w:tc>
        <w:tc>
          <w:tcPr>
            <w:tcW w:w="2060" w:type="dxa"/>
            <w:vAlign w:val="bottom"/>
            <w:vMerge w:val="restart"/>
            <w:shd w:val="clear" w:color="auto" w:fill="BF2115"/>
          </w:tcPr>
          <w:p>
            <w:pPr>
              <w:jc w:val="center"/>
              <w:ind w:right="244"/>
              <w:spacing w:after="0"/>
              <w:rPr>
                <w:sz w:val="20"/>
                <w:szCs w:val="20"/>
                <w:color w:val="auto"/>
              </w:rPr>
            </w:pPr>
            <w:r>
              <w:rPr>
                <w:rFonts w:ascii="Arial" w:cs="Arial" w:eastAsia="Arial" w:hAnsi="Arial"/>
                <w:sz w:val="14"/>
                <w:szCs w:val="14"/>
                <w:b w:val="1"/>
                <w:bCs w:val="1"/>
                <w:color w:val="FFFFFF"/>
              </w:rPr>
              <w:t>($)</w:t>
            </w:r>
          </w:p>
        </w:tc>
        <w:tc>
          <w:tcPr>
            <w:tcW w:w="1760" w:type="dxa"/>
            <w:vAlign w:val="bottom"/>
            <w:vMerge w:val="restart"/>
            <w:shd w:val="clear" w:color="auto" w:fill="BF2115"/>
          </w:tcPr>
          <w:p>
            <w:pPr>
              <w:jc w:val="center"/>
              <w:ind w:right="24"/>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21"/>
        </w:trPr>
        <w:tc>
          <w:tcPr>
            <w:tcW w:w="1340" w:type="dxa"/>
            <w:vAlign w:val="bottom"/>
            <w:vMerge w:val="continue"/>
            <w:shd w:val="clear" w:color="auto" w:fill="BF2115"/>
          </w:tcPr>
          <w:p>
            <w:pPr>
              <w:spacing w:after="0"/>
              <w:rPr>
                <w:sz w:val="10"/>
                <w:szCs w:val="10"/>
                <w:color w:val="auto"/>
              </w:rPr>
            </w:pPr>
          </w:p>
        </w:tc>
        <w:tc>
          <w:tcPr>
            <w:tcW w:w="2080" w:type="dxa"/>
            <w:vAlign w:val="bottom"/>
            <w:vMerge w:val="continue"/>
            <w:shd w:val="clear" w:color="auto" w:fill="BF2115"/>
          </w:tcPr>
          <w:p>
            <w:pPr>
              <w:spacing w:after="0"/>
              <w:rPr>
                <w:sz w:val="10"/>
                <w:szCs w:val="10"/>
                <w:color w:val="auto"/>
              </w:rPr>
            </w:pPr>
          </w:p>
        </w:tc>
        <w:tc>
          <w:tcPr>
            <w:tcW w:w="1940" w:type="dxa"/>
            <w:vAlign w:val="bottom"/>
            <w:shd w:val="clear" w:color="auto" w:fill="BF2115"/>
          </w:tcPr>
          <w:p>
            <w:pPr>
              <w:spacing w:after="0"/>
              <w:rPr>
                <w:sz w:val="10"/>
                <w:szCs w:val="10"/>
                <w:color w:val="auto"/>
              </w:rPr>
            </w:pPr>
          </w:p>
        </w:tc>
        <w:tc>
          <w:tcPr>
            <w:tcW w:w="1660" w:type="dxa"/>
            <w:vAlign w:val="bottom"/>
            <w:vMerge w:val="continue"/>
            <w:shd w:val="clear" w:color="auto" w:fill="BF2115"/>
          </w:tcPr>
          <w:p>
            <w:pPr>
              <w:spacing w:after="0"/>
              <w:rPr>
                <w:sz w:val="10"/>
                <w:szCs w:val="10"/>
                <w:color w:val="auto"/>
              </w:rPr>
            </w:pPr>
          </w:p>
        </w:tc>
        <w:tc>
          <w:tcPr>
            <w:tcW w:w="2060" w:type="dxa"/>
            <w:vAlign w:val="bottom"/>
            <w:vMerge w:val="continue"/>
            <w:shd w:val="clear" w:color="auto" w:fill="BF2115"/>
          </w:tcPr>
          <w:p>
            <w:pPr>
              <w:spacing w:after="0"/>
              <w:rPr>
                <w:sz w:val="10"/>
                <w:szCs w:val="10"/>
                <w:color w:val="auto"/>
              </w:rPr>
            </w:pPr>
          </w:p>
        </w:tc>
        <w:tc>
          <w:tcPr>
            <w:tcW w:w="1760" w:type="dxa"/>
            <w:vAlign w:val="bottom"/>
            <w:vMerge w:val="continue"/>
            <w:shd w:val="clear" w:color="auto" w:fill="BF2115"/>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1340" w:type="dxa"/>
            <w:vAlign w:val="bottom"/>
          </w:tcPr>
          <w:p>
            <w:pPr>
              <w:ind w:left="20"/>
              <w:spacing w:after="0"/>
              <w:rPr>
                <w:sz w:val="20"/>
                <w:szCs w:val="20"/>
                <w:color w:val="auto"/>
              </w:rPr>
            </w:pPr>
            <w:r>
              <w:rPr>
                <w:rFonts w:ascii="Arial" w:cs="Arial" w:eastAsia="Arial" w:hAnsi="Arial"/>
                <w:sz w:val="16"/>
                <w:szCs w:val="16"/>
                <w:color w:val="auto"/>
              </w:rPr>
              <w:t>Mr. Olson</w:t>
            </w:r>
          </w:p>
        </w:tc>
        <w:tc>
          <w:tcPr>
            <w:tcW w:w="2080" w:type="dxa"/>
            <w:vAlign w:val="bottom"/>
          </w:tcPr>
          <w:p>
            <w:pPr>
              <w:jc w:val="right"/>
              <w:ind w:right="143"/>
              <w:spacing w:after="0"/>
              <w:rPr>
                <w:sz w:val="20"/>
                <w:szCs w:val="20"/>
                <w:color w:val="auto"/>
              </w:rPr>
            </w:pPr>
            <w:r>
              <w:rPr>
                <w:rFonts w:ascii="Arial" w:cs="Arial" w:eastAsia="Arial" w:hAnsi="Arial"/>
                <w:sz w:val="16"/>
                <w:szCs w:val="16"/>
                <w:color w:val="auto"/>
              </w:rPr>
              <w:t>1,239,816</w:t>
            </w:r>
          </w:p>
        </w:tc>
        <w:tc>
          <w:tcPr>
            <w:tcW w:w="1940" w:type="dxa"/>
            <w:vAlign w:val="bottom"/>
          </w:tcPr>
          <w:p>
            <w:pPr>
              <w:jc w:val="right"/>
              <w:ind w:right="203"/>
              <w:spacing w:after="0"/>
              <w:rPr>
                <w:sz w:val="20"/>
                <w:szCs w:val="20"/>
                <w:color w:val="auto"/>
              </w:rPr>
            </w:pPr>
            <w:r>
              <w:rPr>
                <w:rFonts w:ascii="Arial" w:cs="Arial" w:eastAsia="Arial" w:hAnsi="Arial"/>
                <w:sz w:val="16"/>
                <w:szCs w:val="16"/>
                <w:color w:val="auto"/>
              </w:rPr>
              <w:t>130</w:t>
            </w:r>
          </w:p>
        </w:tc>
        <w:tc>
          <w:tcPr>
            <w:tcW w:w="1660" w:type="dxa"/>
            <w:vAlign w:val="bottom"/>
          </w:tcPr>
          <w:p>
            <w:pPr>
              <w:jc w:val="right"/>
              <w:ind w:right="144"/>
              <w:spacing w:after="0"/>
              <w:rPr>
                <w:sz w:val="20"/>
                <w:szCs w:val="20"/>
                <w:color w:val="auto"/>
              </w:rPr>
            </w:pPr>
            <w:r>
              <w:rPr>
                <w:rFonts w:ascii="Arial" w:cs="Arial" w:eastAsia="Arial" w:hAnsi="Arial"/>
                <w:sz w:val="16"/>
                <w:szCs w:val="16"/>
                <w:color w:val="auto"/>
              </w:rPr>
              <w:t>No Change</w:t>
            </w:r>
          </w:p>
        </w:tc>
        <w:tc>
          <w:tcPr>
            <w:tcW w:w="2060" w:type="dxa"/>
            <w:vAlign w:val="bottom"/>
          </w:tcPr>
          <w:p>
            <w:pPr>
              <w:jc w:val="right"/>
              <w:ind w:right="164"/>
              <w:spacing w:after="0"/>
              <w:rPr>
                <w:sz w:val="20"/>
                <w:szCs w:val="20"/>
                <w:color w:val="auto"/>
              </w:rPr>
            </w:pPr>
            <w:r>
              <w:rPr>
                <w:rFonts w:ascii="Arial" w:cs="Arial" w:eastAsia="Arial" w:hAnsi="Arial"/>
                <w:sz w:val="16"/>
                <w:szCs w:val="16"/>
                <w:color w:val="auto"/>
              </w:rPr>
              <w:t>1,611,761</w:t>
            </w:r>
          </w:p>
        </w:tc>
        <w:tc>
          <w:tcPr>
            <w:tcW w:w="1760" w:type="dxa"/>
            <w:vAlign w:val="bottom"/>
          </w:tcPr>
          <w:p>
            <w:pPr>
              <w:jc w:val="right"/>
              <w:spacing w:after="0"/>
              <w:rPr>
                <w:sz w:val="20"/>
                <w:szCs w:val="20"/>
                <w:color w:val="auto"/>
              </w:rPr>
            </w:pPr>
            <w:r>
              <w:rPr>
                <w:rFonts w:ascii="Arial" w:cs="Arial" w:eastAsia="Arial" w:hAnsi="Arial"/>
                <w:sz w:val="16"/>
                <w:szCs w:val="16"/>
                <w:color w:val="auto"/>
              </w:rPr>
              <w:t>2,851,577</w:t>
            </w:r>
          </w:p>
        </w:tc>
        <w:tc>
          <w:tcPr>
            <w:tcW w:w="0" w:type="dxa"/>
            <w:vAlign w:val="bottom"/>
          </w:tcPr>
          <w:p>
            <w:pPr>
              <w:spacing w:after="0"/>
              <w:rPr>
                <w:sz w:val="1"/>
                <w:szCs w:val="1"/>
                <w:color w:val="auto"/>
              </w:rPr>
            </w:pPr>
          </w:p>
        </w:tc>
      </w:tr>
      <w:tr>
        <w:trPr>
          <w:trHeight w:val="29"/>
        </w:trPr>
        <w:tc>
          <w:tcPr>
            <w:tcW w:w="13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Drake</w:t>
            </w:r>
          </w:p>
        </w:tc>
        <w:tc>
          <w:tcPr>
            <w:tcW w:w="2080" w:type="dxa"/>
            <w:vAlign w:val="bottom"/>
            <w:tcBorders>
              <w:bottom w:val="single" w:sz="8" w:color="DBDBDB"/>
            </w:tcBorders>
            <w:shd w:val="clear" w:color="auto" w:fill="DBDBDB"/>
          </w:tcPr>
          <w:p>
            <w:pPr>
              <w:jc w:val="right"/>
              <w:ind w:right="143"/>
              <w:spacing w:after="0"/>
              <w:rPr>
                <w:sz w:val="20"/>
                <w:szCs w:val="20"/>
                <w:color w:val="auto"/>
              </w:rPr>
            </w:pPr>
            <w:r>
              <w:rPr>
                <w:rFonts w:ascii="Arial" w:cs="Arial" w:eastAsia="Arial" w:hAnsi="Arial"/>
                <w:sz w:val="16"/>
                <w:szCs w:val="16"/>
                <w:color w:val="auto"/>
              </w:rPr>
              <w:t>612,605</w:t>
            </w:r>
          </w:p>
        </w:tc>
        <w:tc>
          <w:tcPr>
            <w:tcW w:w="1940" w:type="dxa"/>
            <w:vAlign w:val="bottom"/>
            <w:tcBorders>
              <w:bottom w:val="single" w:sz="8" w:color="DBDBDB"/>
            </w:tcBorders>
            <w:shd w:val="clear" w:color="auto" w:fill="DBDBDB"/>
          </w:tcPr>
          <w:p>
            <w:pPr>
              <w:jc w:val="right"/>
              <w:ind w:right="203"/>
              <w:spacing w:after="0"/>
              <w:rPr>
                <w:sz w:val="20"/>
                <w:szCs w:val="20"/>
                <w:color w:val="auto"/>
              </w:rPr>
            </w:pPr>
            <w:r>
              <w:rPr>
                <w:rFonts w:ascii="Arial" w:cs="Arial" w:eastAsia="Arial" w:hAnsi="Arial"/>
                <w:sz w:val="16"/>
                <w:szCs w:val="16"/>
                <w:color w:val="auto"/>
              </w:rPr>
              <w:t>70</w:t>
            </w:r>
          </w:p>
        </w:tc>
        <w:tc>
          <w:tcPr>
            <w:tcW w:w="1660" w:type="dxa"/>
            <w:vAlign w:val="bottom"/>
            <w:tcBorders>
              <w:bottom w:val="single" w:sz="8" w:color="DBDBDB"/>
            </w:tcBorders>
            <w:shd w:val="clear" w:color="auto" w:fill="DBDBDB"/>
          </w:tcPr>
          <w:p>
            <w:pPr>
              <w:jc w:val="right"/>
              <w:ind w:right="144"/>
              <w:spacing w:after="0"/>
              <w:rPr>
                <w:sz w:val="20"/>
                <w:szCs w:val="20"/>
                <w:color w:val="auto"/>
              </w:rPr>
            </w:pPr>
            <w:r>
              <w:rPr>
                <w:rFonts w:ascii="Arial" w:cs="Arial" w:eastAsia="Arial" w:hAnsi="Arial"/>
                <w:sz w:val="16"/>
                <w:szCs w:val="16"/>
                <w:color w:val="auto"/>
              </w:rPr>
              <w:t>No Change</w:t>
            </w:r>
          </w:p>
        </w:tc>
        <w:tc>
          <w:tcPr>
            <w:tcW w:w="2060" w:type="dxa"/>
            <w:vAlign w:val="bottom"/>
            <w:tcBorders>
              <w:bottom w:val="single" w:sz="8" w:color="DBDBDB"/>
            </w:tcBorders>
            <w:shd w:val="clear" w:color="auto" w:fill="DBDBDB"/>
          </w:tcPr>
          <w:p>
            <w:pPr>
              <w:jc w:val="right"/>
              <w:ind w:right="164"/>
              <w:spacing w:after="0"/>
              <w:rPr>
                <w:sz w:val="20"/>
                <w:szCs w:val="20"/>
                <w:color w:val="auto"/>
              </w:rPr>
            </w:pPr>
            <w:r>
              <w:rPr>
                <w:rFonts w:ascii="Arial" w:cs="Arial" w:eastAsia="Arial" w:hAnsi="Arial"/>
                <w:sz w:val="16"/>
                <w:szCs w:val="16"/>
                <w:color w:val="auto"/>
              </w:rPr>
              <w:t>428,824</w:t>
            </w:r>
          </w:p>
        </w:tc>
        <w:tc>
          <w:tcPr>
            <w:tcW w:w="1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1,041,429</w:t>
            </w:r>
          </w:p>
        </w:tc>
        <w:tc>
          <w:tcPr>
            <w:tcW w:w="0" w:type="dxa"/>
            <w:vAlign w:val="bottom"/>
          </w:tcPr>
          <w:p>
            <w:pPr>
              <w:spacing w:after="0"/>
              <w:rPr>
                <w:sz w:val="1"/>
                <w:szCs w:val="1"/>
                <w:color w:val="auto"/>
              </w:rPr>
            </w:pPr>
          </w:p>
        </w:tc>
      </w:tr>
      <w:tr>
        <w:trPr>
          <w:trHeight w:val="211"/>
        </w:trPr>
        <w:tc>
          <w:tcPr>
            <w:tcW w:w="1340" w:type="dxa"/>
            <w:vAlign w:val="bottom"/>
          </w:tcPr>
          <w:p>
            <w:pPr>
              <w:ind w:left="20"/>
              <w:spacing w:after="0"/>
              <w:rPr>
                <w:sz w:val="20"/>
                <w:szCs w:val="20"/>
                <w:color w:val="auto"/>
              </w:rPr>
            </w:pPr>
            <w:r>
              <w:rPr>
                <w:rFonts w:ascii="Arial" w:cs="Arial" w:eastAsia="Arial" w:hAnsi="Arial"/>
                <w:sz w:val="16"/>
                <w:szCs w:val="16"/>
                <w:color w:val="auto"/>
              </w:rPr>
              <w:t>Mr. Funk</w:t>
            </w:r>
          </w:p>
        </w:tc>
        <w:tc>
          <w:tcPr>
            <w:tcW w:w="2080" w:type="dxa"/>
            <w:vAlign w:val="bottom"/>
          </w:tcPr>
          <w:p>
            <w:pPr>
              <w:jc w:val="right"/>
              <w:ind w:right="143"/>
              <w:spacing w:after="0"/>
              <w:rPr>
                <w:sz w:val="20"/>
                <w:szCs w:val="20"/>
                <w:color w:val="auto"/>
              </w:rPr>
            </w:pPr>
            <w:r>
              <w:rPr>
                <w:rFonts w:ascii="Arial" w:cs="Arial" w:eastAsia="Arial" w:hAnsi="Arial"/>
                <w:sz w:val="16"/>
                <w:szCs w:val="16"/>
                <w:color w:val="auto"/>
              </w:rPr>
              <w:t>515,970</w:t>
            </w:r>
          </w:p>
        </w:tc>
        <w:tc>
          <w:tcPr>
            <w:tcW w:w="1940" w:type="dxa"/>
            <w:vAlign w:val="bottom"/>
          </w:tcPr>
          <w:p>
            <w:pPr>
              <w:jc w:val="right"/>
              <w:ind w:right="143"/>
              <w:spacing w:after="0"/>
              <w:rPr>
                <w:sz w:val="20"/>
                <w:szCs w:val="20"/>
                <w:color w:val="auto"/>
              </w:rPr>
            </w:pPr>
            <w:r>
              <w:rPr>
                <w:rFonts w:ascii="Arial" w:cs="Arial" w:eastAsia="Arial" w:hAnsi="Arial"/>
                <w:sz w:val="16"/>
                <w:szCs w:val="16"/>
                <w:color w:val="auto"/>
              </w:rPr>
              <w:t>65 / 90</w:t>
            </w:r>
          </w:p>
        </w:tc>
        <w:tc>
          <w:tcPr>
            <w:tcW w:w="1660" w:type="dxa"/>
            <w:vAlign w:val="bottom"/>
          </w:tcPr>
          <w:p>
            <w:pPr>
              <w:jc w:val="right"/>
              <w:ind w:right="144"/>
              <w:spacing w:after="0"/>
              <w:rPr>
                <w:sz w:val="20"/>
                <w:szCs w:val="20"/>
                <w:color w:val="auto"/>
              </w:rPr>
            </w:pPr>
            <w:r>
              <w:rPr>
                <w:rFonts w:ascii="Arial" w:cs="Arial" w:eastAsia="Arial" w:hAnsi="Arial"/>
                <w:sz w:val="16"/>
                <w:szCs w:val="16"/>
                <w:color w:val="auto"/>
              </w:rPr>
              <w:t>+25%</w:t>
            </w:r>
          </w:p>
        </w:tc>
        <w:tc>
          <w:tcPr>
            <w:tcW w:w="2060" w:type="dxa"/>
            <w:vAlign w:val="bottom"/>
          </w:tcPr>
          <w:p>
            <w:pPr>
              <w:jc w:val="right"/>
              <w:ind w:right="164"/>
              <w:spacing w:after="0"/>
              <w:rPr>
                <w:sz w:val="20"/>
                <w:szCs w:val="20"/>
                <w:color w:val="auto"/>
              </w:rPr>
            </w:pPr>
            <w:r>
              <w:rPr>
                <w:rFonts w:ascii="Arial" w:cs="Arial" w:eastAsia="Arial" w:hAnsi="Arial"/>
                <w:sz w:val="16"/>
                <w:szCs w:val="16"/>
                <w:color w:val="auto"/>
              </w:rPr>
              <w:t>365,669</w:t>
            </w:r>
          </w:p>
        </w:tc>
        <w:tc>
          <w:tcPr>
            <w:tcW w:w="1760" w:type="dxa"/>
            <w:vAlign w:val="bottom"/>
          </w:tcPr>
          <w:p>
            <w:pPr>
              <w:jc w:val="right"/>
              <w:spacing w:after="0"/>
              <w:rPr>
                <w:sz w:val="20"/>
                <w:szCs w:val="20"/>
                <w:color w:val="auto"/>
              </w:rPr>
            </w:pPr>
            <w:r>
              <w:rPr>
                <w:rFonts w:ascii="Arial" w:cs="Arial" w:eastAsia="Arial" w:hAnsi="Arial"/>
                <w:sz w:val="16"/>
                <w:szCs w:val="16"/>
                <w:color w:val="auto"/>
              </w:rPr>
              <w:t>881,639</w:t>
            </w:r>
          </w:p>
        </w:tc>
        <w:tc>
          <w:tcPr>
            <w:tcW w:w="0" w:type="dxa"/>
            <w:vAlign w:val="bottom"/>
          </w:tcPr>
          <w:p>
            <w:pPr>
              <w:spacing w:after="0"/>
              <w:rPr>
                <w:sz w:val="1"/>
                <w:szCs w:val="1"/>
                <w:color w:val="auto"/>
              </w:rPr>
            </w:pPr>
          </w:p>
        </w:tc>
      </w:tr>
      <w:tr>
        <w:trPr>
          <w:trHeight w:val="29"/>
        </w:trPr>
        <w:tc>
          <w:tcPr>
            <w:tcW w:w="13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Mr. Moeller</w:t>
            </w:r>
          </w:p>
        </w:tc>
        <w:tc>
          <w:tcPr>
            <w:tcW w:w="2080" w:type="dxa"/>
            <w:vAlign w:val="bottom"/>
            <w:tcBorders>
              <w:bottom w:val="single" w:sz="8" w:color="DBDBDB"/>
            </w:tcBorders>
            <w:shd w:val="clear" w:color="auto" w:fill="DBDBDB"/>
          </w:tcPr>
          <w:p>
            <w:pPr>
              <w:jc w:val="right"/>
              <w:ind w:right="143"/>
              <w:spacing w:after="0"/>
              <w:rPr>
                <w:sz w:val="20"/>
                <w:szCs w:val="20"/>
                <w:color w:val="auto"/>
              </w:rPr>
            </w:pPr>
            <w:r>
              <w:rPr>
                <w:rFonts w:ascii="Arial" w:cs="Arial" w:eastAsia="Arial" w:hAnsi="Arial"/>
                <w:sz w:val="16"/>
                <w:szCs w:val="16"/>
                <w:color w:val="auto"/>
              </w:rPr>
              <w:t>443,469</w:t>
            </w:r>
          </w:p>
        </w:tc>
        <w:tc>
          <w:tcPr>
            <w:tcW w:w="1940" w:type="dxa"/>
            <w:vAlign w:val="bottom"/>
            <w:tcBorders>
              <w:bottom w:val="single" w:sz="8" w:color="DBDBDB"/>
            </w:tcBorders>
            <w:shd w:val="clear" w:color="auto" w:fill="DBDBDB"/>
          </w:tcPr>
          <w:p>
            <w:pPr>
              <w:jc w:val="right"/>
              <w:ind w:right="203"/>
              <w:spacing w:after="0"/>
              <w:rPr>
                <w:sz w:val="20"/>
                <w:szCs w:val="20"/>
                <w:color w:val="auto"/>
              </w:rPr>
            </w:pPr>
            <w:r>
              <w:rPr>
                <w:rFonts w:ascii="Arial" w:cs="Arial" w:eastAsia="Arial" w:hAnsi="Arial"/>
                <w:sz w:val="16"/>
                <w:szCs w:val="16"/>
                <w:color w:val="auto"/>
              </w:rPr>
              <w:t>65</w:t>
            </w:r>
          </w:p>
        </w:tc>
        <w:tc>
          <w:tcPr>
            <w:tcW w:w="1660" w:type="dxa"/>
            <w:vAlign w:val="bottom"/>
            <w:tcBorders>
              <w:bottom w:val="single" w:sz="8" w:color="DBDBDB"/>
            </w:tcBorders>
            <w:shd w:val="clear" w:color="auto" w:fill="DBDBDB"/>
          </w:tcPr>
          <w:p>
            <w:pPr>
              <w:jc w:val="right"/>
              <w:ind w:right="144"/>
              <w:spacing w:after="0"/>
              <w:rPr>
                <w:sz w:val="20"/>
                <w:szCs w:val="20"/>
                <w:color w:val="auto"/>
              </w:rPr>
            </w:pPr>
            <w:r>
              <w:rPr>
                <w:rFonts w:ascii="Arial" w:cs="Arial" w:eastAsia="Arial" w:hAnsi="Arial"/>
                <w:sz w:val="16"/>
                <w:szCs w:val="16"/>
                <w:color w:val="auto"/>
              </w:rPr>
              <w:t>No Change</w:t>
            </w:r>
          </w:p>
        </w:tc>
        <w:tc>
          <w:tcPr>
            <w:tcW w:w="2060" w:type="dxa"/>
            <w:vAlign w:val="bottom"/>
            <w:tcBorders>
              <w:bottom w:val="single" w:sz="8" w:color="DBDBDB"/>
            </w:tcBorders>
            <w:shd w:val="clear" w:color="auto" w:fill="DBDBDB"/>
          </w:tcPr>
          <w:p>
            <w:pPr>
              <w:jc w:val="right"/>
              <w:ind w:right="164"/>
              <w:spacing w:after="0"/>
              <w:rPr>
                <w:sz w:val="20"/>
                <w:szCs w:val="20"/>
                <w:color w:val="auto"/>
              </w:rPr>
            </w:pPr>
            <w:r>
              <w:rPr>
                <w:rFonts w:ascii="Arial" w:cs="Arial" w:eastAsia="Arial" w:hAnsi="Arial"/>
                <w:sz w:val="16"/>
                <w:szCs w:val="16"/>
                <w:color w:val="auto"/>
              </w:rPr>
              <w:t>288,255</w:t>
            </w:r>
          </w:p>
        </w:tc>
        <w:tc>
          <w:tcPr>
            <w:tcW w:w="1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731,724</w:t>
            </w:r>
          </w:p>
        </w:tc>
        <w:tc>
          <w:tcPr>
            <w:tcW w:w="0" w:type="dxa"/>
            <w:vAlign w:val="bottom"/>
          </w:tcPr>
          <w:p>
            <w:pPr>
              <w:spacing w:after="0"/>
              <w:rPr>
                <w:sz w:val="1"/>
                <w:szCs w:val="1"/>
                <w:color w:val="auto"/>
              </w:rPr>
            </w:pPr>
          </w:p>
        </w:tc>
      </w:tr>
      <w:tr>
        <w:trPr>
          <w:trHeight w:val="211"/>
        </w:trPr>
        <w:tc>
          <w:tcPr>
            <w:tcW w:w="1340" w:type="dxa"/>
            <w:vAlign w:val="bottom"/>
          </w:tcPr>
          <w:p>
            <w:pPr>
              <w:ind w:left="20"/>
              <w:spacing w:after="0"/>
              <w:rPr>
                <w:sz w:val="20"/>
                <w:szCs w:val="20"/>
                <w:color w:val="auto"/>
              </w:rPr>
            </w:pPr>
            <w:r>
              <w:rPr>
                <w:rFonts w:ascii="Arial" w:cs="Arial" w:eastAsia="Arial" w:hAnsi="Arial"/>
                <w:sz w:val="16"/>
                <w:szCs w:val="16"/>
                <w:color w:val="auto"/>
              </w:rPr>
              <w:t>Mr. Janey</w:t>
            </w:r>
          </w:p>
        </w:tc>
        <w:tc>
          <w:tcPr>
            <w:tcW w:w="2080" w:type="dxa"/>
            <w:vAlign w:val="bottom"/>
          </w:tcPr>
          <w:p>
            <w:pPr>
              <w:jc w:val="right"/>
              <w:ind w:right="143"/>
              <w:spacing w:after="0"/>
              <w:rPr>
                <w:sz w:val="20"/>
                <w:szCs w:val="20"/>
                <w:color w:val="auto"/>
              </w:rPr>
            </w:pPr>
            <w:r>
              <w:rPr>
                <w:rFonts w:ascii="Arial" w:cs="Arial" w:eastAsia="Arial" w:hAnsi="Arial"/>
                <w:sz w:val="16"/>
                <w:szCs w:val="16"/>
                <w:color w:val="auto"/>
              </w:rPr>
              <w:t>474,513</w:t>
            </w:r>
          </w:p>
        </w:tc>
        <w:tc>
          <w:tcPr>
            <w:tcW w:w="1940" w:type="dxa"/>
            <w:vAlign w:val="bottom"/>
          </w:tcPr>
          <w:p>
            <w:pPr>
              <w:jc w:val="right"/>
              <w:ind w:right="203"/>
              <w:spacing w:after="0"/>
              <w:rPr>
                <w:sz w:val="20"/>
                <w:szCs w:val="20"/>
                <w:color w:val="auto"/>
              </w:rPr>
            </w:pPr>
            <w:r>
              <w:rPr>
                <w:rFonts w:ascii="Arial" w:cs="Arial" w:eastAsia="Arial" w:hAnsi="Arial"/>
                <w:sz w:val="16"/>
                <w:szCs w:val="16"/>
                <w:color w:val="auto"/>
              </w:rPr>
              <w:t>65</w:t>
            </w:r>
          </w:p>
        </w:tc>
        <w:tc>
          <w:tcPr>
            <w:tcW w:w="1660" w:type="dxa"/>
            <w:vAlign w:val="bottom"/>
          </w:tcPr>
          <w:p>
            <w:pPr>
              <w:jc w:val="right"/>
              <w:ind w:right="144"/>
              <w:spacing w:after="0"/>
              <w:rPr>
                <w:sz w:val="20"/>
                <w:szCs w:val="20"/>
                <w:color w:val="auto"/>
              </w:rPr>
            </w:pPr>
            <w:r>
              <w:rPr>
                <w:rFonts w:ascii="Arial" w:cs="Arial" w:eastAsia="Arial" w:hAnsi="Arial"/>
                <w:sz w:val="16"/>
                <w:szCs w:val="16"/>
                <w:color w:val="auto"/>
              </w:rPr>
              <w:t>No Change</w:t>
            </w:r>
          </w:p>
        </w:tc>
        <w:tc>
          <w:tcPr>
            <w:tcW w:w="2060" w:type="dxa"/>
            <w:vAlign w:val="bottom"/>
          </w:tcPr>
          <w:p>
            <w:pPr>
              <w:jc w:val="right"/>
              <w:ind w:right="164"/>
              <w:spacing w:after="0"/>
              <w:rPr>
                <w:sz w:val="20"/>
                <w:szCs w:val="20"/>
                <w:color w:val="auto"/>
              </w:rPr>
            </w:pPr>
            <w:r>
              <w:rPr>
                <w:rFonts w:ascii="Arial" w:cs="Arial" w:eastAsia="Arial" w:hAnsi="Arial"/>
                <w:sz w:val="16"/>
                <w:szCs w:val="16"/>
                <w:color w:val="auto"/>
              </w:rPr>
              <w:t>308,433</w:t>
            </w:r>
          </w:p>
        </w:tc>
        <w:tc>
          <w:tcPr>
            <w:tcW w:w="1760" w:type="dxa"/>
            <w:vAlign w:val="bottom"/>
          </w:tcPr>
          <w:p>
            <w:pPr>
              <w:jc w:val="right"/>
              <w:spacing w:after="0"/>
              <w:rPr>
                <w:sz w:val="20"/>
                <w:szCs w:val="20"/>
                <w:color w:val="auto"/>
              </w:rPr>
            </w:pPr>
            <w:r>
              <w:rPr>
                <w:rFonts w:ascii="Arial" w:cs="Arial" w:eastAsia="Arial" w:hAnsi="Arial"/>
                <w:sz w:val="16"/>
                <w:szCs w:val="16"/>
                <w:color w:val="auto"/>
              </w:rPr>
              <w:t>782,946</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firstLine="640"/>
        <w:spacing w:after="0" w:line="247" w:lineRule="auto"/>
        <w:rPr>
          <w:sz w:val="20"/>
          <w:szCs w:val="20"/>
          <w:color w:val="auto"/>
        </w:rPr>
      </w:pPr>
      <w:r>
        <w:rPr>
          <w:rFonts w:ascii="Arial" w:cs="Arial" w:eastAsia="Arial" w:hAnsi="Arial"/>
          <w:sz w:val="17"/>
          <w:szCs w:val="17"/>
          <w:color w:val="auto"/>
        </w:rPr>
        <w:t>We believe the fiscal 2025 target annual cash incentive awards when combined with the annual base salaries are within a reasonable range of the market 50</w:t>
      </w:r>
      <w:r>
        <w:rPr>
          <w:rFonts w:ascii="Arial" w:cs="Arial" w:eastAsia="Arial" w:hAnsi="Arial"/>
          <w:sz w:val="9"/>
          <w:szCs w:val="9"/>
          <w:color w:val="auto"/>
        </w:rPr>
        <w:t>th</w:t>
      </w:r>
      <w:r>
        <w:rPr>
          <w:rFonts w:ascii="Arial" w:cs="Arial" w:eastAsia="Arial" w:hAnsi="Arial"/>
          <w:sz w:val="17"/>
          <w:szCs w:val="17"/>
          <w:color w:val="auto"/>
        </w:rPr>
        <w:t xml:space="preserve"> percentile and that the differentiation of target awards among our NEOs was appropriate given the scope and</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responsibility of their respective positions. The target incentive for Mr. Funk increased from 65% to 90% in connection with his promotion to President and Chief Operating Officer.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Performance Measures, Weightings, Goals, Adjustment Events and Results. </w:t>
      </w:r>
      <w:r>
        <w:rPr>
          <w:rFonts w:ascii="Arial" w:cs="Arial" w:eastAsia="Arial" w:hAnsi="Arial"/>
          <w:sz w:val="18"/>
          <w:szCs w:val="18"/>
          <w:color w:val="auto"/>
        </w:rPr>
        <w:t>Each year, the Committee determines performance measures,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weightings, goals and performance adjustment events for the annual cash incentive awards. We believe that in order to motivate our executive</w:t>
      </w:r>
    </w:p>
    <w:p>
      <w:pPr>
        <w:spacing w:after="0" w:line="5"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officers to achieve annual financial goals, it is important to select performance measures aligned with our annual financial goals and that drive stockholder value.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Early in fiscal 2025, the Committee established threshold, target and maximum goals for each corporate performance measure, which, for</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fiscal 2025, including profitability and revenue growth. Target levels of performance were established based on our annual financial goals, which takes into account our prior fiscal year actual financial results, our competitive situation and the general outlook for our business for</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fiscal 2025. Similarly, threshold and maximum performance goals are established that consider internal and external factors. The adjusted diluted EPS threshold goal must have been met for any payout for corporate participants.</w:t>
      </w:r>
    </w:p>
    <w:p>
      <w:pPr>
        <w:spacing w:after="0" w:line="5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Our executive officers with all corporate responsibilities, which includes Mr. Olson and Ms. Drake, had 100% of their annual cash incentive tied to corporate performance. Mr. Funk's annual cash incentive was tied 60% to performance of the Golf, Grounds and Irrigation group over which</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he had responsibility and 40% to corporate performance until he was promoted to President and Chief Operating Officer when 100% became tied to corporate performance. Messrs. Moeller and Janey's annual cash incentives were tied 60% to performance of the groups over which</w:t>
      </w:r>
    </w:p>
    <w:p>
      <w:pPr>
        <w:spacing w:after="0" w:line="217" w:lineRule="auto"/>
        <w:rPr>
          <w:sz w:val="20"/>
          <w:szCs w:val="20"/>
          <w:color w:val="auto"/>
        </w:rPr>
      </w:pPr>
      <w:r>
        <w:rPr>
          <w:rFonts w:ascii="Arial" w:cs="Arial" w:eastAsia="Arial" w:hAnsi="Arial"/>
          <w:sz w:val="18"/>
          <w:szCs w:val="18"/>
          <w:color w:val="auto"/>
        </w:rPr>
        <w:t>they had responsibility (Underground and Specialty Construction group in the case of Mr. Moeller and Landscapes and Contractor for Mr.</w:t>
      </w:r>
    </w:p>
    <w:p>
      <w:pPr>
        <w:spacing w:after="0"/>
        <w:rPr>
          <w:sz w:val="20"/>
          <w:szCs w:val="20"/>
          <w:color w:val="auto"/>
        </w:rPr>
      </w:pPr>
      <w:r>
        <w:rPr>
          <w:rFonts w:ascii="Arial" w:cs="Arial" w:eastAsia="Arial" w:hAnsi="Arial"/>
          <w:sz w:val="18"/>
          <w:szCs w:val="18"/>
          <w:color w:val="auto"/>
        </w:rPr>
        <w:t>Janey) and 40% to corporate performance.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fiscal 2025 corporate performance measures, weightings, goals and actual performance levels are reflected in the table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00" w:type="dxa"/>
            <w:vAlign w:val="bottom"/>
            <w:shd w:val="clear" w:color="auto" w:fill="BF2115"/>
          </w:tcPr>
          <w:p>
            <w:pPr>
              <w:ind w:left="100"/>
              <w:spacing w:after="0"/>
              <w:rPr>
                <w:sz w:val="20"/>
                <w:szCs w:val="20"/>
                <w:color w:val="auto"/>
              </w:rPr>
            </w:pPr>
            <w:r>
              <w:rPr>
                <w:rFonts w:ascii="Arial" w:cs="Arial" w:eastAsia="Arial" w:hAnsi="Arial"/>
                <w:sz w:val="14"/>
                <w:szCs w:val="14"/>
                <w:b w:val="1"/>
                <w:bCs w:val="1"/>
                <w:color w:val="FFFFFF"/>
              </w:rPr>
              <w:t>Corporate:</w:t>
            </w:r>
          </w:p>
        </w:tc>
        <w:tc>
          <w:tcPr>
            <w:tcW w:w="1640" w:type="dxa"/>
            <w:vAlign w:val="bottom"/>
            <w:shd w:val="clear" w:color="auto" w:fill="BF2115"/>
          </w:tcPr>
          <w:p>
            <w:pPr>
              <w:jc w:val="center"/>
              <w:ind w:left="229"/>
              <w:spacing w:after="0"/>
              <w:rPr>
                <w:sz w:val="20"/>
                <w:szCs w:val="20"/>
                <w:color w:val="auto"/>
              </w:rPr>
            </w:pPr>
            <w:r>
              <w:rPr>
                <w:rFonts w:ascii="Arial" w:cs="Arial" w:eastAsia="Arial" w:hAnsi="Arial"/>
                <w:sz w:val="14"/>
                <w:szCs w:val="14"/>
                <w:b w:val="1"/>
                <w:bCs w:val="1"/>
                <w:color w:val="FFFFFF"/>
              </w:rPr>
              <w:t>Threshold</w:t>
            </w:r>
          </w:p>
        </w:tc>
        <w:tc>
          <w:tcPr>
            <w:tcW w:w="140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480" w:type="dxa"/>
            <w:vAlign w:val="bottom"/>
            <w:shd w:val="clear" w:color="auto" w:fill="BF2115"/>
          </w:tcPr>
          <w:p>
            <w:pPr>
              <w:jc w:val="center"/>
              <w:ind w:right="29"/>
              <w:spacing w:after="0"/>
              <w:rPr>
                <w:sz w:val="20"/>
                <w:szCs w:val="20"/>
                <w:color w:val="auto"/>
              </w:rPr>
            </w:pPr>
            <w:r>
              <w:rPr>
                <w:rFonts w:ascii="Arial" w:cs="Arial" w:eastAsia="Arial" w:hAnsi="Arial"/>
                <w:sz w:val="14"/>
                <w:szCs w:val="14"/>
                <w:b w:val="1"/>
                <w:bCs w:val="1"/>
                <w:color w:val="FFFFFF"/>
              </w:rPr>
              <w:t>Maximum</w:t>
            </w:r>
          </w:p>
        </w:tc>
        <w:tc>
          <w:tcPr>
            <w:tcW w:w="2660" w:type="dxa"/>
            <w:vAlign w:val="bottom"/>
            <w:shd w:val="clear" w:color="auto" w:fill="BF2115"/>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BF2115"/>
          </w:tcPr>
          <w:p>
            <w:pPr>
              <w:ind w:left="100"/>
              <w:spacing w:after="0"/>
              <w:rPr>
                <w:sz w:val="20"/>
                <w:szCs w:val="20"/>
                <w:color w:val="auto"/>
              </w:rPr>
            </w:pPr>
            <w:r>
              <w:rPr>
                <w:rFonts w:ascii="Arial" w:cs="Arial" w:eastAsia="Arial" w:hAnsi="Arial"/>
                <w:sz w:val="14"/>
                <w:szCs w:val="14"/>
                <w:b w:val="1"/>
                <w:bCs w:val="1"/>
                <w:color w:val="FFFFFF"/>
              </w:rPr>
              <w:t>Fiscal 2025 Performance Measures</w:t>
            </w:r>
          </w:p>
        </w:tc>
        <w:tc>
          <w:tcPr>
            <w:tcW w:w="1640" w:type="dxa"/>
            <w:vAlign w:val="bottom"/>
            <w:shd w:val="clear" w:color="auto" w:fill="BF2115"/>
          </w:tcPr>
          <w:p>
            <w:pPr>
              <w:jc w:val="center"/>
              <w:ind w:left="229"/>
              <w:spacing w:after="0"/>
              <w:rPr>
                <w:sz w:val="20"/>
                <w:szCs w:val="20"/>
                <w:color w:val="auto"/>
              </w:rPr>
            </w:pPr>
            <w:r>
              <w:rPr>
                <w:rFonts w:ascii="Arial" w:cs="Arial" w:eastAsia="Arial" w:hAnsi="Arial"/>
                <w:sz w:val="14"/>
                <w:szCs w:val="14"/>
                <w:b w:val="1"/>
                <w:bCs w:val="1"/>
                <w:color w:val="FFFFFF"/>
              </w:rPr>
              <w:t>(50% payout)</w:t>
            </w:r>
          </w:p>
        </w:tc>
        <w:tc>
          <w:tcPr>
            <w:tcW w:w="140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(100% payout)</w:t>
            </w:r>
          </w:p>
        </w:tc>
        <w:tc>
          <w:tcPr>
            <w:tcW w:w="1480" w:type="dxa"/>
            <w:vAlign w:val="bottom"/>
            <w:shd w:val="clear" w:color="auto" w:fill="BF2115"/>
          </w:tcPr>
          <w:p>
            <w:pPr>
              <w:jc w:val="center"/>
              <w:ind w:right="49"/>
              <w:spacing w:after="0"/>
              <w:rPr>
                <w:sz w:val="20"/>
                <w:szCs w:val="20"/>
                <w:color w:val="auto"/>
              </w:rPr>
            </w:pPr>
            <w:r>
              <w:rPr>
                <w:rFonts w:ascii="Arial" w:cs="Arial" w:eastAsia="Arial" w:hAnsi="Arial"/>
                <w:sz w:val="14"/>
                <w:szCs w:val="14"/>
                <w:b w:val="1"/>
                <w:bCs w:val="1"/>
                <w:color w:val="FFFFFF"/>
              </w:rPr>
              <w:t>(200% payout)</w:t>
            </w:r>
          </w:p>
        </w:tc>
        <w:tc>
          <w:tcPr>
            <w:tcW w:w="2660" w:type="dxa"/>
            <w:vAlign w:val="bottom"/>
            <w:shd w:val="clear" w:color="auto" w:fill="BF2115"/>
          </w:tcPr>
          <w:p>
            <w:pPr>
              <w:jc w:val="center"/>
              <w:ind w:right="29"/>
              <w:spacing w:after="0"/>
              <w:rPr>
                <w:sz w:val="20"/>
                <w:szCs w:val="20"/>
                <w:color w:val="auto"/>
              </w:rPr>
            </w:pPr>
            <w:r>
              <w:rPr>
                <w:rFonts w:ascii="Arial" w:cs="Arial" w:eastAsia="Arial" w:hAnsi="Arial"/>
                <w:sz w:val="14"/>
                <w:szCs w:val="14"/>
                <w:b w:val="1"/>
                <w:bCs w:val="1"/>
                <w:color w:val="FFFFFF"/>
              </w:rPr>
              <w:t>Actual</w:t>
            </w:r>
          </w:p>
        </w:tc>
        <w:tc>
          <w:tcPr>
            <w:tcW w:w="0" w:type="dxa"/>
            <w:vAlign w:val="bottom"/>
          </w:tcPr>
          <w:p>
            <w:pPr>
              <w:spacing w:after="0"/>
              <w:rPr>
                <w:sz w:val="1"/>
                <w:szCs w:val="1"/>
                <w:color w:val="auto"/>
              </w:rPr>
            </w:pPr>
          </w:p>
        </w:tc>
      </w:tr>
      <w:tr>
        <w:trPr>
          <w:trHeight w:val="204"/>
        </w:trPr>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60% adjusted diluted EPS</w:t>
            </w:r>
          </w:p>
        </w:tc>
        <w:tc>
          <w:tcPr>
            <w:tcW w:w="1640" w:type="dxa"/>
            <w:vAlign w:val="bottom"/>
            <w:vMerge w:val="restart"/>
          </w:tcPr>
          <w:p>
            <w:pPr>
              <w:jc w:val="right"/>
              <w:ind w:right="429"/>
              <w:spacing w:after="0"/>
              <w:rPr>
                <w:sz w:val="20"/>
                <w:szCs w:val="20"/>
                <w:color w:val="auto"/>
              </w:rPr>
            </w:pPr>
            <w:r>
              <w:rPr>
                <w:rFonts w:ascii="Arial" w:cs="Arial" w:eastAsia="Arial" w:hAnsi="Arial"/>
                <w:sz w:val="14"/>
                <w:szCs w:val="14"/>
                <w:color w:val="auto"/>
              </w:rPr>
              <w:t>$3.54</w:t>
            </w:r>
          </w:p>
        </w:tc>
        <w:tc>
          <w:tcPr>
            <w:tcW w:w="1400" w:type="dxa"/>
            <w:vAlign w:val="bottom"/>
            <w:vMerge w:val="restart"/>
          </w:tcPr>
          <w:p>
            <w:pPr>
              <w:jc w:val="right"/>
              <w:ind w:right="429"/>
              <w:spacing w:after="0"/>
              <w:rPr>
                <w:sz w:val="20"/>
                <w:szCs w:val="20"/>
                <w:color w:val="auto"/>
              </w:rPr>
            </w:pPr>
            <w:r>
              <w:rPr>
                <w:rFonts w:ascii="Arial" w:cs="Arial" w:eastAsia="Arial" w:hAnsi="Arial"/>
                <w:sz w:val="14"/>
                <w:szCs w:val="14"/>
                <w:color w:val="auto"/>
              </w:rPr>
              <w:t>$4.42</w:t>
            </w:r>
          </w:p>
        </w:tc>
        <w:tc>
          <w:tcPr>
            <w:tcW w:w="1480" w:type="dxa"/>
            <w:vAlign w:val="bottom"/>
            <w:vMerge w:val="restart"/>
          </w:tcPr>
          <w:p>
            <w:pPr>
              <w:jc w:val="right"/>
              <w:ind w:right="549"/>
              <w:spacing w:after="0"/>
              <w:rPr>
                <w:sz w:val="20"/>
                <w:szCs w:val="20"/>
                <w:color w:val="auto"/>
              </w:rPr>
            </w:pPr>
            <w:r>
              <w:rPr>
                <w:rFonts w:ascii="Arial" w:cs="Arial" w:eastAsia="Arial" w:hAnsi="Arial"/>
                <w:sz w:val="14"/>
                <w:szCs w:val="14"/>
                <w:color w:val="auto"/>
              </w:rPr>
              <w:t>$5.30</w:t>
            </w:r>
          </w:p>
        </w:tc>
        <w:tc>
          <w:tcPr>
            <w:tcW w:w="2660" w:type="dxa"/>
            <w:vAlign w:val="bottom"/>
          </w:tcPr>
          <w:p>
            <w:pPr>
              <w:jc w:val="right"/>
              <w:ind w:right="1129"/>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95"/>
        </w:trPr>
        <w:tc>
          <w:tcPr>
            <w:tcW w:w="300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660" w:type="dxa"/>
            <w:vAlign w:val="bottom"/>
            <w:vMerge w:val="restart"/>
          </w:tcPr>
          <w:p>
            <w:pPr>
              <w:jc w:val="center"/>
              <w:ind w:right="49"/>
              <w:spacing w:after="0"/>
              <w:rPr>
                <w:sz w:val="20"/>
                <w:szCs w:val="20"/>
                <w:color w:val="auto"/>
              </w:rPr>
            </w:pPr>
            <w:r>
              <w:rPr>
                <w:rFonts w:ascii="Arial" w:cs="Arial" w:eastAsia="Arial" w:hAnsi="Arial"/>
                <w:sz w:val="14"/>
                <w:szCs w:val="14"/>
                <w:color w:val="auto"/>
              </w:rPr>
              <w:t>(between threshold and target)</w:t>
            </w:r>
          </w:p>
        </w:tc>
        <w:tc>
          <w:tcPr>
            <w:tcW w:w="0" w:type="dxa"/>
            <w:vAlign w:val="bottom"/>
          </w:tcPr>
          <w:p>
            <w:pPr>
              <w:spacing w:after="0"/>
              <w:rPr>
                <w:sz w:val="1"/>
                <w:szCs w:val="1"/>
                <w:color w:val="auto"/>
              </w:rPr>
            </w:pPr>
          </w:p>
        </w:tc>
      </w:tr>
      <w:tr>
        <w:trPr>
          <w:trHeight w:val="93"/>
        </w:trPr>
        <w:tc>
          <w:tcPr>
            <w:tcW w:w="30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00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40% corporate revenue growth</w:t>
            </w:r>
          </w:p>
        </w:tc>
        <w:tc>
          <w:tcPr>
            <w:tcW w:w="1640" w:type="dxa"/>
            <w:vAlign w:val="bottom"/>
            <w:vMerge w:val="restart"/>
            <w:shd w:val="clear" w:color="auto" w:fill="DBDBDB"/>
          </w:tcPr>
          <w:p>
            <w:pPr>
              <w:jc w:val="right"/>
              <w:ind w:right="389"/>
              <w:spacing w:after="0"/>
              <w:rPr>
                <w:sz w:val="20"/>
                <w:szCs w:val="20"/>
                <w:color w:val="auto"/>
              </w:rPr>
            </w:pPr>
            <w:r>
              <w:rPr>
                <w:rFonts w:ascii="Arial" w:cs="Arial" w:eastAsia="Arial" w:hAnsi="Arial"/>
                <w:sz w:val="14"/>
                <w:szCs w:val="14"/>
                <w:color w:val="auto"/>
              </w:rPr>
              <w:t>(3.9)%</w:t>
            </w:r>
          </w:p>
        </w:tc>
        <w:tc>
          <w:tcPr>
            <w:tcW w:w="1400" w:type="dxa"/>
            <w:vAlign w:val="bottom"/>
            <w:vMerge w:val="restart"/>
            <w:shd w:val="clear" w:color="auto" w:fill="DBDBDB"/>
          </w:tcPr>
          <w:p>
            <w:pPr>
              <w:jc w:val="right"/>
              <w:ind w:right="449"/>
              <w:spacing w:after="0"/>
              <w:rPr>
                <w:sz w:val="20"/>
                <w:szCs w:val="20"/>
                <w:color w:val="auto"/>
              </w:rPr>
            </w:pPr>
            <w:r>
              <w:rPr>
                <w:rFonts w:ascii="Arial" w:cs="Arial" w:eastAsia="Arial" w:hAnsi="Arial"/>
                <w:sz w:val="14"/>
                <w:szCs w:val="14"/>
                <w:color w:val="auto"/>
              </w:rPr>
              <w:t>1.1%</w:t>
            </w:r>
          </w:p>
        </w:tc>
        <w:tc>
          <w:tcPr>
            <w:tcW w:w="1480" w:type="dxa"/>
            <w:vAlign w:val="bottom"/>
            <w:vMerge w:val="restart"/>
            <w:shd w:val="clear" w:color="auto" w:fill="DBDBDB"/>
          </w:tcPr>
          <w:p>
            <w:pPr>
              <w:jc w:val="right"/>
              <w:ind w:right="569"/>
              <w:spacing w:after="0"/>
              <w:rPr>
                <w:sz w:val="20"/>
                <w:szCs w:val="20"/>
                <w:color w:val="auto"/>
              </w:rPr>
            </w:pPr>
            <w:r>
              <w:rPr>
                <w:rFonts w:ascii="Arial" w:cs="Arial" w:eastAsia="Arial" w:hAnsi="Arial"/>
                <w:sz w:val="14"/>
                <w:szCs w:val="14"/>
                <w:color w:val="auto"/>
              </w:rPr>
              <w:t>6.1%</w:t>
            </w:r>
          </w:p>
        </w:tc>
        <w:tc>
          <w:tcPr>
            <w:tcW w:w="2660" w:type="dxa"/>
            <w:vAlign w:val="bottom"/>
            <w:shd w:val="clear" w:color="auto" w:fill="DBDBDB"/>
          </w:tcPr>
          <w:p>
            <w:pPr>
              <w:jc w:val="right"/>
              <w:ind w:right="1109"/>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95"/>
        </w:trPr>
        <w:tc>
          <w:tcPr>
            <w:tcW w:w="3000" w:type="dxa"/>
            <w:vAlign w:val="bottom"/>
            <w:vMerge w:val="continue"/>
            <w:shd w:val="clear" w:color="auto" w:fill="DBDBDB"/>
          </w:tcPr>
          <w:p>
            <w:pPr>
              <w:spacing w:after="0"/>
              <w:rPr>
                <w:sz w:val="8"/>
                <w:szCs w:val="8"/>
                <w:color w:val="auto"/>
              </w:rPr>
            </w:pPr>
          </w:p>
        </w:tc>
        <w:tc>
          <w:tcPr>
            <w:tcW w:w="1640" w:type="dxa"/>
            <w:vAlign w:val="bottom"/>
            <w:vMerge w:val="continue"/>
            <w:shd w:val="clear" w:color="auto" w:fill="DBDBDB"/>
          </w:tcPr>
          <w:p>
            <w:pPr>
              <w:spacing w:after="0"/>
              <w:rPr>
                <w:sz w:val="8"/>
                <w:szCs w:val="8"/>
                <w:color w:val="auto"/>
              </w:rPr>
            </w:pPr>
          </w:p>
        </w:tc>
        <w:tc>
          <w:tcPr>
            <w:tcW w:w="1400" w:type="dxa"/>
            <w:vAlign w:val="bottom"/>
            <w:vMerge w:val="continue"/>
            <w:shd w:val="clear" w:color="auto" w:fill="DBDBDB"/>
          </w:tcPr>
          <w:p>
            <w:pPr>
              <w:spacing w:after="0"/>
              <w:rPr>
                <w:sz w:val="8"/>
                <w:szCs w:val="8"/>
                <w:color w:val="auto"/>
              </w:rPr>
            </w:pPr>
          </w:p>
        </w:tc>
        <w:tc>
          <w:tcPr>
            <w:tcW w:w="1480" w:type="dxa"/>
            <w:vAlign w:val="bottom"/>
            <w:vMerge w:val="continue"/>
            <w:shd w:val="clear" w:color="auto" w:fill="DBDBDB"/>
          </w:tcPr>
          <w:p>
            <w:pPr>
              <w:spacing w:after="0"/>
              <w:rPr>
                <w:sz w:val="8"/>
                <w:szCs w:val="8"/>
                <w:color w:val="auto"/>
              </w:rPr>
            </w:pPr>
          </w:p>
        </w:tc>
        <w:tc>
          <w:tcPr>
            <w:tcW w:w="2660" w:type="dxa"/>
            <w:vAlign w:val="bottom"/>
            <w:vMerge w:val="restart"/>
            <w:shd w:val="clear" w:color="auto" w:fill="DBDBDB"/>
          </w:tcPr>
          <w:p>
            <w:pPr>
              <w:jc w:val="center"/>
              <w:ind w:right="49"/>
              <w:spacing w:after="0"/>
              <w:rPr>
                <w:sz w:val="20"/>
                <w:szCs w:val="20"/>
                <w:color w:val="auto"/>
              </w:rPr>
            </w:pPr>
            <w:r>
              <w:rPr>
                <w:rFonts w:ascii="Arial" w:cs="Arial" w:eastAsia="Arial" w:hAnsi="Arial"/>
                <w:sz w:val="14"/>
                <w:szCs w:val="14"/>
                <w:color w:val="auto"/>
              </w:rPr>
              <w:t>(between threshold and target)</w:t>
            </w:r>
          </w:p>
        </w:tc>
        <w:tc>
          <w:tcPr>
            <w:tcW w:w="0" w:type="dxa"/>
            <w:vAlign w:val="bottom"/>
          </w:tcPr>
          <w:p>
            <w:pPr>
              <w:spacing w:after="0"/>
              <w:rPr>
                <w:sz w:val="1"/>
                <w:szCs w:val="1"/>
                <w:color w:val="auto"/>
              </w:rPr>
            </w:pPr>
          </w:p>
        </w:tc>
      </w:tr>
      <w:tr>
        <w:trPr>
          <w:trHeight w:val="94"/>
        </w:trPr>
        <w:tc>
          <w:tcPr>
            <w:tcW w:w="3000" w:type="dxa"/>
            <w:vAlign w:val="bottom"/>
            <w:tcBorders>
              <w:bottom w:val="single" w:sz="8" w:color="DBDBDB"/>
            </w:tcBorders>
            <w:shd w:val="clear" w:color="auto" w:fill="DBDBDB"/>
          </w:tcPr>
          <w:p>
            <w:pPr>
              <w:spacing w:after="0"/>
              <w:rPr>
                <w:sz w:val="8"/>
                <w:szCs w:val="8"/>
                <w:color w:val="auto"/>
              </w:rPr>
            </w:pPr>
          </w:p>
        </w:tc>
        <w:tc>
          <w:tcPr>
            <w:tcW w:w="1640" w:type="dxa"/>
            <w:vAlign w:val="bottom"/>
            <w:tcBorders>
              <w:bottom w:val="single" w:sz="8" w:color="DBDBDB"/>
            </w:tcBorders>
            <w:shd w:val="clear" w:color="auto" w:fill="DBDBDB"/>
          </w:tcPr>
          <w:p>
            <w:pPr>
              <w:spacing w:after="0"/>
              <w:rPr>
                <w:sz w:val="8"/>
                <w:szCs w:val="8"/>
                <w:color w:val="auto"/>
              </w:rPr>
            </w:pPr>
          </w:p>
        </w:tc>
        <w:tc>
          <w:tcPr>
            <w:tcW w:w="1400" w:type="dxa"/>
            <w:vAlign w:val="bottom"/>
            <w:tcBorders>
              <w:bottom w:val="single" w:sz="8" w:color="DBDBDB"/>
            </w:tcBorders>
            <w:shd w:val="clear" w:color="auto" w:fill="DBDBDB"/>
          </w:tcPr>
          <w:p>
            <w:pPr>
              <w:spacing w:after="0"/>
              <w:rPr>
                <w:sz w:val="8"/>
                <w:szCs w:val="8"/>
                <w:color w:val="auto"/>
              </w:rPr>
            </w:pPr>
          </w:p>
        </w:tc>
        <w:tc>
          <w:tcPr>
            <w:tcW w:w="1480" w:type="dxa"/>
            <w:vAlign w:val="bottom"/>
            <w:tcBorders>
              <w:bottom w:val="single" w:sz="8" w:color="DBDBDB"/>
            </w:tcBorders>
            <w:shd w:val="clear" w:color="auto" w:fill="DBDBDB"/>
          </w:tcPr>
          <w:p>
            <w:pPr>
              <w:spacing w:after="0"/>
              <w:rPr>
                <w:sz w:val="8"/>
                <w:szCs w:val="8"/>
                <w:color w:val="auto"/>
              </w:rPr>
            </w:pPr>
          </w:p>
        </w:tc>
        <w:tc>
          <w:tcPr>
            <w:tcW w:w="2660" w:type="dxa"/>
            <w:vAlign w:val="bottom"/>
            <w:tcBorders>
              <w:bottom w:val="single" w:sz="8" w:color="DBDBDB"/>
            </w:tcBorders>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Corporate performance payout</w:t>
            </w:r>
          </w:p>
        </w:tc>
        <w:tc>
          <w:tcPr>
            <w:tcW w:w="1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60" w:type="dxa"/>
            <w:vAlign w:val="bottom"/>
          </w:tcPr>
          <w:p>
            <w:pPr>
              <w:jc w:val="center"/>
              <w:ind w:right="49"/>
              <w:spacing w:after="0"/>
              <w:rPr>
                <w:sz w:val="20"/>
                <w:szCs w:val="20"/>
                <w:color w:val="auto"/>
              </w:rPr>
            </w:pPr>
            <w:r>
              <w:rPr>
                <w:rFonts w:ascii="Arial" w:cs="Arial" w:eastAsia="Arial" w:hAnsi="Arial"/>
                <w:sz w:val="14"/>
                <w:szCs w:val="14"/>
                <w:b w:val="1"/>
                <w:bCs w:val="1"/>
                <w:color w:val="auto"/>
              </w:rPr>
              <w:t>81.6% of target</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The Golf, Grounds and Irrigation group performance measures, weightings, goals and actual performance applicable to Mr. Funk are reflected in the table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0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Golf, Grounds and Irrigation Group:</w:t>
            </w:r>
          </w:p>
        </w:tc>
        <w:tc>
          <w:tcPr>
            <w:tcW w:w="1660" w:type="dxa"/>
            <w:vAlign w:val="bottom"/>
            <w:shd w:val="clear" w:color="auto" w:fill="BF2115"/>
          </w:tcPr>
          <w:p>
            <w:pPr>
              <w:jc w:val="center"/>
              <w:ind w:left="269"/>
              <w:spacing w:after="0"/>
              <w:rPr>
                <w:sz w:val="20"/>
                <w:szCs w:val="20"/>
                <w:color w:val="auto"/>
              </w:rPr>
            </w:pPr>
            <w:r>
              <w:rPr>
                <w:rFonts w:ascii="Arial" w:cs="Arial" w:eastAsia="Arial" w:hAnsi="Arial"/>
                <w:sz w:val="14"/>
                <w:szCs w:val="14"/>
                <w:b w:val="1"/>
                <w:bCs w:val="1"/>
                <w:color w:val="FFFFFF"/>
              </w:rPr>
              <w:t>Threshold</w:t>
            </w:r>
          </w:p>
        </w:tc>
        <w:tc>
          <w:tcPr>
            <w:tcW w:w="140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460" w:type="dxa"/>
            <w:vAlign w:val="bottom"/>
            <w:shd w:val="clear" w:color="auto" w:fill="BF2115"/>
          </w:tcPr>
          <w:p>
            <w:pPr>
              <w:jc w:val="center"/>
              <w:ind w:right="49"/>
              <w:spacing w:after="0"/>
              <w:rPr>
                <w:sz w:val="20"/>
                <w:szCs w:val="20"/>
                <w:color w:val="auto"/>
              </w:rPr>
            </w:pPr>
            <w:r>
              <w:rPr>
                <w:rFonts w:ascii="Arial" w:cs="Arial" w:eastAsia="Arial" w:hAnsi="Arial"/>
                <w:sz w:val="14"/>
                <w:szCs w:val="14"/>
                <w:b w:val="1"/>
                <w:bCs w:val="1"/>
                <w:color w:val="FFFFFF"/>
              </w:rPr>
              <w:t>Maximum</w:t>
            </w:r>
          </w:p>
        </w:tc>
        <w:tc>
          <w:tcPr>
            <w:tcW w:w="2660" w:type="dxa"/>
            <w:vAlign w:val="bottom"/>
            <w:shd w:val="clear" w:color="auto" w:fill="BF2115"/>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Fiscal 2025 Performance Measures</w:t>
            </w:r>
          </w:p>
        </w:tc>
        <w:tc>
          <w:tcPr>
            <w:tcW w:w="1660" w:type="dxa"/>
            <w:vAlign w:val="bottom"/>
            <w:shd w:val="clear" w:color="auto" w:fill="BF2115"/>
          </w:tcPr>
          <w:p>
            <w:pPr>
              <w:jc w:val="center"/>
              <w:ind w:left="269"/>
              <w:spacing w:after="0"/>
              <w:rPr>
                <w:sz w:val="20"/>
                <w:szCs w:val="20"/>
                <w:color w:val="auto"/>
              </w:rPr>
            </w:pPr>
            <w:r>
              <w:rPr>
                <w:rFonts w:ascii="Arial" w:cs="Arial" w:eastAsia="Arial" w:hAnsi="Arial"/>
                <w:sz w:val="14"/>
                <w:szCs w:val="14"/>
                <w:b w:val="1"/>
                <w:bCs w:val="1"/>
                <w:color w:val="FFFFFF"/>
              </w:rPr>
              <w:t>(50% payout)</w:t>
            </w:r>
          </w:p>
        </w:tc>
        <w:tc>
          <w:tcPr>
            <w:tcW w:w="140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(100% payout)</w:t>
            </w:r>
          </w:p>
        </w:tc>
        <w:tc>
          <w:tcPr>
            <w:tcW w:w="1460" w:type="dxa"/>
            <w:vAlign w:val="bottom"/>
            <w:shd w:val="clear" w:color="auto" w:fill="BF2115"/>
          </w:tcPr>
          <w:p>
            <w:pPr>
              <w:jc w:val="center"/>
              <w:ind w:right="49"/>
              <w:spacing w:after="0"/>
              <w:rPr>
                <w:sz w:val="20"/>
                <w:szCs w:val="20"/>
                <w:color w:val="auto"/>
              </w:rPr>
            </w:pPr>
            <w:r>
              <w:rPr>
                <w:rFonts w:ascii="Arial" w:cs="Arial" w:eastAsia="Arial" w:hAnsi="Arial"/>
                <w:sz w:val="14"/>
                <w:szCs w:val="14"/>
                <w:b w:val="1"/>
                <w:bCs w:val="1"/>
                <w:color w:val="FFFFFF"/>
              </w:rPr>
              <w:t>(200% payout)</w:t>
            </w:r>
          </w:p>
        </w:tc>
        <w:tc>
          <w:tcPr>
            <w:tcW w:w="2660" w:type="dxa"/>
            <w:vAlign w:val="bottom"/>
            <w:shd w:val="clear" w:color="auto" w:fill="BF2115"/>
          </w:tcPr>
          <w:p>
            <w:pPr>
              <w:jc w:val="center"/>
              <w:ind w:right="29"/>
              <w:spacing w:after="0"/>
              <w:rPr>
                <w:sz w:val="20"/>
                <w:szCs w:val="20"/>
                <w:color w:val="auto"/>
              </w:rPr>
            </w:pPr>
            <w:r>
              <w:rPr>
                <w:rFonts w:ascii="Arial" w:cs="Arial" w:eastAsia="Arial" w:hAnsi="Arial"/>
                <w:sz w:val="14"/>
                <w:szCs w:val="14"/>
                <w:b w:val="1"/>
                <w:bCs w:val="1"/>
                <w:color w:val="FFFFFF"/>
              </w:rPr>
              <w:t>Actual</w:t>
            </w:r>
          </w:p>
        </w:tc>
        <w:tc>
          <w:tcPr>
            <w:tcW w:w="0" w:type="dxa"/>
            <w:vAlign w:val="bottom"/>
          </w:tcPr>
          <w:p>
            <w:pPr>
              <w:spacing w:after="0"/>
              <w:rPr>
                <w:sz w:val="1"/>
                <w:szCs w:val="1"/>
                <w:color w:val="auto"/>
              </w:rPr>
            </w:pPr>
          </w:p>
        </w:tc>
      </w:tr>
      <w:tr>
        <w:trPr>
          <w:trHeight w:val="178"/>
        </w:trPr>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60% controllable profit contribution</w:t>
            </w:r>
          </w:p>
        </w:tc>
        <w:tc>
          <w:tcPr>
            <w:tcW w:w="1660" w:type="dxa"/>
            <w:vAlign w:val="bottom"/>
            <w:vMerge w:val="restart"/>
          </w:tcPr>
          <w:p>
            <w:pPr>
              <w:jc w:val="right"/>
              <w:ind w:right="289"/>
              <w:spacing w:after="0"/>
              <w:rPr>
                <w:sz w:val="20"/>
                <w:szCs w:val="20"/>
                <w:color w:val="auto"/>
              </w:rPr>
            </w:pPr>
            <w:r>
              <w:rPr>
                <w:rFonts w:ascii="Arial" w:cs="Arial" w:eastAsia="Arial" w:hAnsi="Arial"/>
                <w:sz w:val="14"/>
                <w:szCs w:val="14"/>
                <w:color w:val="auto"/>
              </w:rPr>
              <w:t>$276,233</w:t>
            </w:r>
          </w:p>
        </w:tc>
        <w:tc>
          <w:tcPr>
            <w:tcW w:w="1400" w:type="dxa"/>
            <w:vAlign w:val="bottom"/>
            <w:vMerge w:val="restart"/>
          </w:tcPr>
          <w:p>
            <w:pPr>
              <w:jc w:val="right"/>
              <w:ind w:right="309"/>
              <w:spacing w:after="0"/>
              <w:rPr>
                <w:sz w:val="20"/>
                <w:szCs w:val="20"/>
                <w:color w:val="auto"/>
              </w:rPr>
            </w:pPr>
            <w:r>
              <w:rPr>
                <w:rFonts w:ascii="Arial" w:cs="Arial" w:eastAsia="Arial" w:hAnsi="Arial"/>
                <w:sz w:val="14"/>
                <w:szCs w:val="14"/>
                <w:color w:val="auto"/>
              </w:rPr>
              <w:t>$345,291</w:t>
            </w:r>
          </w:p>
        </w:tc>
        <w:tc>
          <w:tcPr>
            <w:tcW w:w="1460" w:type="dxa"/>
            <w:vAlign w:val="bottom"/>
            <w:vMerge w:val="restart"/>
          </w:tcPr>
          <w:p>
            <w:pPr>
              <w:jc w:val="right"/>
              <w:ind w:right="429"/>
              <w:spacing w:after="0"/>
              <w:rPr>
                <w:sz w:val="20"/>
                <w:szCs w:val="20"/>
                <w:color w:val="auto"/>
              </w:rPr>
            </w:pPr>
            <w:r>
              <w:rPr>
                <w:rFonts w:ascii="Arial" w:cs="Arial" w:eastAsia="Arial" w:hAnsi="Arial"/>
                <w:sz w:val="14"/>
                <w:szCs w:val="14"/>
                <w:color w:val="auto"/>
              </w:rPr>
              <w:t>$414,350</w:t>
            </w:r>
          </w:p>
        </w:tc>
        <w:tc>
          <w:tcPr>
            <w:tcW w:w="2660" w:type="dxa"/>
            <w:vAlign w:val="bottom"/>
          </w:tcPr>
          <w:p>
            <w:pPr>
              <w:jc w:val="right"/>
              <w:ind w:right="1009"/>
              <w:spacing w:after="0"/>
              <w:rPr>
                <w:sz w:val="20"/>
                <w:szCs w:val="20"/>
                <w:color w:val="auto"/>
              </w:rPr>
            </w:pPr>
            <w:r>
              <w:rPr>
                <w:rFonts w:ascii="Arial" w:cs="Arial" w:eastAsia="Arial" w:hAnsi="Arial"/>
                <w:sz w:val="14"/>
                <w:szCs w:val="14"/>
                <w:color w:val="auto"/>
              </w:rPr>
              <w:t>$375,576</w:t>
            </w:r>
          </w:p>
        </w:tc>
        <w:tc>
          <w:tcPr>
            <w:tcW w:w="0" w:type="dxa"/>
            <w:vAlign w:val="bottom"/>
          </w:tcPr>
          <w:p>
            <w:pPr>
              <w:spacing w:after="0"/>
              <w:rPr>
                <w:sz w:val="1"/>
                <w:szCs w:val="1"/>
                <w:color w:val="auto"/>
              </w:rPr>
            </w:pPr>
          </w:p>
        </w:tc>
      </w:tr>
      <w:tr>
        <w:trPr>
          <w:trHeight w:val="109"/>
        </w:trPr>
        <w:tc>
          <w:tcPr>
            <w:tcW w:w="300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2660" w:type="dxa"/>
            <w:vAlign w:val="bottom"/>
            <w:vMerge w:val="restart"/>
          </w:tcPr>
          <w:p>
            <w:pPr>
              <w:jc w:val="center"/>
              <w:ind w:right="9"/>
              <w:spacing w:after="0"/>
              <w:rPr>
                <w:sz w:val="20"/>
                <w:szCs w:val="20"/>
                <w:color w:val="auto"/>
              </w:rPr>
            </w:pPr>
            <w:r>
              <w:rPr>
                <w:rFonts w:ascii="Arial" w:cs="Arial" w:eastAsia="Arial" w:hAnsi="Arial"/>
                <w:sz w:val="14"/>
                <w:szCs w:val="14"/>
                <w:color w:val="auto"/>
              </w:rPr>
              <w:t>(between target and maximum)</w:t>
            </w:r>
          </w:p>
        </w:tc>
        <w:tc>
          <w:tcPr>
            <w:tcW w:w="0" w:type="dxa"/>
            <w:vAlign w:val="bottom"/>
          </w:tcPr>
          <w:p>
            <w:pPr>
              <w:spacing w:after="0"/>
              <w:rPr>
                <w:sz w:val="1"/>
                <w:szCs w:val="1"/>
                <w:color w:val="auto"/>
              </w:rPr>
            </w:pPr>
          </w:p>
        </w:tc>
      </w:tr>
      <w:tr>
        <w:trPr>
          <w:trHeight w:val="80"/>
        </w:trPr>
        <w:tc>
          <w:tcPr>
            <w:tcW w:w="30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00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40% revenue growth</w:t>
            </w:r>
          </w:p>
        </w:tc>
        <w:tc>
          <w:tcPr>
            <w:tcW w:w="1660" w:type="dxa"/>
            <w:vAlign w:val="bottom"/>
            <w:vMerge w:val="restart"/>
            <w:shd w:val="clear" w:color="auto" w:fill="DBDBDB"/>
          </w:tcPr>
          <w:p>
            <w:pPr>
              <w:jc w:val="right"/>
              <w:ind w:right="389"/>
              <w:spacing w:after="0"/>
              <w:rPr>
                <w:sz w:val="20"/>
                <w:szCs w:val="20"/>
                <w:color w:val="auto"/>
              </w:rPr>
            </w:pPr>
            <w:r>
              <w:rPr>
                <w:rFonts w:ascii="Arial" w:cs="Arial" w:eastAsia="Arial" w:hAnsi="Arial"/>
                <w:sz w:val="14"/>
                <w:szCs w:val="14"/>
                <w:color w:val="auto"/>
              </w:rPr>
              <w:t>(2.9)%</w:t>
            </w:r>
          </w:p>
        </w:tc>
        <w:tc>
          <w:tcPr>
            <w:tcW w:w="1400" w:type="dxa"/>
            <w:vAlign w:val="bottom"/>
            <w:vMerge w:val="restart"/>
            <w:shd w:val="clear" w:color="auto" w:fill="DBDBDB"/>
          </w:tcPr>
          <w:p>
            <w:pPr>
              <w:jc w:val="right"/>
              <w:ind w:right="449"/>
              <w:spacing w:after="0"/>
              <w:rPr>
                <w:sz w:val="20"/>
                <w:szCs w:val="20"/>
                <w:color w:val="auto"/>
              </w:rPr>
            </w:pPr>
            <w:r>
              <w:rPr>
                <w:rFonts w:ascii="Arial" w:cs="Arial" w:eastAsia="Arial" w:hAnsi="Arial"/>
                <w:sz w:val="14"/>
                <w:szCs w:val="14"/>
                <w:color w:val="auto"/>
              </w:rPr>
              <w:t>2.1%</w:t>
            </w:r>
          </w:p>
        </w:tc>
        <w:tc>
          <w:tcPr>
            <w:tcW w:w="1460" w:type="dxa"/>
            <w:vAlign w:val="bottom"/>
            <w:vMerge w:val="restart"/>
            <w:shd w:val="clear" w:color="auto" w:fill="DBDBDB"/>
          </w:tcPr>
          <w:p>
            <w:pPr>
              <w:jc w:val="right"/>
              <w:ind w:right="549"/>
              <w:spacing w:after="0"/>
              <w:rPr>
                <w:sz w:val="20"/>
                <w:szCs w:val="20"/>
                <w:color w:val="auto"/>
              </w:rPr>
            </w:pPr>
            <w:r>
              <w:rPr>
                <w:rFonts w:ascii="Arial" w:cs="Arial" w:eastAsia="Arial" w:hAnsi="Arial"/>
                <w:sz w:val="14"/>
                <w:szCs w:val="14"/>
                <w:color w:val="auto"/>
              </w:rPr>
              <w:t>7.1%</w:t>
            </w:r>
          </w:p>
        </w:tc>
        <w:tc>
          <w:tcPr>
            <w:tcW w:w="2660" w:type="dxa"/>
            <w:vAlign w:val="bottom"/>
            <w:shd w:val="clear" w:color="auto" w:fill="DBDBDB"/>
          </w:tcPr>
          <w:p>
            <w:pPr>
              <w:jc w:val="right"/>
              <w:ind w:right="1149"/>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09"/>
        </w:trPr>
        <w:tc>
          <w:tcPr>
            <w:tcW w:w="3000" w:type="dxa"/>
            <w:vAlign w:val="bottom"/>
            <w:vMerge w:val="continue"/>
            <w:shd w:val="clear" w:color="auto" w:fill="DBDBDB"/>
          </w:tcPr>
          <w:p>
            <w:pPr>
              <w:spacing w:after="0"/>
              <w:rPr>
                <w:sz w:val="9"/>
                <w:szCs w:val="9"/>
                <w:color w:val="auto"/>
              </w:rPr>
            </w:pPr>
          </w:p>
        </w:tc>
        <w:tc>
          <w:tcPr>
            <w:tcW w:w="1660" w:type="dxa"/>
            <w:vAlign w:val="bottom"/>
            <w:vMerge w:val="continue"/>
            <w:shd w:val="clear" w:color="auto" w:fill="DBDBDB"/>
          </w:tcPr>
          <w:p>
            <w:pPr>
              <w:spacing w:after="0"/>
              <w:rPr>
                <w:sz w:val="9"/>
                <w:szCs w:val="9"/>
                <w:color w:val="auto"/>
              </w:rPr>
            </w:pPr>
          </w:p>
        </w:tc>
        <w:tc>
          <w:tcPr>
            <w:tcW w:w="1400" w:type="dxa"/>
            <w:vAlign w:val="bottom"/>
            <w:vMerge w:val="continue"/>
            <w:shd w:val="clear" w:color="auto" w:fill="DBDBDB"/>
          </w:tcPr>
          <w:p>
            <w:pPr>
              <w:spacing w:after="0"/>
              <w:rPr>
                <w:sz w:val="9"/>
                <w:szCs w:val="9"/>
                <w:color w:val="auto"/>
              </w:rPr>
            </w:pPr>
          </w:p>
        </w:tc>
        <w:tc>
          <w:tcPr>
            <w:tcW w:w="1460" w:type="dxa"/>
            <w:vAlign w:val="bottom"/>
            <w:vMerge w:val="continue"/>
            <w:shd w:val="clear" w:color="auto" w:fill="DBDBDB"/>
          </w:tcPr>
          <w:p>
            <w:pPr>
              <w:spacing w:after="0"/>
              <w:rPr>
                <w:sz w:val="9"/>
                <w:szCs w:val="9"/>
                <w:color w:val="auto"/>
              </w:rPr>
            </w:pPr>
          </w:p>
        </w:tc>
        <w:tc>
          <w:tcPr>
            <w:tcW w:w="2660" w:type="dxa"/>
            <w:vAlign w:val="bottom"/>
            <w:vMerge w:val="restart"/>
            <w:shd w:val="clear" w:color="auto" w:fill="DBDBDB"/>
          </w:tcPr>
          <w:p>
            <w:pPr>
              <w:jc w:val="center"/>
              <w:ind w:right="9"/>
              <w:spacing w:after="0"/>
              <w:rPr>
                <w:sz w:val="20"/>
                <w:szCs w:val="20"/>
                <w:color w:val="auto"/>
              </w:rPr>
            </w:pPr>
            <w:r>
              <w:rPr>
                <w:rFonts w:ascii="Arial" w:cs="Arial" w:eastAsia="Arial" w:hAnsi="Arial"/>
                <w:sz w:val="14"/>
                <w:szCs w:val="14"/>
                <w:color w:val="auto"/>
              </w:rPr>
              <w:t>(between target and maximum)</w:t>
            </w:r>
          </w:p>
        </w:tc>
        <w:tc>
          <w:tcPr>
            <w:tcW w:w="0" w:type="dxa"/>
            <w:vAlign w:val="bottom"/>
          </w:tcPr>
          <w:p>
            <w:pPr>
              <w:spacing w:after="0"/>
              <w:rPr>
                <w:sz w:val="1"/>
                <w:szCs w:val="1"/>
                <w:color w:val="auto"/>
              </w:rPr>
            </w:pPr>
          </w:p>
        </w:tc>
      </w:tr>
      <w:tr>
        <w:trPr>
          <w:trHeight w:val="81"/>
        </w:trPr>
        <w:tc>
          <w:tcPr>
            <w:tcW w:w="3000" w:type="dxa"/>
            <w:vAlign w:val="bottom"/>
            <w:tcBorders>
              <w:bottom w:val="single" w:sz="8" w:color="DBDBDB"/>
            </w:tcBorders>
            <w:shd w:val="clear" w:color="auto" w:fill="DBDBDB"/>
          </w:tcPr>
          <w:p>
            <w:pPr>
              <w:spacing w:after="0"/>
              <w:rPr>
                <w:sz w:val="7"/>
                <w:szCs w:val="7"/>
                <w:color w:val="auto"/>
              </w:rPr>
            </w:pPr>
          </w:p>
        </w:tc>
        <w:tc>
          <w:tcPr>
            <w:tcW w:w="1660" w:type="dxa"/>
            <w:vAlign w:val="bottom"/>
            <w:tcBorders>
              <w:bottom w:val="single" w:sz="8" w:color="DBDBDB"/>
            </w:tcBorders>
            <w:shd w:val="clear" w:color="auto" w:fill="DBDBDB"/>
          </w:tcPr>
          <w:p>
            <w:pPr>
              <w:spacing w:after="0"/>
              <w:rPr>
                <w:sz w:val="7"/>
                <w:szCs w:val="7"/>
                <w:color w:val="auto"/>
              </w:rPr>
            </w:pPr>
          </w:p>
        </w:tc>
        <w:tc>
          <w:tcPr>
            <w:tcW w:w="1400" w:type="dxa"/>
            <w:vAlign w:val="bottom"/>
            <w:tcBorders>
              <w:bottom w:val="single" w:sz="8" w:color="DBDBDB"/>
            </w:tcBorders>
            <w:shd w:val="clear" w:color="auto" w:fill="DBDBDB"/>
          </w:tcPr>
          <w:p>
            <w:pPr>
              <w:spacing w:after="0"/>
              <w:rPr>
                <w:sz w:val="7"/>
                <w:szCs w:val="7"/>
                <w:color w:val="auto"/>
              </w:rPr>
            </w:pPr>
          </w:p>
        </w:tc>
        <w:tc>
          <w:tcPr>
            <w:tcW w:w="1460" w:type="dxa"/>
            <w:vAlign w:val="bottom"/>
            <w:tcBorders>
              <w:bottom w:val="single" w:sz="8" w:color="DBDBDB"/>
            </w:tcBorders>
            <w:shd w:val="clear" w:color="auto" w:fill="DBDBDB"/>
          </w:tcPr>
          <w:p>
            <w:pPr>
              <w:spacing w:after="0"/>
              <w:rPr>
                <w:sz w:val="7"/>
                <w:szCs w:val="7"/>
                <w:color w:val="auto"/>
              </w:rPr>
            </w:pPr>
          </w:p>
        </w:tc>
        <w:tc>
          <w:tcPr>
            <w:tcW w:w="2660" w:type="dxa"/>
            <w:vAlign w:val="bottom"/>
            <w:tcBorders>
              <w:bottom w:val="single" w:sz="8" w:color="DBDBDB"/>
            </w:tcBorders>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Golf, Grounds and Irrigation Group</w:t>
            </w:r>
          </w:p>
        </w:tc>
        <w:tc>
          <w:tcPr>
            <w:tcW w:w="16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60" w:type="dxa"/>
            <w:vAlign w:val="bottom"/>
            <w:vMerge w:val="restart"/>
          </w:tcPr>
          <w:p>
            <w:pPr>
              <w:jc w:val="center"/>
              <w:ind w:right="9"/>
              <w:spacing w:after="0"/>
              <w:rPr>
                <w:sz w:val="20"/>
                <w:szCs w:val="20"/>
                <w:color w:val="auto"/>
              </w:rPr>
            </w:pPr>
            <w:r>
              <w:rPr>
                <w:rFonts w:ascii="Arial" w:cs="Arial" w:eastAsia="Arial" w:hAnsi="Arial"/>
                <w:sz w:val="14"/>
                <w:szCs w:val="14"/>
                <w:b w:val="1"/>
                <w:bCs w:val="1"/>
                <w:color w:val="auto"/>
              </w:rPr>
              <w:t>140.6% of target</w:t>
            </w:r>
          </w:p>
        </w:tc>
        <w:tc>
          <w:tcPr>
            <w:tcW w:w="0" w:type="dxa"/>
            <w:vAlign w:val="bottom"/>
          </w:tcPr>
          <w:p>
            <w:pPr>
              <w:spacing w:after="0"/>
              <w:rPr>
                <w:sz w:val="1"/>
                <w:szCs w:val="1"/>
                <w:color w:val="auto"/>
              </w:rPr>
            </w:pPr>
          </w:p>
        </w:tc>
      </w:tr>
      <w:tr>
        <w:trPr>
          <w:trHeight w:val="115"/>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performance payout</w:t>
            </w:r>
          </w:p>
        </w:tc>
        <w:tc>
          <w:tcPr>
            <w:tcW w:w="16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3000" w:type="dxa"/>
            <w:vAlign w:val="bottom"/>
            <w:vMerge w:val="continue"/>
          </w:tcPr>
          <w:p>
            <w:pPr>
              <w:spacing w:after="0"/>
              <w:rPr>
                <w:sz w:val="6"/>
                <w:szCs w:val="6"/>
                <w:color w:val="auto"/>
              </w:rPr>
            </w:pPr>
          </w:p>
        </w:tc>
        <w:tc>
          <w:tcPr>
            <w:tcW w:w="16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The Underground and Specialty Construction group performance measures, weightings, goals and actual performance applicable to Mr.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Moeller are reflected in the table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2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Underground and Specialty Construction</w:t>
            </w:r>
          </w:p>
        </w:tc>
        <w:tc>
          <w:tcPr>
            <w:tcW w:w="1280" w:type="dxa"/>
            <w:vAlign w:val="bottom"/>
            <w:shd w:val="clear" w:color="auto" w:fill="BF2115"/>
          </w:tcPr>
          <w:p>
            <w:pPr>
              <w:spacing w:after="0"/>
              <w:rPr>
                <w:sz w:val="16"/>
                <w:szCs w:val="16"/>
                <w:color w:val="auto"/>
              </w:rPr>
            </w:pPr>
          </w:p>
        </w:tc>
        <w:tc>
          <w:tcPr>
            <w:tcW w:w="1400" w:type="dxa"/>
            <w:vAlign w:val="bottom"/>
            <w:shd w:val="clear" w:color="auto" w:fill="BF2115"/>
          </w:tcPr>
          <w:p>
            <w:pPr>
              <w:spacing w:after="0"/>
              <w:rPr>
                <w:sz w:val="16"/>
                <w:szCs w:val="16"/>
                <w:color w:val="auto"/>
              </w:rPr>
            </w:pPr>
          </w:p>
        </w:tc>
        <w:tc>
          <w:tcPr>
            <w:tcW w:w="1480" w:type="dxa"/>
            <w:vAlign w:val="bottom"/>
            <w:shd w:val="clear" w:color="auto" w:fill="BF2115"/>
          </w:tcPr>
          <w:p>
            <w:pPr>
              <w:spacing w:after="0"/>
              <w:rPr>
                <w:sz w:val="16"/>
                <w:szCs w:val="16"/>
                <w:color w:val="auto"/>
              </w:rPr>
            </w:pPr>
          </w:p>
        </w:tc>
        <w:tc>
          <w:tcPr>
            <w:tcW w:w="2640" w:type="dxa"/>
            <w:vAlign w:val="bottom"/>
            <w:shd w:val="clear" w:color="auto" w:fill="BF2115"/>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42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Group:</w:t>
            </w:r>
          </w:p>
        </w:tc>
        <w:tc>
          <w:tcPr>
            <w:tcW w:w="1280" w:type="dxa"/>
            <w:vAlign w:val="bottom"/>
            <w:shd w:val="clear" w:color="auto" w:fill="BF2115"/>
          </w:tcPr>
          <w:p>
            <w:pPr>
              <w:jc w:val="center"/>
              <w:ind w:right="9"/>
              <w:spacing w:after="0"/>
              <w:rPr>
                <w:sz w:val="20"/>
                <w:szCs w:val="20"/>
                <w:color w:val="auto"/>
              </w:rPr>
            </w:pPr>
            <w:r>
              <w:rPr>
                <w:rFonts w:ascii="Arial" w:cs="Arial" w:eastAsia="Arial" w:hAnsi="Arial"/>
                <w:sz w:val="14"/>
                <w:szCs w:val="14"/>
                <w:b w:val="1"/>
                <w:bCs w:val="1"/>
                <w:color w:val="FFFFFF"/>
              </w:rPr>
              <w:t>Threshold</w:t>
            </w:r>
          </w:p>
        </w:tc>
        <w:tc>
          <w:tcPr>
            <w:tcW w:w="140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480" w:type="dxa"/>
            <w:vAlign w:val="bottom"/>
            <w:shd w:val="clear" w:color="auto" w:fill="BF2115"/>
          </w:tcPr>
          <w:p>
            <w:pPr>
              <w:jc w:val="center"/>
              <w:ind w:right="29"/>
              <w:spacing w:after="0"/>
              <w:rPr>
                <w:sz w:val="20"/>
                <w:szCs w:val="20"/>
                <w:color w:val="auto"/>
              </w:rPr>
            </w:pPr>
            <w:r>
              <w:rPr>
                <w:rFonts w:ascii="Arial" w:cs="Arial" w:eastAsia="Arial" w:hAnsi="Arial"/>
                <w:sz w:val="14"/>
                <w:szCs w:val="14"/>
                <w:b w:val="1"/>
                <w:bCs w:val="1"/>
                <w:color w:val="FFFFFF"/>
              </w:rPr>
              <w:t>Maximum</w:t>
            </w:r>
          </w:p>
        </w:tc>
        <w:tc>
          <w:tcPr>
            <w:tcW w:w="2640" w:type="dxa"/>
            <w:vAlign w:val="bottom"/>
            <w:shd w:val="clear" w:color="auto" w:fill="BF2115"/>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2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Fiscal 2025 Performance Measures</w:t>
            </w:r>
          </w:p>
        </w:tc>
        <w:tc>
          <w:tcPr>
            <w:tcW w:w="1280" w:type="dxa"/>
            <w:vAlign w:val="bottom"/>
            <w:shd w:val="clear" w:color="auto" w:fill="BF2115"/>
          </w:tcPr>
          <w:p>
            <w:pPr>
              <w:jc w:val="center"/>
              <w:ind w:right="9"/>
              <w:spacing w:after="0"/>
              <w:rPr>
                <w:sz w:val="20"/>
                <w:szCs w:val="20"/>
                <w:color w:val="auto"/>
              </w:rPr>
            </w:pPr>
            <w:r>
              <w:rPr>
                <w:rFonts w:ascii="Arial" w:cs="Arial" w:eastAsia="Arial" w:hAnsi="Arial"/>
                <w:sz w:val="14"/>
                <w:szCs w:val="14"/>
                <w:b w:val="1"/>
                <w:bCs w:val="1"/>
                <w:color w:val="FFFFFF"/>
              </w:rPr>
              <w:t>(50% payout)</w:t>
            </w:r>
          </w:p>
        </w:tc>
        <w:tc>
          <w:tcPr>
            <w:tcW w:w="140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(100% payout)</w:t>
            </w:r>
          </w:p>
        </w:tc>
        <w:tc>
          <w:tcPr>
            <w:tcW w:w="1480" w:type="dxa"/>
            <w:vAlign w:val="bottom"/>
            <w:shd w:val="clear" w:color="auto" w:fill="BF2115"/>
          </w:tcPr>
          <w:p>
            <w:pPr>
              <w:jc w:val="center"/>
              <w:ind w:right="49"/>
              <w:spacing w:after="0"/>
              <w:rPr>
                <w:sz w:val="20"/>
                <w:szCs w:val="20"/>
                <w:color w:val="auto"/>
              </w:rPr>
            </w:pPr>
            <w:r>
              <w:rPr>
                <w:rFonts w:ascii="Arial" w:cs="Arial" w:eastAsia="Arial" w:hAnsi="Arial"/>
                <w:sz w:val="14"/>
                <w:szCs w:val="14"/>
                <w:b w:val="1"/>
                <w:bCs w:val="1"/>
                <w:color w:val="FFFFFF"/>
              </w:rPr>
              <w:t>(200% payout)</w:t>
            </w:r>
          </w:p>
        </w:tc>
        <w:tc>
          <w:tcPr>
            <w:tcW w:w="2640" w:type="dxa"/>
            <w:vAlign w:val="bottom"/>
            <w:shd w:val="clear" w:color="auto" w:fill="BF2115"/>
          </w:tcPr>
          <w:p>
            <w:pPr>
              <w:jc w:val="center"/>
              <w:ind w:right="9"/>
              <w:spacing w:after="0"/>
              <w:rPr>
                <w:sz w:val="20"/>
                <w:szCs w:val="20"/>
                <w:color w:val="auto"/>
              </w:rPr>
            </w:pPr>
            <w:r>
              <w:rPr>
                <w:rFonts w:ascii="Arial" w:cs="Arial" w:eastAsia="Arial" w:hAnsi="Arial"/>
                <w:sz w:val="14"/>
                <w:szCs w:val="14"/>
                <w:b w:val="1"/>
                <w:bCs w:val="1"/>
                <w:color w:val="FFFFFF"/>
              </w:rPr>
              <w:t>Actual</w:t>
            </w:r>
          </w:p>
        </w:tc>
        <w:tc>
          <w:tcPr>
            <w:tcW w:w="0" w:type="dxa"/>
            <w:vAlign w:val="bottom"/>
          </w:tcPr>
          <w:p>
            <w:pPr>
              <w:spacing w:after="0"/>
              <w:rPr>
                <w:sz w:val="1"/>
                <w:szCs w:val="1"/>
                <w:color w:val="auto"/>
              </w:rPr>
            </w:pPr>
          </w:p>
        </w:tc>
      </w:tr>
      <w:tr>
        <w:trPr>
          <w:trHeight w:val="178"/>
        </w:trPr>
        <w:tc>
          <w:tcPr>
            <w:tcW w:w="3420" w:type="dxa"/>
            <w:vAlign w:val="bottom"/>
            <w:vMerge w:val="restart"/>
          </w:tcPr>
          <w:p>
            <w:pPr>
              <w:ind w:left="20"/>
              <w:spacing w:after="0"/>
              <w:rPr>
                <w:sz w:val="20"/>
                <w:szCs w:val="20"/>
                <w:color w:val="auto"/>
              </w:rPr>
            </w:pPr>
            <w:r>
              <w:rPr>
                <w:rFonts w:ascii="Arial" w:cs="Arial" w:eastAsia="Arial" w:hAnsi="Arial"/>
                <w:sz w:val="14"/>
                <w:szCs w:val="14"/>
                <w:color w:val="auto"/>
              </w:rPr>
              <w:t>60% controllable profit contribution</w:t>
            </w:r>
          </w:p>
        </w:tc>
        <w:tc>
          <w:tcPr>
            <w:tcW w:w="1280" w:type="dxa"/>
            <w:vAlign w:val="bottom"/>
            <w:vMerge w:val="restart"/>
          </w:tcPr>
          <w:p>
            <w:pPr>
              <w:jc w:val="right"/>
              <w:ind w:right="309"/>
              <w:spacing w:after="0"/>
              <w:rPr>
                <w:sz w:val="20"/>
                <w:szCs w:val="20"/>
                <w:color w:val="auto"/>
              </w:rPr>
            </w:pPr>
            <w:r>
              <w:rPr>
                <w:rFonts w:ascii="Arial" w:cs="Arial" w:eastAsia="Arial" w:hAnsi="Arial"/>
                <w:sz w:val="14"/>
                <w:szCs w:val="14"/>
                <w:color w:val="auto"/>
              </w:rPr>
              <w:t>$110,895</w:t>
            </w:r>
          </w:p>
        </w:tc>
        <w:tc>
          <w:tcPr>
            <w:tcW w:w="1400" w:type="dxa"/>
            <w:vAlign w:val="bottom"/>
            <w:vMerge w:val="restart"/>
          </w:tcPr>
          <w:p>
            <w:pPr>
              <w:jc w:val="right"/>
              <w:ind w:right="329"/>
              <w:spacing w:after="0"/>
              <w:rPr>
                <w:sz w:val="20"/>
                <w:szCs w:val="20"/>
                <w:color w:val="auto"/>
              </w:rPr>
            </w:pPr>
            <w:r>
              <w:rPr>
                <w:rFonts w:ascii="Arial" w:cs="Arial" w:eastAsia="Arial" w:hAnsi="Arial"/>
                <w:sz w:val="14"/>
                <w:szCs w:val="14"/>
                <w:color w:val="auto"/>
              </w:rPr>
              <w:t>$138,618</w:t>
            </w:r>
          </w:p>
        </w:tc>
        <w:tc>
          <w:tcPr>
            <w:tcW w:w="1480" w:type="dxa"/>
            <w:vAlign w:val="bottom"/>
            <w:vMerge w:val="restart"/>
          </w:tcPr>
          <w:p>
            <w:pPr>
              <w:jc w:val="right"/>
              <w:ind w:right="429"/>
              <w:spacing w:after="0"/>
              <w:rPr>
                <w:sz w:val="20"/>
                <w:szCs w:val="20"/>
                <w:color w:val="auto"/>
              </w:rPr>
            </w:pPr>
            <w:r>
              <w:rPr>
                <w:rFonts w:ascii="Arial" w:cs="Arial" w:eastAsia="Arial" w:hAnsi="Arial"/>
                <w:sz w:val="14"/>
                <w:szCs w:val="14"/>
                <w:color w:val="auto"/>
              </w:rPr>
              <w:t>$166,342</w:t>
            </w:r>
          </w:p>
        </w:tc>
        <w:tc>
          <w:tcPr>
            <w:tcW w:w="2640" w:type="dxa"/>
            <w:vAlign w:val="bottom"/>
          </w:tcPr>
          <w:p>
            <w:pPr>
              <w:jc w:val="right"/>
              <w:ind w:right="989"/>
              <w:spacing w:after="0"/>
              <w:rPr>
                <w:sz w:val="20"/>
                <w:szCs w:val="20"/>
                <w:color w:val="auto"/>
              </w:rPr>
            </w:pPr>
            <w:r>
              <w:rPr>
                <w:rFonts w:ascii="Arial" w:cs="Arial" w:eastAsia="Arial" w:hAnsi="Arial"/>
                <w:sz w:val="14"/>
                <w:szCs w:val="14"/>
                <w:color w:val="auto"/>
              </w:rPr>
              <w:t>$152,246</w:t>
            </w:r>
          </w:p>
        </w:tc>
        <w:tc>
          <w:tcPr>
            <w:tcW w:w="0" w:type="dxa"/>
            <w:vAlign w:val="bottom"/>
          </w:tcPr>
          <w:p>
            <w:pPr>
              <w:spacing w:after="0"/>
              <w:rPr>
                <w:sz w:val="1"/>
                <w:szCs w:val="1"/>
                <w:color w:val="auto"/>
              </w:rPr>
            </w:pPr>
          </w:p>
        </w:tc>
      </w:tr>
      <w:tr>
        <w:trPr>
          <w:trHeight w:val="109"/>
        </w:trPr>
        <w:tc>
          <w:tcPr>
            <w:tcW w:w="342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2640" w:type="dxa"/>
            <w:vAlign w:val="bottom"/>
            <w:vMerge w:val="restart"/>
          </w:tcPr>
          <w:p>
            <w:pPr>
              <w:jc w:val="center"/>
              <w:spacing w:after="0"/>
              <w:rPr>
                <w:sz w:val="20"/>
                <w:szCs w:val="20"/>
                <w:color w:val="auto"/>
              </w:rPr>
            </w:pPr>
            <w:r>
              <w:rPr>
                <w:rFonts w:ascii="Arial" w:cs="Arial" w:eastAsia="Arial" w:hAnsi="Arial"/>
                <w:sz w:val="14"/>
                <w:szCs w:val="14"/>
                <w:color w:val="auto"/>
              </w:rPr>
              <w:t>(between target and maximum)</w:t>
            </w:r>
          </w:p>
        </w:tc>
        <w:tc>
          <w:tcPr>
            <w:tcW w:w="0" w:type="dxa"/>
            <w:vAlign w:val="bottom"/>
          </w:tcPr>
          <w:p>
            <w:pPr>
              <w:spacing w:after="0"/>
              <w:rPr>
                <w:sz w:val="1"/>
                <w:szCs w:val="1"/>
                <w:color w:val="auto"/>
              </w:rPr>
            </w:pPr>
          </w:p>
        </w:tc>
      </w:tr>
      <w:tr>
        <w:trPr>
          <w:trHeight w:val="80"/>
        </w:trPr>
        <w:tc>
          <w:tcPr>
            <w:tcW w:w="34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3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2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40% revenue growth</w:t>
            </w:r>
          </w:p>
        </w:tc>
        <w:tc>
          <w:tcPr>
            <w:tcW w:w="1280" w:type="dxa"/>
            <w:vAlign w:val="bottom"/>
            <w:vMerge w:val="restart"/>
            <w:shd w:val="clear" w:color="auto" w:fill="DBDBDB"/>
          </w:tcPr>
          <w:p>
            <w:pPr>
              <w:jc w:val="right"/>
              <w:ind w:right="389"/>
              <w:spacing w:after="0"/>
              <w:rPr>
                <w:sz w:val="20"/>
                <w:szCs w:val="20"/>
                <w:color w:val="auto"/>
              </w:rPr>
            </w:pPr>
            <w:r>
              <w:rPr>
                <w:rFonts w:ascii="Arial" w:cs="Arial" w:eastAsia="Arial" w:hAnsi="Arial"/>
                <w:sz w:val="14"/>
                <w:szCs w:val="14"/>
                <w:color w:val="auto"/>
              </w:rPr>
              <w:t>(4.9)%</w:t>
            </w:r>
          </w:p>
        </w:tc>
        <w:tc>
          <w:tcPr>
            <w:tcW w:w="1400" w:type="dxa"/>
            <w:vAlign w:val="bottom"/>
            <w:vMerge w:val="restart"/>
            <w:shd w:val="clear" w:color="auto" w:fill="DBDBDB"/>
          </w:tcPr>
          <w:p>
            <w:pPr>
              <w:jc w:val="right"/>
              <w:ind w:right="469"/>
              <w:spacing w:after="0"/>
              <w:rPr>
                <w:sz w:val="20"/>
                <w:szCs w:val="20"/>
                <w:color w:val="auto"/>
              </w:rPr>
            </w:pPr>
            <w:r>
              <w:rPr>
                <w:rFonts w:ascii="Arial" w:cs="Arial" w:eastAsia="Arial" w:hAnsi="Arial"/>
                <w:sz w:val="14"/>
                <w:szCs w:val="14"/>
                <w:color w:val="auto"/>
              </w:rPr>
              <w:t>0.1%</w:t>
            </w:r>
          </w:p>
        </w:tc>
        <w:tc>
          <w:tcPr>
            <w:tcW w:w="1480" w:type="dxa"/>
            <w:vAlign w:val="bottom"/>
            <w:vMerge w:val="restart"/>
            <w:shd w:val="clear" w:color="auto" w:fill="DBDBDB"/>
          </w:tcPr>
          <w:p>
            <w:pPr>
              <w:jc w:val="right"/>
              <w:ind w:right="569"/>
              <w:spacing w:after="0"/>
              <w:rPr>
                <w:sz w:val="20"/>
                <w:szCs w:val="20"/>
                <w:color w:val="auto"/>
              </w:rPr>
            </w:pPr>
            <w:r>
              <w:rPr>
                <w:rFonts w:ascii="Arial" w:cs="Arial" w:eastAsia="Arial" w:hAnsi="Arial"/>
                <w:sz w:val="14"/>
                <w:szCs w:val="14"/>
                <w:color w:val="auto"/>
              </w:rPr>
              <w:t>5.1%</w:t>
            </w:r>
          </w:p>
        </w:tc>
        <w:tc>
          <w:tcPr>
            <w:tcW w:w="2640" w:type="dxa"/>
            <w:vAlign w:val="bottom"/>
            <w:shd w:val="clear" w:color="auto" w:fill="DBDBDB"/>
          </w:tcPr>
          <w:p>
            <w:pPr>
              <w:jc w:val="right"/>
              <w:ind w:right="1129"/>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09"/>
        </w:trPr>
        <w:tc>
          <w:tcPr>
            <w:tcW w:w="3420" w:type="dxa"/>
            <w:vAlign w:val="bottom"/>
            <w:vMerge w:val="continue"/>
            <w:shd w:val="clear" w:color="auto" w:fill="DBDBDB"/>
          </w:tcPr>
          <w:p>
            <w:pPr>
              <w:spacing w:after="0"/>
              <w:rPr>
                <w:sz w:val="9"/>
                <w:szCs w:val="9"/>
                <w:color w:val="auto"/>
              </w:rPr>
            </w:pPr>
          </w:p>
        </w:tc>
        <w:tc>
          <w:tcPr>
            <w:tcW w:w="1280" w:type="dxa"/>
            <w:vAlign w:val="bottom"/>
            <w:vMerge w:val="continue"/>
            <w:shd w:val="clear" w:color="auto" w:fill="DBDBDB"/>
          </w:tcPr>
          <w:p>
            <w:pPr>
              <w:spacing w:after="0"/>
              <w:rPr>
                <w:sz w:val="9"/>
                <w:szCs w:val="9"/>
                <w:color w:val="auto"/>
              </w:rPr>
            </w:pPr>
          </w:p>
        </w:tc>
        <w:tc>
          <w:tcPr>
            <w:tcW w:w="1400" w:type="dxa"/>
            <w:vAlign w:val="bottom"/>
            <w:vMerge w:val="continue"/>
            <w:shd w:val="clear" w:color="auto" w:fill="DBDBDB"/>
          </w:tcPr>
          <w:p>
            <w:pPr>
              <w:spacing w:after="0"/>
              <w:rPr>
                <w:sz w:val="9"/>
                <w:szCs w:val="9"/>
                <w:color w:val="auto"/>
              </w:rPr>
            </w:pPr>
          </w:p>
        </w:tc>
        <w:tc>
          <w:tcPr>
            <w:tcW w:w="1480" w:type="dxa"/>
            <w:vAlign w:val="bottom"/>
            <w:vMerge w:val="continue"/>
            <w:shd w:val="clear" w:color="auto" w:fill="DBDBDB"/>
          </w:tcPr>
          <w:p>
            <w:pPr>
              <w:spacing w:after="0"/>
              <w:rPr>
                <w:sz w:val="9"/>
                <w:szCs w:val="9"/>
                <w:color w:val="auto"/>
              </w:rPr>
            </w:pPr>
          </w:p>
        </w:tc>
        <w:tc>
          <w:tcPr>
            <w:tcW w:w="264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(between target and maximum)</w:t>
            </w:r>
          </w:p>
        </w:tc>
        <w:tc>
          <w:tcPr>
            <w:tcW w:w="0" w:type="dxa"/>
            <w:vAlign w:val="bottom"/>
          </w:tcPr>
          <w:p>
            <w:pPr>
              <w:spacing w:after="0"/>
              <w:rPr>
                <w:sz w:val="1"/>
                <w:szCs w:val="1"/>
                <w:color w:val="auto"/>
              </w:rPr>
            </w:pPr>
          </w:p>
        </w:tc>
      </w:tr>
      <w:tr>
        <w:trPr>
          <w:trHeight w:val="81"/>
        </w:trPr>
        <w:tc>
          <w:tcPr>
            <w:tcW w:w="3420" w:type="dxa"/>
            <w:vAlign w:val="bottom"/>
            <w:tcBorders>
              <w:bottom w:val="single" w:sz="8" w:color="DBDBDB"/>
            </w:tcBorders>
            <w:shd w:val="clear" w:color="auto" w:fill="DBDBDB"/>
          </w:tcPr>
          <w:p>
            <w:pPr>
              <w:spacing w:after="0"/>
              <w:rPr>
                <w:sz w:val="7"/>
                <w:szCs w:val="7"/>
                <w:color w:val="auto"/>
              </w:rPr>
            </w:pPr>
          </w:p>
        </w:tc>
        <w:tc>
          <w:tcPr>
            <w:tcW w:w="1280" w:type="dxa"/>
            <w:vAlign w:val="bottom"/>
            <w:tcBorders>
              <w:bottom w:val="single" w:sz="8" w:color="DBDBDB"/>
            </w:tcBorders>
            <w:shd w:val="clear" w:color="auto" w:fill="DBDBDB"/>
          </w:tcPr>
          <w:p>
            <w:pPr>
              <w:spacing w:after="0"/>
              <w:rPr>
                <w:sz w:val="7"/>
                <w:szCs w:val="7"/>
                <w:color w:val="auto"/>
              </w:rPr>
            </w:pPr>
          </w:p>
        </w:tc>
        <w:tc>
          <w:tcPr>
            <w:tcW w:w="1400" w:type="dxa"/>
            <w:vAlign w:val="bottom"/>
            <w:tcBorders>
              <w:bottom w:val="single" w:sz="8" w:color="DBDBDB"/>
            </w:tcBorders>
            <w:shd w:val="clear" w:color="auto" w:fill="DBDBDB"/>
          </w:tcPr>
          <w:p>
            <w:pPr>
              <w:spacing w:after="0"/>
              <w:rPr>
                <w:sz w:val="7"/>
                <w:szCs w:val="7"/>
                <w:color w:val="auto"/>
              </w:rPr>
            </w:pPr>
          </w:p>
        </w:tc>
        <w:tc>
          <w:tcPr>
            <w:tcW w:w="1480" w:type="dxa"/>
            <w:vAlign w:val="bottom"/>
            <w:tcBorders>
              <w:bottom w:val="single" w:sz="8" w:color="DBDBDB"/>
            </w:tcBorders>
            <w:shd w:val="clear" w:color="auto" w:fill="DBDBDB"/>
          </w:tcPr>
          <w:p>
            <w:pPr>
              <w:spacing w:after="0"/>
              <w:rPr>
                <w:sz w:val="7"/>
                <w:szCs w:val="7"/>
                <w:color w:val="auto"/>
              </w:rPr>
            </w:pPr>
          </w:p>
        </w:tc>
        <w:tc>
          <w:tcPr>
            <w:tcW w:w="2640" w:type="dxa"/>
            <w:vAlign w:val="bottom"/>
            <w:tcBorders>
              <w:bottom w:val="single" w:sz="8" w:color="DBDBDB"/>
            </w:tcBorders>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3420" w:type="dxa"/>
            <w:vAlign w:val="bottom"/>
          </w:tcPr>
          <w:p>
            <w:pPr>
              <w:ind w:left="20"/>
              <w:spacing w:after="0"/>
              <w:rPr>
                <w:sz w:val="20"/>
                <w:szCs w:val="20"/>
                <w:color w:val="auto"/>
              </w:rPr>
            </w:pPr>
            <w:r>
              <w:rPr>
                <w:rFonts w:ascii="Arial" w:cs="Arial" w:eastAsia="Arial" w:hAnsi="Arial"/>
                <w:sz w:val="14"/>
                <w:szCs w:val="14"/>
                <w:b w:val="1"/>
                <w:bCs w:val="1"/>
                <w:color w:val="auto"/>
              </w:rPr>
              <w:t>Underground and Specialty Construction Group</w:t>
            </w:r>
          </w:p>
        </w:tc>
        <w:tc>
          <w:tcPr>
            <w:tcW w:w="1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136.8% of target</w:t>
            </w:r>
          </w:p>
        </w:tc>
        <w:tc>
          <w:tcPr>
            <w:tcW w:w="0" w:type="dxa"/>
            <w:vAlign w:val="bottom"/>
          </w:tcPr>
          <w:p>
            <w:pPr>
              <w:spacing w:after="0"/>
              <w:rPr>
                <w:sz w:val="1"/>
                <w:szCs w:val="1"/>
                <w:color w:val="auto"/>
              </w:rPr>
            </w:pPr>
          </w:p>
        </w:tc>
      </w:tr>
      <w:tr>
        <w:trPr>
          <w:trHeight w:val="115"/>
        </w:trPr>
        <w:tc>
          <w:tcPr>
            <w:tcW w:w="3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performance payout</w:t>
            </w:r>
          </w:p>
        </w:tc>
        <w:tc>
          <w:tcPr>
            <w:tcW w:w="12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342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Landscapes and contractor group performance measures, weightings, goals and actual performance applicable to Mr. Janey are reflected in the table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Landscapes and Contractor Group:</w:t>
            </w:r>
          </w:p>
        </w:tc>
        <w:tc>
          <w:tcPr>
            <w:tcW w:w="1320" w:type="dxa"/>
            <w:vAlign w:val="bottom"/>
            <w:shd w:val="clear" w:color="auto" w:fill="BF2115"/>
          </w:tcPr>
          <w:p>
            <w:pPr>
              <w:jc w:val="center"/>
              <w:ind w:right="9"/>
              <w:spacing w:after="0"/>
              <w:rPr>
                <w:sz w:val="20"/>
                <w:szCs w:val="20"/>
                <w:color w:val="auto"/>
              </w:rPr>
            </w:pPr>
            <w:r>
              <w:rPr>
                <w:rFonts w:ascii="Arial" w:cs="Arial" w:eastAsia="Arial" w:hAnsi="Arial"/>
                <w:sz w:val="14"/>
                <w:szCs w:val="14"/>
                <w:b w:val="1"/>
                <w:bCs w:val="1"/>
                <w:color w:val="FFFFFF"/>
              </w:rPr>
              <w:t>Threshold</w:t>
            </w:r>
          </w:p>
        </w:tc>
        <w:tc>
          <w:tcPr>
            <w:tcW w:w="14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680" w:type="dxa"/>
            <w:vAlign w:val="bottom"/>
            <w:shd w:val="clear" w:color="auto" w:fill="BF2115"/>
          </w:tcPr>
          <w:p>
            <w:pPr>
              <w:jc w:val="center"/>
              <w:ind w:right="229"/>
              <w:spacing w:after="0"/>
              <w:rPr>
                <w:sz w:val="20"/>
                <w:szCs w:val="20"/>
                <w:color w:val="auto"/>
              </w:rPr>
            </w:pPr>
            <w:r>
              <w:rPr>
                <w:rFonts w:ascii="Arial" w:cs="Arial" w:eastAsia="Arial" w:hAnsi="Arial"/>
                <w:sz w:val="14"/>
                <w:szCs w:val="14"/>
                <w:b w:val="1"/>
                <w:bCs w:val="1"/>
                <w:color w:val="FFFFFF"/>
              </w:rPr>
              <w:t>Maximum</w:t>
            </w:r>
          </w:p>
        </w:tc>
        <w:tc>
          <w:tcPr>
            <w:tcW w:w="2360" w:type="dxa"/>
            <w:vAlign w:val="bottom"/>
            <w:shd w:val="clear" w:color="auto" w:fill="BF2115"/>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Fiscal 2025 Performance Measures</w:t>
            </w:r>
          </w:p>
        </w:tc>
        <w:tc>
          <w:tcPr>
            <w:tcW w:w="1320" w:type="dxa"/>
            <w:vAlign w:val="bottom"/>
            <w:shd w:val="clear" w:color="auto" w:fill="BF2115"/>
          </w:tcPr>
          <w:p>
            <w:pPr>
              <w:jc w:val="center"/>
              <w:ind w:right="9"/>
              <w:spacing w:after="0"/>
              <w:rPr>
                <w:sz w:val="20"/>
                <w:szCs w:val="20"/>
                <w:color w:val="auto"/>
              </w:rPr>
            </w:pPr>
            <w:r>
              <w:rPr>
                <w:rFonts w:ascii="Arial" w:cs="Arial" w:eastAsia="Arial" w:hAnsi="Arial"/>
                <w:sz w:val="14"/>
                <w:szCs w:val="14"/>
                <w:b w:val="1"/>
                <w:bCs w:val="1"/>
                <w:color w:val="FFFFFF"/>
              </w:rPr>
              <w:t>(50% payout)</w:t>
            </w:r>
          </w:p>
        </w:tc>
        <w:tc>
          <w:tcPr>
            <w:tcW w:w="14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(100% payout)</w:t>
            </w:r>
          </w:p>
        </w:tc>
        <w:tc>
          <w:tcPr>
            <w:tcW w:w="1680" w:type="dxa"/>
            <w:vAlign w:val="bottom"/>
            <w:shd w:val="clear" w:color="auto" w:fill="BF2115"/>
          </w:tcPr>
          <w:p>
            <w:pPr>
              <w:jc w:val="center"/>
              <w:ind w:right="229"/>
              <w:spacing w:after="0"/>
              <w:rPr>
                <w:sz w:val="20"/>
                <w:szCs w:val="20"/>
                <w:color w:val="auto"/>
              </w:rPr>
            </w:pPr>
            <w:r>
              <w:rPr>
                <w:rFonts w:ascii="Arial" w:cs="Arial" w:eastAsia="Arial" w:hAnsi="Arial"/>
                <w:sz w:val="14"/>
                <w:szCs w:val="14"/>
                <w:b w:val="1"/>
                <w:bCs w:val="1"/>
                <w:color w:val="FFFFFF"/>
              </w:rPr>
              <w:t>(200% payout)</w:t>
            </w:r>
          </w:p>
        </w:tc>
        <w:tc>
          <w:tcPr>
            <w:tcW w:w="2360" w:type="dxa"/>
            <w:vAlign w:val="bottom"/>
            <w:shd w:val="clear" w:color="auto" w:fill="BF2115"/>
          </w:tcPr>
          <w:p>
            <w:pPr>
              <w:jc w:val="center"/>
              <w:ind w:right="209"/>
              <w:spacing w:after="0"/>
              <w:rPr>
                <w:sz w:val="20"/>
                <w:szCs w:val="20"/>
                <w:color w:val="auto"/>
              </w:rPr>
            </w:pPr>
            <w:r>
              <w:rPr>
                <w:rFonts w:ascii="Arial" w:cs="Arial" w:eastAsia="Arial" w:hAnsi="Arial"/>
                <w:sz w:val="14"/>
                <w:szCs w:val="14"/>
                <w:b w:val="1"/>
                <w:bCs w:val="1"/>
                <w:color w:val="FFFFFF"/>
              </w:rPr>
              <w:t>Actual</w:t>
            </w:r>
          </w:p>
        </w:tc>
        <w:tc>
          <w:tcPr>
            <w:tcW w:w="0" w:type="dxa"/>
            <w:vAlign w:val="bottom"/>
          </w:tcPr>
          <w:p>
            <w:pPr>
              <w:spacing w:after="0"/>
              <w:rPr>
                <w:sz w:val="1"/>
                <w:szCs w:val="1"/>
                <w:color w:val="auto"/>
              </w:rPr>
            </w:pPr>
          </w:p>
        </w:tc>
      </w:tr>
      <w:tr>
        <w:trPr>
          <w:trHeight w:val="178"/>
        </w:trPr>
        <w:tc>
          <w:tcPr>
            <w:tcW w:w="3440" w:type="dxa"/>
            <w:vAlign w:val="bottom"/>
            <w:vMerge w:val="restart"/>
          </w:tcPr>
          <w:p>
            <w:pPr>
              <w:ind w:left="20"/>
              <w:spacing w:after="0"/>
              <w:rPr>
                <w:sz w:val="20"/>
                <w:szCs w:val="20"/>
                <w:color w:val="auto"/>
              </w:rPr>
            </w:pPr>
            <w:r>
              <w:rPr>
                <w:rFonts w:ascii="Arial" w:cs="Arial" w:eastAsia="Arial" w:hAnsi="Arial"/>
                <w:sz w:val="14"/>
                <w:szCs w:val="14"/>
                <w:color w:val="auto"/>
              </w:rPr>
              <w:t>60% controllable profit contribution</w:t>
            </w:r>
          </w:p>
        </w:tc>
        <w:tc>
          <w:tcPr>
            <w:tcW w:w="1320" w:type="dxa"/>
            <w:vAlign w:val="bottom"/>
            <w:vMerge w:val="restart"/>
          </w:tcPr>
          <w:p>
            <w:pPr>
              <w:jc w:val="right"/>
              <w:ind w:right="329"/>
              <w:spacing w:after="0"/>
              <w:rPr>
                <w:sz w:val="20"/>
                <w:szCs w:val="20"/>
                <w:color w:val="auto"/>
              </w:rPr>
            </w:pPr>
            <w:r>
              <w:rPr>
                <w:rFonts w:ascii="Arial" w:cs="Arial" w:eastAsia="Arial" w:hAnsi="Arial"/>
                <w:sz w:val="14"/>
                <w:szCs w:val="14"/>
                <w:color w:val="auto"/>
              </w:rPr>
              <w:t>$146,186</w:t>
            </w:r>
          </w:p>
        </w:tc>
        <w:tc>
          <w:tcPr>
            <w:tcW w:w="1440" w:type="dxa"/>
            <w:vAlign w:val="bottom"/>
            <w:vMerge w:val="restart"/>
          </w:tcPr>
          <w:p>
            <w:pPr>
              <w:jc w:val="right"/>
              <w:ind w:right="329"/>
              <w:spacing w:after="0"/>
              <w:rPr>
                <w:sz w:val="20"/>
                <w:szCs w:val="20"/>
                <w:color w:val="auto"/>
              </w:rPr>
            </w:pPr>
            <w:r>
              <w:rPr>
                <w:rFonts w:ascii="Arial" w:cs="Arial" w:eastAsia="Arial" w:hAnsi="Arial"/>
                <w:sz w:val="14"/>
                <w:szCs w:val="14"/>
                <w:color w:val="auto"/>
              </w:rPr>
              <w:t>$182,732</w:t>
            </w:r>
          </w:p>
        </w:tc>
        <w:tc>
          <w:tcPr>
            <w:tcW w:w="1680" w:type="dxa"/>
            <w:vAlign w:val="bottom"/>
            <w:vMerge w:val="restart"/>
          </w:tcPr>
          <w:p>
            <w:pPr>
              <w:jc w:val="right"/>
              <w:ind w:right="629"/>
              <w:spacing w:after="0"/>
              <w:rPr>
                <w:sz w:val="20"/>
                <w:szCs w:val="20"/>
                <w:color w:val="auto"/>
              </w:rPr>
            </w:pPr>
            <w:r>
              <w:rPr>
                <w:rFonts w:ascii="Arial" w:cs="Arial" w:eastAsia="Arial" w:hAnsi="Arial"/>
                <w:sz w:val="14"/>
                <w:szCs w:val="14"/>
                <w:color w:val="auto"/>
              </w:rPr>
              <w:t>$219,278</w:t>
            </w:r>
          </w:p>
        </w:tc>
        <w:tc>
          <w:tcPr>
            <w:tcW w:w="2360" w:type="dxa"/>
            <w:vAlign w:val="bottom"/>
          </w:tcPr>
          <w:p>
            <w:pPr>
              <w:jc w:val="right"/>
              <w:ind w:right="1009"/>
              <w:spacing w:after="0"/>
              <w:rPr>
                <w:sz w:val="20"/>
                <w:szCs w:val="20"/>
                <w:color w:val="auto"/>
              </w:rPr>
            </w:pPr>
            <w:r>
              <w:rPr>
                <w:rFonts w:ascii="Arial" w:cs="Arial" w:eastAsia="Arial" w:hAnsi="Arial"/>
                <w:sz w:val="14"/>
                <w:szCs w:val="14"/>
                <w:color w:val="auto"/>
              </w:rPr>
              <w:t>$98,741</w:t>
            </w:r>
          </w:p>
        </w:tc>
        <w:tc>
          <w:tcPr>
            <w:tcW w:w="0" w:type="dxa"/>
            <w:vAlign w:val="bottom"/>
          </w:tcPr>
          <w:p>
            <w:pPr>
              <w:spacing w:after="0"/>
              <w:rPr>
                <w:sz w:val="1"/>
                <w:szCs w:val="1"/>
                <w:color w:val="auto"/>
              </w:rPr>
            </w:pPr>
          </w:p>
        </w:tc>
      </w:tr>
      <w:tr>
        <w:trPr>
          <w:trHeight w:val="109"/>
        </w:trPr>
        <w:tc>
          <w:tcPr>
            <w:tcW w:w="344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2360" w:type="dxa"/>
            <w:vAlign w:val="bottom"/>
            <w:vMerge w:val="restart"/>
          </w:tcPr>
          <w:p>
            <w:pPr>
              <w:jc w:val="center"/>
              <w:ind w:right="229"/>
              <w:spacing w:after="0"/>
              <w:rPr>
                <w:sz w:val="20"/>
                <w:szCs w:val="20"/>
                <w:color w:val="auto"/>
              </w:rPr>
            </w:pPr>
            <w:r>
              <w:rPr>
                <w:rFonts w:ascii="Arial" w:cs="Arial" w:eastAsia="Arial" w:hAnsi="Arial"/>
                <w:sz w:val="14"/>
                <w:szCs w:val="14"/>
                <w:color w:val="auto"/>
              </w:rPr>
              <w:t>(below threshold)</w:t>
            </w:r>
          </w:p>
        </w:tc>
        <w:tc>
          <w:tcPr>
            <w:tcW w:w="0" w:type="dxa"/>
            <w:vAlign w:val="bottom"/>
          </w:tcPr>
          <w:p>
            <w:pPr>
              <w:spacing w:after="0"/>
              <w:rPr>
                <w:sz w:val="1"/>
                <w:szCs w:val="1"/>
                <w:color w:val="auto"/>
              </w:rPr>
            </w:pPr>
          </w:p>
        </w:tc>
      </w:tr>
      <w:tr>
        <w:trPr>
          <w:trHeight w:val="80"/>
        </w:trPr>
        <w:tc>
          <w:tcPr>
            <w:tcW w:w="34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4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40% revenue growth</w:t>
            </w:r>
          </w:p>
        </w:tc>
        <w:tc>
          <w:tcPr>
            <w:tcW w:w="1320" w:type="dxa"/>
            <w:vAlign w:val="bottom"/>
            <w:vMerge w:val="restart"/>
            <w:shd w:val="clear" w:color="auto" w:fill="DBDBDB"/>
          </w:tcPr>
          <w:p>
            <w:pPr>
              <w:jc w:val="right"/>
              <w:ind w:right="409"/>
              <w:spacing w:after="0"/>
              <w:rPr>
                <w:sz w:val="20"/>
                <w:szCs w:val="20"/>
                <w:color w:val="auto"/>
              </w:rPr>
            </w:pPr>
            <w:r>
              <w:rPr>
                <w:rFonts w:ascii="Arial" w:cs="Arial" w:eastAsia="Arial" w:hAnsi="Arial"/>
                <w:sz w:val="14"/>
                <w:szCs w:val="14"/>
                <w:color w:val="auto"/>
              </w:rPr>
              <w:t>(4.4)%</w:t>
            </w:r>
          </w:p>
        </w:tc>
        <w:tc>
          <w:tcPr>
            <w:tcW w:w="1440" w:type="dxa"/>
            <w:vAlign w:val="bottom"/>
            <w:vMerge w:val="restart"/>
            <w:shd w:val="clear" w:color="auto" w:fill="DBDBDB"/>
          </w:tcPr>
          <w:p>
            <w:pPr>
              <w:jc w:val="right"/>
              <w:ind w:right="449"/>
              <w:spacing w:after="0"/>
              <w:rPr>
                <w:sz w:val="20"/>
                <w:szCs w:val="20"/>
                <w:color w:val="auto"/>
              </w:rPr>
            </w:pPr>
            <w:r>
              <w:rPr>
                <w:rFonts w:ascii="Arial" w:cs="Arial" w:eastAsia="Arial" w:hAnsi="Arial"/>
                <w:sz w:val="14"/>
                <w:szCs w:val="14"/>
                <w:color w:val="auto"/>
              </w:rPr>
              <w:t>0.6%</w:t>
            </w:r>
          </w:p>
        </w:tc>
        <w:tc>
          <w:tcPr>
            <w:tcW w:w="1680" w:type="dxa"/>
            <w:vAlign w:val="bottom"/>
            <w:vMerge w:val="restart"/>
            <w:shd w:val="clear" w:color="auto" w:fill="DBDBDB"/>
          </w:tcPr>
          <w:p>
            <w:pPr>
              <w:jc w:val="right"/>
              <w:ind w:right="749"/>
              <w:spacing w:after="0"/>
              <w:rPr>
                <w:sz w:val="20"/>
                <w:szCs w:val="20"/>
                <w:color w:val="auto"/>
              </w:rPr>
            </w:pPr>
            <w:r>
              <w:rPr>
                <w:rFonts w:ascii="Arial" w:cs="Arial" w:eastAsia="Arial" w:hAnsi="Arial"/>
                <w:sz w:val="14"/>
                <w:szCs w:val="14"/>
                <w:color w:val="auto"/>
              </w:rPr>
              <w:t>5.6%</w:t>
            </w:r>
          </w:p>
        </w:tc>
        <w:tc>
          <w:tcPr>
            <w:tcW w:w="2360" w:type="dxa"/>
            <w:vAlign w:val="bottom"/>
            <w:shd w:val="clear" w:color="auto" w:fill="DBDBDB"/>
          </w:tcPr>
          <w:p>
            <w:pPr>
              <w:jc w:val="right"/>
              <w:ind w:right="1049"/>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09"/>
        </w:trPr>
        <w:tc>
          <w:tcPr>
            <w:tcW w:w="3440" w:type="dxa"/>
            <w:vAlign w:val="bottom"/>
            <w:vMerge w:val="continue"/>
            <w:shd w:val="clear" w:color="auto" w:fill="DBDBDB"/>
          </w:tcPr>
          <w:p>
            <w:pPr>
              <w:spacing w:after="0"/>
              <w:rPr>
                <w:sz w:val="9"/>
                <w:szCs w:val="9"/>
                <w:color w:val="auto"/>
              </w:rPr>
            </w:pPr>
          </w:p>
        </w:tc>
        <w:tc>
          <w:tcPr>
            <w:tcW w:w="1320" w:type="dxa"/>
            <w:vAlign w:val="bottom"/>
            <w:vMerge w:val="continue"/>
            <w:shd w:val="clear" w:color="auto" w:fill="DBDBDB"/>
          </w:tcPr>
          <w:p>
            <w:pPr>
              <w:spacing w:after="0"/>
              <w:rPr>
                <w:sz w:val="9"/>
                <w:szCs w:val="9"/>
                <w:color w:val="auto"/>
              </w:rPr>
            </w:pPr>
          </w:p>
        </w:tc>
        <w:tc>
          <w:tcPr>
            <w:tcW w:w="1440" w:type="dxa"/>
            <w:vAlign w:val="bottom"/>
            <w:vMerge w:val="continue"/>
            <w:shd w:val="clear" w:color="auto" w:fill="DBDBDB"/>
          </w:tcPr>
          <w:p>
            <w:pPr>
              <w:spacing w:after="0"/>
              <w:rPr>
                <w:sz w:val="9"/>
                <w:szCs w:val="9"/>
                <w:color w:val="auto"/>
              </w:rPr>
            </w:pPr>
          </w:p>
        </w:tc>
        <w:tc>
          <w:tcPr>
            <w:tcW w:w="1680" w:type="dxa"/>
            <w:vAlign w:val="bottom"/>
            <w:vMerge w:val="continue"/>
            <w:shd w:val="clear" w:color="auto" w:fill="DBDBDB"/>
          </w:tcPr>
          <w:p>
            <w:pPr>
              <w:spacing w:after="0"/>
              <w:rPr>
                <w:sz w:val="9"/>
                <w:szCs w:val="9"/>
                <w:color w:val="auto"/>
              </w:rPr>
            </w:pPr>
          </w:p>
        </w:tc>
        <w:tc>
          <w:tcPr>
            <w:tcW w:w="2360" w:type="dxa"/>
            <w:vAlign w:val="bottom"/>
            <w:vMerge w:val="restart"/>
            <w:shd w:val="clear" w:color="auto" w:fill="DBDBDB"/>
          </w:tcPr>
          <w:p>
            <w:pPr>
              <w:jc w:val="center"/>
              <w:ind w:right="229"/>
              <w:spacing w:after="0"/>
              <w:rPr>
                <w:sz w:val="20"/>
                <w:szCs w:val="20"/>
                <w:color w:val="auto"/>
              </w:rPr>
            </w:pPr>
            <w:r>
              <w:rPr>
                <w:rFonts w:ascii="Arial" w:cs="Arial" w:eastAsia="Arial" w:hAnsi="Arial"/>
                <w:sz w:val="14"/>
                <w:szCs w:val="14"/>
                <w:color w:val="auto"/>
              </w:rPr>
              <w:t>(below threshold)</w:t>
            </w:r>
          </w:p>
        </w:tc>
        <w:tc>
          <w:tcPr>
            <w:tcW w:w="0" w:type="dxa"/>
            <w:vAlign w:val="bottom"/>
          </w:tcPr>
          <w:p>
            <w:pPr>
              <w:spacing w:after="0"/>
              <w:rPr>
                <w:sz w:val="1"/>
                <w:szCs w:val="1"/>
                <w:color w:val="auto"/>
              </w:rPr>
            </w:pPr>
          </w:p>
        </w:tc>
      </w:tr>
      <w:tr>
        <w:trPr>
          <w:trHeight w:val="81"/>
        </w:trPr>
        <w:tc>
          <w:tcPr>
            <w:tcW w:w="3440" w:type="dxa"/>
            <w:vAlign w:val="bottom"/>
            <w:tcBorders>
              <w:bottom w:val="single" w:sz="8" w:color="DBDBDB"/>
            </w:tcBorders>
            <w:shd w:val="clear" w:color="auto" w:fill="DBDBDB"/>
          </w:tcPr>
          <w:p>
            <w:pPr>
              <w:spacing w:after="0"/>
              <w:rPr>
                <w:sz w:val="7"/>
                <w:szCs w:val="7"/>
                <w:color w:val="auto"/>
              </w:rPr>
            </w:pPr>
          </w:p>
        </w:tc>
        <w:tc>
          <w:tcPr>
            <w:tcW w:w="1320" w:type="dxa"/>
            <w:vAlign w:val="bottom"/>
            <w:tcBorders>
              <w:bottom w:val="single" w:sz="8" w:color="DBDBDB"/>
            </w:tcBorders>
            <w:shd w:val="clear" w:color="auto" w:fill="DBDBDB"/>
          </w:tcPr>
          <w:p>
            <w:pPr>
              <w:spacing w:after="0"/>
              <w:rPr>
                <w:sz w:val="7"/>
                <w:szCs w:val="7"/>
                <w:color w:val="auto"/>
              </w:rPr>
            </w:pPr>
          </w:p>
        </w:tc>
        <w:tc>
          <w:tcPr>
            <w:tcW w:w="1440" w:type="dxa"/>
            <w:vAlign w:val="bottom"/>
            <w:tcBorders>
              <w:bottom w:val="single" w:sz="8" w:color="DBDBDB"/>
            </w:tcBorders>
            <w:shd w:val="clear" w:color="auto" w:fill="DBDBDB"/>
          </w:tcPr>
          <w:p>
            <w:pPr>
              <w:spacing w:after="0"/>
              <w:rPr>
                <w:sz w:val="7"/>
                <w:szCs w:val="7"/>
                <w:color w:val="auto"/>
              </w:rPr>
            </w:pPr>
          </w:p>
        </w:tc>
        <w:tc>
          <w:tcPr>
            <w:tcW w:w="1680" w:type="dxa"/>
            <w:vAlign w:val="bottom"/>
            <w:tcBorders>
              <w:bottom w:val="single" w:sz="8" w:color="DBDBDB"/>
            </w:tcBorders>
            <w:shd w:val="clear" w:color="auto" w:fill="DBDBDB"/>
          </w:tcPr>
          <w:p>
            <w:pPr>
              <w:spacing w:after="0"/>
              <w:rPr>
                <w:sz w:val="7"/>
                <w:szCs w:val="7"/>
                <w:color w:val="auto"/>
              </w:rPr>
            </w:pPr>
          </w:p>
        </w:tc>
        <w:tc>
          <w:tcPr>
            <w:tcW w:w="2360" w:type="dxa"/>
            <w:vAlign w:val="bottom"/>
            <w:tcBorders>
              <w:bottom w:val="single" w:sz="8" w:color="DBDBDB"/>
            </w:tcBorders>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Landscapes and Contractor Group performance</w:t>
            </w:r>
          </w:p>
        </w:tc>
        <w:tc>
          <w:tcPr>
            <w:tcW w:w="1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360" w:type="dxa"/>
            <w:vAlign w:val="bottom"/>
            <w:vMerge w:val="restart"/>
          </w:tcPr>
          <w:p>
            <w:pPr>
              <w:jc w:val="center"/>
              <w:ind w:right="229"/>
              <w:spacing w:after="0"/>
              <w:rPr>
                <w:sz w:val="20"/>
                <w:szCs w:val="20"/>
                <w:color w:val="auto"/>
              </w:rPr>
            </w:pPr>
            <w:r>
              <w:rPr>
                <w:rFonts w:ascii="Arial" w:cs="Arial" w:eastAsia="Arial" w:hAnsi="Arial"/>
                <w:sz w:val="14"/>
                <w:szCs w:val="14"/>
                <w:b w:val="1"/>
                <w:bCs w:val="1"/>
                <w:color w:val="auto"/>
              </w:rPr>
              <w:t>0% of target</w:t>
            </w:r>
          </w:p>
        </w:tc>
        <w:tc>
          <w:tcPr>
            <w:tcW w:w="0" w:type="dxa"/>
            <w:vAlign w:val="bottom"/>
          </w:tcPr>
          <w:p>
            <w:pPr>
              <w:spacing w:after="0"/>
              <w:rPr>
                <w:sz w:val="1"/>
                <w:szCs w:val="1"/>
                <w:color w:val="auto"/>
              </w:rPr>
            </w:pPr>
          </w:p>
        </w:tc>
      </w:tr>
      <w:tr>
        <w:trPr>
          <w:trHeight w:val="115"/>
        </w:trPr>
        <w:tc>
          <w:tcPr>
            <w:tcW w:w="3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payout</w:t>
            </w:r>
          </w:p>
        </w:tc>
        <w:tc>
          <w:tcPr>
            <w:tcW w:w="13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3440" w:type="dxa"/>
            <w:vAlign w:val="bottom"/>
            <w:vMerge w:val="continue"/>
          </w:tcPr>
          <w:p>
            <w:pPr>
              <w:spacing w:after="0"/>
              <w:rPr>
                <w:sz w:val="6"/>
                <w:szCs w:val="6"/>
                <w:color w:val="auto"/>
              </w:rPr>
            </w:pPr>
          </w:p>
        </w:tc>
        <w:tc>
          <w:tcPr>
            <w:tcW w:w="13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Discussion and Analysis</w:t>
      </w:r>
      <w:r>
        <w:rPr>
          <w:rFonts w:ascii="Arial" w:cs="Arial" w:eastAsia="Arial" w:hAnsi="Arial"/>
          <w:sz w:val="18"/>
          <w:szCs w:val="18"/>
          <w:color w:val="auto"/>
        </w:rPr>
        <w:t>. For the two NEOs with annual cash incentive awards tied to solely corporate performance, their annual cash</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incentive award payouts were at 81.6% of target, resulting in actual total cash compensation falling below target. Since Mr. Funk's group over which he had responsibility performed at 140.6% of target, his annual cash incentive payout, when combined with the corporate performance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piece was 106.5% of target, resulting in his actual total cash compensation being above target. Similarly, since Mr. Moeller's group over which</w:t>
      </w:r>
    </w:p>
    <w:p>
      <w:pPr>
        <w:spacing w:after="0" w:line="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he had responsibility performed at 136.8% of target, his annual cash incentive payout, when combined with the corporate performance piece, was 114.7% of target, resulting in his actual total cash compensation being above target. Since Mr. Janey's group over which he had</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responsibility did not meet the threshold goal for either of the two performance measures, his annual cash incentive payout, when combined with the corporate piece, was 32.6% of target, resulting in his actual total cash compensation falling significantly below target.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80" w:type="dxa"/>
            <w:vAlign w:val="bottom"/>
            <w:shd w:val="clear" w:color="auto" w:fill="BF2115"/>
          </w:tcPr>
          <w:p>
            <w:pPr>
              <w:spacing w:after="0"/>
              <w:rPr>
                <w:sz w:val="20"/>
                <w:szCs w:val="20"/>
                <w:color w:val="auto"/>
              </w:rPr>
            </w:pPr>
          </w:p>
        </w:tc>
        <w:tc>
          <w:tcPr>
            <w:tcW w:w="1880" w:type="dxa"/>
            <w:vAlign w:val="bottom"/>
            <w:shd w:val="clear" w:color="auto" w:fill="BF2115"/>
          </w:tcPr>
          <w:p>
            <w:pPr>
              <w:spacing w:after="0"/>
              <w:rPr>
                <w:sz w:val="20"/>
                <w:szCs w:val="20"/>
                <w:color w:val="auto"/>
              </w:rPr>
            </w:pPr>
          </w:p>
        </w:tc>
        <w:tc>
          <w:tcPr>
            <w:tcW w:w="1660" w:type="dxa"/>
            <w:vAlign w:val="bottom"/>
            <w:shd w:val="clear" w:color="auto" w:fill="BF2115"/>
          </w:tcPr>
          <w:p>
            <w:pPr>
              <w:jc w:val="center"/>
              <w:ind w:right="144"/>
              <w:spacing w:after="0"/>
              <w:rPr>
                <w:sz w:val="20"/>
                <w:szCs w:val="20"/>
                <w:color w:val="auto"/>
              </w:rPr>
            </w:pPr>
            <w:r>
              <w:rPr>
                <w:rFonts w:ascii="Arial" w:cs="Arial" w:eastAsia="Arial" w:hAnsi="Arial"/>
                <w:sz w:val="14"/>
                <w:szCs w:val="14"/>
                <w:b w:val="1"/>
                <w:bCs w:val="1"/>
                <w:color w:val="FFFFFF"/>
              </w:rPr>
              <w:t>Fiscal 2025</w:t>
            </w:r>
          </w:p>
        </w:tc>
        <w:tc>
          <w:tcPr>
            <w:tcW w:w="1900" w:type="dxa"/>
            <w:vAlign w:val="bottom"/>
            <w:shd w:val="clear" w:color="auto" w:fill="BF2115"/>
          </w:tcPr>
          <w:p>
            <w:pPr>
              <w:jc w:val="center"/>
              <w:ind w:right="184"/>
              <w:spacing w:after="0"/>
              <w:rPr>
                <w:sz w:val="20"/>
                <w:szCs w:val="20"/>
                <w:color w:val="auto"/>
              </w:rPr>
            </w:pPr>
            <w:r>
              <w:rPr>
                <w:rFonts w:ascii="Arial" w:cs="Arial" w:eastAsia="Arial" w:hAnsi="Arial"/>
                <w:sz w:val="14"/>
                <w:szCs w:val="14"/>
                <w:b w:val="1"/>
                <w:bCs w:val="1"/>
                <w:color w:val="FFFFFF"/>
              </w:rPr>
              <w:t>Fiscal 2025</w:t>
            </w:r>
          </w:p>
        </w:tc>
        <w:tc>
          <w:tcPr>
            <w:tcW w:w="1780" w:type="dxa"/>
            <w:vAlign w:val="bottom"/>
            <w:shd w:val="clear" w:color="auto" w:fill="BF2115"/>
          </w:tcPr>
          <w:p>
            <w:pPr>
              <w:jc w:val="center"/>
              <w:ind w:right="104"/>
              <w:spacing w:after="0"/>
              <w:rPr>
                <w:sz w:val="20"/>
                <w:szCs w:val="20"/>
                <w:color w:val="auto"/>
              </w:rPr>
            </w:pPr>
            <w:r>
              <w:rPr>
                <w:rFonts w:ascii="Arial" w:cs="Arial" w:eastAsia="Arial" w:hAnsi="Arial"/>
                <w:sz w:val="14"/>
                <w:szCs w:val="14"/>
                <w:b w:val="1"/>
                <w:bCs w:val="1"/>
                <w:color w:val="FFFFFF"/>
              </w:rPr>
              <w:t>Fiscal 2025</w:t>
            </w:r>
          </w:p>
        </w:tc>
        <w:tc>
          <w:tcPr>
            <w:tcW w:w="24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Fiscal 2025</w:t>
            </w:r>
          </w:p>
        </w:tc>
      </w:tr>
      <w:tr>
        <w:trPr>
          <w:trHeight w:val="192"/>
        </w:trPr>
        <w:tc>
          <w:tcPr>
            <w:tcW w:w="1180" w:type="dxa"/>
            <w:vAlign w:val="bottom"/>
            <w:shd w:val="clear" w:color="auto" w:fill="BF2115"/>
          </w:tcPr>
          <w:p>
            <w:pPr>
              <w:spacing w:after="0"/>
              <w:rPr>
                <w:sz w:val="16"/>
                <w:szCs w:val="16"/>
                <w:color w:val="auto"/>
              </w:rPr>
            </w:pPr>
          </w:p>
        </w:tc>
        <w:tc>
          <w:tcPr>
            <w:tcW w:w="1880" w:type="dxa"/>
            <w:vAlign w:val="bottom"/>
            <w:shd w:val="clear" w:color="auto" w:fill="BF2115"/>
          </w:tcPr>
          <w:p>
            <w:pPr>
              <w:jc w:val="center"/>
              <w:ind w:left="43"/>
              <w:spacing w:after="0"/>
              <w:rPr>
                <w:sz w:val="20"/>
                <w:szCs w:val="20"/>
                <w:color w:val="auto"/>
              </w:rPr>
            </w:pPr>
            <w:r>
              <w:rPr>
                <w:rFonts w:ascii="Arial" w:cs="Arial" w:eastAsia="Arial" w:hAnsi="Arial"/>
                <w:sz w:val="14"/>
                <w:szCs w:val="14"/>
                <w:b w:val="1"/>
                <w:bCs w:val="1"/>
                <w:color w:val="FFFFFF"/>
              </w:rPr>
              <w:t>Fiscal 2025</w:t>
            </w:r>
          </w:p>
        </w:tc>
        <w:tc>
          <w:tcPr>
            <w:tcW w:w="1660" w:type="dxa"/>
            <w:vAlign w:val="bottom"/>
            <w:shd w:val="clear" w:color="auto" w:fill="BF2115"/>
          </w:tcPr>
          <w:p>
            <w:pPr>
              <w:jc w:val="center"/>
              <w:ind w:right="164"/>
              <w:spacing w:after="0"/>
              <w:rPr>
                <w:sz w:val="20"/>
                <w:szCs w:val="20"/>
                <w:color w:val="auto"/>
              </w:rPr>
            </w:pPr>
            <w:r>
              <w:rPr>
                <w:rFonts w:ascii="Arial" w:cs="Arial" w:eastAsia="Arial" w:hAnsi="Arial"/>
                <w:sz w:val="14"/>
                <w:szCs w:val="14"/>
                <w:b w:val="1"/>
                <w:bCs w:val="1"/>
                <w:color w:val="FFFFFF"/>
              </w:rPr>
              <w:t>Award at Target</w:t>
            </w:r>
          </w:p>
        </w:tc>
        <w:tc>
          <w:tcPr>
            <w:tcW w:w="1900" w:type="dxa"/>
            <w:vAlign w:val="bottom"/>
            <w:shd w:val="clear" w:color="auto" w:fill="BF2115"/>
          </w:tcPr>
          <w:p>
            <w:pPr>
              <w:jc w:val="center"/>
              <w:ind w:right="184"/>
              <w:spacing w:after="0"/>
              <w:rPr>
                <w:sz w:val="20"/>
                <w:szCs w:val="20"/>
                <w:color w:val="auto"/>
              </w:rPr>
            </w:pPr>
            <w:r>
              <w:rPr>
                <w:rFonts w:ascii="Arial" w:cs="Arial" w:eastAsia="Arial" w:hAnsi="Arial"/>
                <w:sz w:val="14"/>
                <w:szCs w:val="14"/>
                <w:b w:val="1"/>
                <w:bCs w:val="1"/>
                <w:color w:val="FFFFFF"/>
                <w:w w:val="99"/>
              </w:rPr>
              <w:t>Target Annual Cash</w:t>
            </w:r>
          </w:p>
        </w:tc>
        <w:tc>
          <w:tcPr>
            <w:tcW w:w="1780" w:type="dxa"/>
            <w:vAlign w:val="bottom"/>
            <w:shd w:val="clear" w:color="auto" w:fill="BF2115"/>
          </w:tcPr>
          <w:p>
            <w:pPr>
              <w:jc w:val="center"/>
              <w:ind w:right="84"/>
              <w:spacing w:after="0"/>
              <w:rPr>
                <w:sz w:val="20"/>
                <w:szCs w:val="20"/>
                <w:color w:val="auto"/>
              </w:rPr>
            </w:pPr>
            <w:r>
              <w:rPr>
                <w:rFonts w:ascii="Arial" w:cs="Arial" w:eastAsia="Arial" w:hAnsi="Arial"/>
                <w:sz w:val="14"/>
                <w:szCs w:val="14"/>
                <w:b w:val="1"/>
                <w:bCs w:val="1"/>
                <w:color w:val="FFFFFF"/>
              </w:rPr>
              <w:t>Actual Annual Cash</w:t>
            </w:r>
          </w:p>
        </w:tc>
        <w:tc>
          <w:tcPr>
            <w:tcW w:w="24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Actual Annual Cash</w:t>
            </w:r>
          </w:p>
        </w:tc>
      </w:tr>
      <w:tr>
        <w:trPr>
          <w:trHeight w:val="200"/>
        </w:trPr>
        <w:tc>
          <w:tcPr>
            <w:tcW w:w="1180" w:type="dxa"/>
            <w:vAlign w:val="bottom"/>
            <w:shd w:val="clear" w:color="auto" w:fill="BF2115"/>
          </w:tcPr>
          <w:p>
            <w:pPr>
              <w:spacing w:after="0"/>
              <w:rPr>
                <w:sz w:val="17"/>
                <w:szCs w:val="17"/>
                <w:color w:val="auto"/>
              </w:rPr>
            </w:pPr>
          </w:p>
        </w:tc>
        <w:tc>
          <w:tcPr>
            <w:tcW w:w="1880" w:type="dxa"/>
            <w:vAlign w:val="bottom"/>
            <w:shd w:val="clear" w:color="auto" w:fill="BF2115"/>
          </w:tcPr>
          <w:p>
            <w:pPr>
              <w:jc w:val="center"/>
              <w:ind w:left="63"/>
              <w:spacing w:after="0"/>
              <w:rPr>
                <w:sz w:val="20"/>
                <w:szCs w:val="20"/>
                <w:color w:val="auto"/>
              </w:rPr>
            </w:pPr>
            <w:r>
              <w:rPr>
                <w:rFonts w:ascii="Arial" w:cs="Arial" w:eastAsia="Arial" w:hAnsi="Arial"/>
                <w:sz w:val="14"/>
                <w:szCs w:val="14"/>
                <w:b w:val="1"/>
                <w:bCs w:val="1"/>
                <w:color w:val="FFFFFF"/>
              </w:rPr>
              <w:t>Base Salary Earnings</w:t>
            </w:r>
          </w:p>
        </w:tc>
        <w:tc>
          <w:tcPr>
            <w:tcW w:w="1660" w:type="dxa"/>
            <w:vAlign w:val="bottom"/>
            <w:shd w:val="clear" w:color="auto" w:fill="BF2115"/>
          </w:tcPr>
          <w:p>
            <w:pPr>
              <w:jc w:val="center"/>
              <w:ind w:right="144"/>
              <w:spacing w:after="0"/>
              <w:rPr>
                <w:sz w:val="20"/>
                <w:szCs w:val="20"/>
                <w:color w:val="auto"/>
              </w:rPr>
            </w:pPr>
            <w:r>
              <w:rPr>
                <w:rFonts w:ascii="Arial" w:cs="Arial" w:eastAsia="Arial" w:hAnsi="Arial"/>
                <w:sz w:val="14"/>
                <w:szCs w:val="14"/>
                <w:b w:val="1"/>
                <w:bCs w:val="1"/>
                <w:color w:val="FFFFFF"/>
              </w:rPr>
              <w:t>(% of base salary)</w:t>
            </w:r>
          </w:p>
        </w:tc>
        <w:tc>
          <w:tcPr>
            <w:tcW w:w="1900" w:type="dxa"/>
            <w:vAlign w:val="bottom"/>
            <w:shd w:val="clear" w:color="auto" w:fill="BF2115"/>
          </w:tcPr>
          <w:p>
            <w:pPr>
              <w:jc w:val="center"/>
              <w:ind w:right="184"/>
              <w:spacing w:after="0"/>
              <w:rPr>
                <w:sz w:val="20"/>
                <w:szCs w:val="20"/>
                <w:color w:val="auto"/>
              </w:rPr>
            </w:pPr>
            <w:r>
              <w:rPr>
                <w:rFonts w:ascii="Arial" w:cs="Arial" w:eastAsia="Arial" w:hAnsi="Arial"/>
                <w:sz w:val="14"/>
                <w:szCs w:val="14"/>
                <w:b w:val="1"/>
                <w:bCs w:val="1"/>
                <w:color w:val="FFFFFF"/>
              </w:rPr>
              <w:t>Incentive Award</w:t>
            </w:r>
          </w:p>
        </w:tc>
        <w:tc>
          <w:tcPr>
            <w:tcW w:w="1780" w:type="dxa"/>
            <w:vAlign w:val="bottom"/>
            <w:shd w:val="clear" w:color="auto" w:fill="BF2115"/>
          </w:tcPr>
          <w:p>
            <w:pPr>
              <w:jc w:val="center"/>
              <w:ind w:right="84"/>
              <w:spacing w:after="0"/>
              <w:rPr>
                <w:sz w:val="20"/>
                <w:szCs w:val="20"/>
                <w:color w:val="auto"/>
              </w:rPr>
            </w:pPr>
            <w:r>
              <w:rPr>
                <w:rFonts w:ascii="Arial" w:cs="Arial" w:eastAsia="Arial" w:hAnsi="Arial"/>
                <w:sz w:val="14"/>
                <w:szCs w:val="14"/>
                <w:b w:val="1"/>
                <w:bCs w:val="1"/>
                <w:color w:val="FFFFFF"/>
              </w:rPr>
              <w:t>Incentive Payout</w:t>
            </w:r>
          </w:p>
        </w:tc>
        <w:tc>
          <w:tcPr>
            <w:tcW w:w="24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Incentive Payout as a % of Target</w:t>
            </w:r>
          </w:p>
        </w:tc>
      </w:tr>
      <w:tr>
        <w:trPr>
          <w:trHeight w:val="223"/>
        </w:trPr>
        <w:tc>
          <w:tcPr>
            <w:tcW w:w="1180" w:type="dxa"/>
            <w:vAlign w:val="bottom"/>
            <w:shd w:val="clear" w:color="auto" w:fill="BF2115"/>
          </w:tcPr>
          <w:p>
            <w:pPr>
              <w:ind w:left="500"/>
              <w:spacing w:after="0"/>
              <w:rPr>
                <w:sz w:val="20"/>
                <w:szCs w:val="20"/>
                <w:color w:val="auto"/>
              </w:rPr>
            </w:pPr>
            <w:r>
              <w:rPr>
                <w:rFonts w:ascii="Arial" w:cs="Arial" w:eastAsia="Arial" w:hAnsi="Arial"/>
                <w:sz w:val="14"/>
                <w:szCs w:val="14"/>
                <w:b w:val="1"/>
                <w:bCs w:val="1"/>
                <w:color w:val="FFFFFF"/>
              </w:rPr>
              <w:t>Name</w:t>
            </w:r>
          </w:p>
        </w:tc>
        <w:tc>
          <w:tcPr>
            <w:tcW w:w="1880" w:type="dxa"/>
            <w:vAlign w:val="bottom"/>
            <w:shd w:val="clear" w:color="auto" w:fill="BF2115"/>
          </w:tcPr>
          <w:p>
            <w:pPr>
              <w:jc w:val="center"/>
              <w:ind w:left="63"/>
              <w:spacing w:after="0"/>
              <w:rPr>
                <w:sz w:val="20"/>
                <w:szCs w:val="20"/>
                <w:color w:val="auto"/>
              </w:rPr>
            </w:pPr>
            <w:r>
              <w:rPr>
                <w:rFonts w:ascii="Arial" w:cs="Arial" w:eastAsia="Arial" w:hAnsi="Arial"/>
                <w:sz w:val="14"/>
                <w:szCs w:val="14"/>
                <w:b w:val="1"/>
                <w:bCs w:val="1"/>
                <w:color w:val="FFFFFF"/>
              </w:rPr>
              <w:t>($)</w:t>
            </w:r>
          </w:p>
        </w:tc>
        <w:tc>
          <w:tcPr>
            <w:tcW w:w="1660" w:type="dxa"/>
            <w:vAlign w:val="bottom"/>
            <w:shd w:val="clear" w:color="auto" w:fill="BF2115"/>
          </w:tcPr>
          <w:p>
            <w:pPr>
              <w:jc w:val="center"/>
              <w:ind w:right="164"/>
              <w:spacing w:after="0"/>
              <w:rPr>
                <w:sz w:val="20"/>
                <w:szCs w:val="20"/>
                <w:color w:val="auto"/>
              </w:rPr>
            </w:pPr>
            <w:r>
              <w:rPr>
                <w:rFonts w:ascii="Arial" w:cs="Arial" w:eastAsia="Arial" w:hAnsi="Arial"/>
                <w:sz w:val="14"/>
                <w:szCs w:val="14"/>
                <w:b w:val="1"/>
                <w:bCs w:val="1"/>
                <w:color w:val="FFFFFF"/>
              </w:rPr>
              <w:t>(%)</w:t>
            </w:r>
          </w:p>
        </w:tc>
        <w:tc>
          <w:tcPr>
            <w:tcW w:w="1900" w:type="dxa"/>
            <w:vAlign w:val="bottom"/>
            <w:shd w:val="clear" w:color="auto" w:fill="BF2115"/>
          </w:tcPr>
          <w:p>
            <w:pPr>
              <w:jc w:val="center"/>
              <w:ind w:right="184"/>
              <w:spacing w:after="0"/>
              <w:rPr>
                <w:sz w:val="20"/>
                <w:szCs w:val="20"/>
                <w:color w:val="auto"/>
              </w:rPr>
            </w:pPr>
            <w:r>
              <w:rPr>
                <w:rFonts w:ascii="Arial" w:cs="Arial" w:eastAsia="Arial" w:hAnsi="Arial"/>
                <w:sz w:val="14"/>
                <w:szCs w:val="14"/>
                <w:b w:val="1"/>
                <w:bCs w:val="1"/>
                <w:color w:val="FFFFFF"/>
                <w:w w:val="93"/>
              </w:rPr>
              <w:t>($)</w:t>
            </w:r>
          </w:p>
        </w:tc>
        <w:tc>
          <w:tcPr>
            <w:tcW w:w="1780" w:type="dxa"/>
            <w:vAlign w:val="bottom"/>
            <w:shd w:val="clear" w:color="auto" w:fill="BF2115"/>
          </w:tcPr>
          <w:p>
            <w:pPr>
              <w:jc w:val="center"/>
              <w:ind w:right="84"/>
              <w:spacing w:after="0"/>
              <w:rPr>
                <w:sz w:val="20"/>
                <w:szCs w:val="20"/>
                <w:color w:val="auto"/>
              </w:rPr>
            </w:pPr>
            <w:r>
              <w:rPr>
                <w:rFonts w:ascii="Arial" w:cs="Arial" w:eastAsia="Arial" w:hAnsi="Arial"/>
                <w:sz w:val="14"/>
                <w:szCs w:val="14"/>
                <w:b w:val="1"/>
                <w:bCs w:val="1"/>
                <w:color w:val="FFFFFF"/>
              </w:rPr>
              <w:t>($)</w:t>
            </w:r>
          </w:p>
        </w:tc>
        <w:tc>
          <w:tcPr>
            <w:tcW w:w="24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t>
            </w:r>
          </w:p>
        </w:tc>
      </w:tr>
      <w:tr>
        <w:trPr>
          <w:trHeight w:val="211"/>
        </w:trPr>
        <w:tc>
          <w:tcPr>
            <w:tcW w:w="1180" w:type="dxa"/>
            <w:vAlign w:val="bottom"/>
          </w:tcPr>
          <w:p>
            <w:pPr>
              <w:ind w:left="20"/>
              <w:spacing w:after="0"/>
              <w:rPr>
                <w:sz w:val="20"/>
                <w:szCs w:val="20"/>
                <w:color w:val="auto"/>
              </w:rPr>
            </w:pPr>
            <w:r>
              <w:rPr>
                <w:rFonts w:ascii="Arial" w:cs="Arial" w:eastAsia="Arial" w:hAnsi="Arial"/>
                <w:sz w:val="16"/>
                <w:szCs w:val="16"/>
                <w:color w:val="auto"/>
              </w:rPr>
              <w:t>Mr. Olson</w:t>
            </w:r>
          </w:p>
        </w:tc>
        <w:tc>
          <w:tcPr>
            <w:tcW w:w="1880" w:type="dxa"/>
            <w:vAlign w:val="bottom"/>
          </w:tcPr>
          <w:p>
            <w:pPr>
              <w:jc w:val="right"/>
              <w:ind w:right="23"/>
              <w:spacing w:after="0"/>
              <w:rPr>
                <w:sz w:val="20"/>
                <w:szCs w:val="20"/>
                <w:color w:val="auto"/>
              </w:rPr>
            </w:pPr>
            <w:r>
              <w:rPr>
                <w:rFonts w:ascii="Arial" w:cs="Arial" w:eastAsia="Arial" w:hAnsi="Arial"/>
                <w:sz w:val="16"/>
                <w:szCs w:val="16"/>
                <w:color w:val="auto"/>
              </w:rPr>
              <w:t>1,239,816</w:t>
            </w:r>
          </w:p>
        </w:tc>
        <w:tc>
          <w:tcPr>
            <w:tcW w:w="1660" w:type="dxa"/>
            <w:vAlign w:val="bottom"/>
          </w:tcPr>
          <w:p>
            <w:pPr>
              <w:jc w:val="right"/>
              <w:ind w:right="144"/>
              <w:spacing w:after="0"/>
              <w:rPr>
                <w:sz w:val="20"/>
                <w:szCs w:val="20"/>
                <w:color w:val="auto"/>
              </w:rPr>
            </w:pPr>
            <w:r>
              <w:rPr>
                <w:rFonts w:ascii="Arial" w:cs="Arial" w:eastAsia="Arial" w:hAnsi="Arial"/>
                <w:sz w:val="16"/>
                <w:szCs w:val="16"/>
                <w:color w:val="auto"/>
              </w:rPr>
              <w:t>130</w:t>
            </w:r>
          </w:p>
        </w:tc>
        <w:tc>
          <w:tcPr>
            <w:tcW w:w="1900" w:type="dxa"/>
            <w:vAlign w:val="bottom"/>
          </w:tcPr>
          <w:p>
            <w:pPr>
              <w:jc w:val="right"/>
              <w:ind w:right="64"/>
              <w:spacing w:after="0"/>
              <w:rPr>
                <w:sz w:val="20"/>
                <w:szCs w:val="20"/>
                <w:color w:val="auto"/>
              </w:rPr>
            </w:pPr>
            <w:r>
              <w:rPr>
                <w:rFonts w:ascii="Arial" w:cs="Arial" w:eastAsia="Arial" w:hAnsi="Arial"/>
                <w:sz w:val="16"/>
                <w:szCs w:val="16"/>
                <w:color w:val="auto"/>
              </w:rPr>
              <w:t>1,611,761</w:t>
            </w:r>
          </w:p>
        </w:tc>
        <w:tc>
          <w:tcPr>
            <w:tcW w:w="1780" w:type="dxa"/>
            <w:vAlign w:val="bottom"/>
          </w:tcPr>
          <w:p>
            <w:pPr>
              <w:jc w:val="right"/>
              <w:ind w:right="4"/>
              <w:spacing w:after="0"/>
              <w:rPr>
                <w:sz w:val="20"/>
                <w:szCs w:val="20"/>
                <w:color w:val="auto"/>
              </w:rPr>
            </w:pPr>
            <w:r>
              <w:rPr>
                <w:rFonts w:ascii="Arial" w:cs="Arial" w:eastAsia="Arial" w:hAnsi="Arial"/>
                <w:sz w:val="16"/>
                <w:szCs w:val="16"/>
                <w:color w:val="auto"/>
              </w:rPr>
              <w:t>1,315,197</w:t>
            </w:r>
          </w:p>
        </w:tc>
        <w:tc>
          <w:tcPr>
            <w:tcW w:w="2440" w:type="dxa"/>
            <w:vAlign w:val="bottom"/>
          </w:tcPr>
          <w:p>
            <w:pPr>
              <w:jc w:val="right"/>
              <w:ind w:right="4"/>
              <w:spacing w:after="0"/>
              <w:rPr>
                <w:sz w:val="20"/>
                <w:szCs w:val="20"/>
                <w:color w:val="auto"/>
              </w:rPr>
            </w:pPr>
            <w:r>
              <w:rPr>
                <w:rFonts w:ascii="Arial" w:cs="Arial" w:eastAsia="Arial" w:hAnsi="Arial"/>
                <w:sz w:val="16"/>
                <w:szCs w:val="16"/>
                <w:color w:val="auto"/>
              </w:rPr>
              <w:t>81.6</w:t>
            </w:r>
          </w:p>
        </w:tc>
      </w:tr>
      <w:tr>
        <w:trPr>
          <w:trHeight w:val="29"/>
        </w:trPr>
        <w:tc>
          <w:tcPr>
            <w:tcW w:w="1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20"/>
        </w:trPr>
        <w:tc>
          <w:tcPr>
            <w:tcW w:w="1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Drake</w:t>
            </w:r>
          </w:p>
        </w:tc>
        <w:tc>
          <w:tcPr>
            <w:tcW w:w="1880" w:type="dxa"/>
            <w:vAlign w:val="bottom"/>
            <w:tcBorders>
              <w:bottom w:val="single" w:sz="8" w:color="DBDBDB"/>
            </w:tcBorders>
            <w:shd w:val="clear" w:color="auto" w:fill="DBDBDB"/>
          </w:tcPr>
          <w:p>
            <w:pPr>
              <w:jc w:val="right"/>
              <w:ind w:right="23"/>
              <w:spacing w:after="0"/>
              <w:rPr>
                <w:sz w:val="20"/>
                <w:szCs w:val="20"/>
                <w:color w:val="auto"/>
              </w:rPr>
            </w:pPr>
            <w:r>
              <w:rPr>
                <w:rFonts w:ascii="Arial" w:cs="Arial" w:eastAsia="Arial" w:hAnsi="Arial"/>
                <w:sz w:val="16"/>
                <w:szCs w:val="16"/>
                <w:color w:val="auto"/>
              </w:rPr>
              <w:t>612,605</w:t>
            </w:r>
          </w:p>
        </w:tc>
        <w:tc>
          <w:tcPr>
            <w:tcW w:w="1660" w:type="dxa"/>
            <w:vAlign w:val="bottom"/>
            <w:tcBorders>
              <w:bottom w:val="single" w:sz="8" w:color="DBDBDB"/>
            </w:tcBorders>
            <w:shd w:val="clear" w:color="auto" w:fill="DBDBDB"/>
          </w:tcPr>
          <w:p>
            <w:pPr>
              <w:jc w:val="right"/>
              <w:ind w:right="144"/>
              <w:spacing w:after="0"/>
              <w:rPr>
                <w:sz w:val="20"/>
                <w:szCs w:val="20"/>
                <w:color w:val="auto"/>
              </w:rPr>
            </w:pPr>
            <w:r>
              <w:rPr>
                <w:rFonts w:ascii="Arial" w:cs="Arial" w:eastAsia="Arial" w:hAnsi="Arial"/>
                <w:sz w:val="16"/>
                <w:szCs w:val="16"/>
                <w:color w:val="auto"/>
              </w:rPr>
              <w:t>70</w:t>
            </w:r>
          </w:p>
        </w:tc>
        <w:tc>
          <w:tcPr>
            <w:tcW w:w="1900" w:type="dxa"/>
            <w:vAlign w:val="bottom"/>
            <w:tcBorders>
              <w:bottom w:val="single" w:sz="8" w:color="DBDBDB"/>
            </w:tcBorders>
            <w:shd w:val="clear" w:color="auto" w:fill="DBDBDB"/>
          </w:tcPr>
          <w:p>
            <w:pPr>
              <w:jc w:val="right"/>
              <w:ind w:right="64"/>
              <w:spacing w:after="0"/>
              <w:rPr>
                <w:sz w:val="20"/>
                <w:szCs w:val="20"/>
                <w:color w:val="auto"/>
              </w:rPr>
            </w:pPr>
            <w:r>
              <w:rPr>
                <w:rFonts w:ascii="Arial" w:cs="Arial" w:eastAsia="Arial" w:hAnsi="Arial"/>
                <w:sz w:val="16"/>
                <w:szCs w:val="16"/>
                <w:color w:val="auto"/>
              </w:rPr>
              <w:t>428,824</w:t>
            </w:r>
          </w:p>
        </w:tc>
        <w:tc>
          <w:tcPr>
            <w:tcW w:w="1780" w:type="dxa"/>
            <w:vAlign w:val="bottom"/>
            <w:tcBorders>
              <w:bottom w:val="single" w:sz="8" w:color="DBDBDB"/>
            </w:tcBorders>
            <w:shd w:val="clear" w:color="auto" w:fill="DBDBDB"/>
          </w:tcPr>
          <w:p>
            <w:pPr>
              <w:jc w:val="right"/>
              <w:ind w:right="4"/>
              <w:spacing w:after="0"/>
              <w:rPr>
                <w:sz w:val="20"/>
                <w:szCs w:val="20"/>
                <w:color w:val="auto"/>
              </w:rPr>
            </w:pPr>
            <w:r>
              <w:rPr>
                <w:rFonts w:ascii="Arial" w:cs="Arial" w:eastAsia="Arial" w:hAnsi="Arial"/>
                <w:sz w:val="16"/>
                <w:szCs w:val="16"/>
                <w:color w:val="auto"/>
              </w:rPr>
              <w:t>349,920</w:t>
            </w:r>
          </w:p>
        </w:tc>
        <w:tc>
          <w:tcPr>
            <w:tcW w:w="2440" w:type="dxa"/>
            <w:vAlign w:val="bottom"/>
            <w:tcBorders>
              <w:bottom w:val="single" w:sz="8" w:color="DBDBDB"/>
            </w:tcBorders>
            <w:shd w:val="clear" w:color="auto" w:fill="DBDBDB"/>
          </w:tcPr>
          <w:p>
            <w:pPr>
              <w:jc w:val="right"/>
              <w:ind w:right="4"/>
              <w:spacing w:after="0"/>
              <w:rPr>
                <w:sz w:val="20"/>
                <w:szCs w:val="20"/>
                <w:color w:val="auto"/>
              </w:rPr>
            </w:pPr>
            <w:r>
              <w:rPr>
                <w:rFonts w:ascii="Arial" w:cs="Arial" w:eastAsia="Arial" w:hAnsi="Arial"/>
                <w:sz w:val="16"/>
                <w:szCs w:val="16"/>
                <w:color w:val="auto"/>
              </w:rPr>
              <w:t>81.6</w:t>
            </w:r>
          </w:p>
        </w:tc>
      </w:tr>
      <w:tr>
        <w:trPr>
          <w:trHeight w:val="211"/>
        </w:trPr>
        <w:tc>
          <w:tcPr>
            <w:tcW w:w="1180" w:type="dxa"/>
            <w:vAlign w:val="bottom"/>
          </w:tcPr>
          <w:p>
            <w:pPr>
              <w:ind w:left="20"/>
              <w:spacing w:after="0"/>
              <w:rPr>
                <w:sz w:val="20"/>
                <w:szCs w:val="20"/>
                <w:color w:val="auto"/>
              </w:rPr>
            </w:pPr>
            <w:r>
              <w:rPr>
                <w:rFonts w:ascii="Arial" w:cs="Arial" w:eastAsia="Arial" w:hAnsi="Arial"/>
                <w:sz w:val="16"/>
                <w:szCs w:val="16"/>
                <w:color w:val="auto"/>
              </w:rPr>
              <w:t>Mr. Funk</w:t>
            </w:r>
          </w:p>
        </w:tc>
        <w:tc>
          <w:tcPr>
            <w:tcW w:w="1880" w:type="dxa"/>
            <w:vAlign w:val="bottom"/>
          </w:tcPr>
          <w:p>
            <w:pPr>
              <w:jc w:val="right"/>
              <w:ind w:right="23"/>
              <w:spacing w:after="0"/>
              <w:rPr>
                <w:sz w:val="20"/>
                <w:szCs w:val="20"/>
                <w:color w:val="auto"/>
              </w:rPr>
            </w:pPr>
            <w:r>
              <w:rPr>
                <w:rFonts w:ascii="Arial" w:cs="Arial" w:eastAsia="Arial" w:hAnsi="Arial"/>
                <w:sz w:val="16"/>
                <w:szCs w:val="16"/>
                <w:color w:val="auto"/>
              </w:rPr>
              <w:t>515,970</w:t>
            </w:r>
          </w:p>
        </w:tc>
        <w:tc>
          <w:tcPr>
            <w:tcW w:w="1660" w:type="dxa"/>
            <w:vAlign w:val="bottom"/>
          </w:tcPr>
          <w:p>
            <w:pPr>
              <w:jc w:val="right"/>
              <w:ind w:right="84"/>
              <w:spacing w:after="0"/>
              <w:rPr>
                <w:sz w:val="20"/>
                <w:szCs w:val="20"/>
                <w:color w:val="auto"/>
              </w:rPr>
            </w:pPr>
            <w:r>
              <w:rPr>
                <w:rFonts w:ascii="Arial" w:cs="Arial" w:eastAsia="Arial" w:hAnsi="Arial"/>
                <w:sz w:val="16"/>
                <w:szCs w:val="16"/>
                <w:color w:val="auto"/>
              </w:rPr>
              <w:t>65 / 90</w:t>
            </w:r>
          </w:p>
        </w:tc>
        <w:tc>
          <w:tcPr>
            <w:tcW w:w="1900" w:type="dxa"/>
            <w:vAlign w:val="bottom"/>
          </w:tcPr>
          <w:p>
            <w:pPr>
              <w:jc w:val="right"/>
              <w:ind w:right="64"/>
              <w:spacing w:after="0"/>
              <w:rPr>
                <w:sz w:val="20"/>
                <w:szCs w:val="20"/>
                <w:color w:val="auto"/>
              </w:rPr>
            </w:pPr>
            <w:r>
              <w:rPr>
                <w:rFonts w:ascii="Arial" w:cs="Arial" w:eastAsia="Arial" w:hAnsi="Arial"/>
                <w:sz w:val="16"/>
                <w:szCs w:val="16"/>
                <w:color w:val="auto"/>
              </w:rPr>
              <w:t>365,669</w:t>
            </w:r>
          </w:p>
        </w:tc>
        <w:tc>
          <w:tcPr>
            <w:tcW w:w="1780" w:type="dxa"/>
            <w:vAlign w:val="bottom"/>
          </w:tcPr>
          <w:p>
            <w:pPr>
              <w:jc w:val="right"/>
              <w:ind w:right="4"/>
              <w:spacing w:after="0"/>
              <w:rPr>
                <w:sz w:val="20"/>
                <w:szCs w:val="20"/>
                <w:color w:val="auto"/>
              </w:rPr>
            </w:pPr>
            <w:r>
              <w:rPr>
                <w:rFonts w:ascii="Arial" w:cs="Arial" w:eastAsia="Arial" w:hAnsi="Arial"/>
                <w:sz w:val="16"/>
                <w:szCs w:val="16"/>
                <w:color w:val="auto"/>
              </w:rPr>
              <w:t>389,280</w:t>
            </w:r>
          </w:p>
        </w:tc>
        <w:tc>
          <w:tcPr>
            <w:tcW w:w="2440" w:type="dxa"/>
            <w:vAlign w:val="bottom"/>
          </w:tcPr>
          <w:p>
            <w:pPr>
              <w:jc w:val="right"/>
              <w:ind w:right="4"/>
              <w:spacing w:after="0"/>
              <w:rPr>
                <w:sz w:val="20"/>
                <w:szCs w:val="20"/>
                <w:color w:val="auto"/>
              </w:rPr>
            </w:pPr>
            <w:r>
              <w:rPr>
                <w:rFonts w:ascii="Arial" w:cs="Arial" w:eastAsia="Arial" w:hAnsi="Arial"/>
                <w:sz w:val="16"/>
                <w:szCs w:val="16"/>
                <w:color w:val="auto"/>
              </w:rPr>
              <w:t>106.5</w:t>
            </w:r>
          </w:p>
        </w:tc>
      </w:tr>
      <w:tr>
        <w:trPr>
          <w:trHeight w:val="29"/>
        </w:trPr>
        <w:tc>
          <w:tcPr>
            <w:tcW w:w="1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20"/>
        </w:trPr>
        <w:tc>
          <w:tcPr>
            <w:tcW w:w="1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Mr. Moeller</w:t>
            </w:r>
          </w:p>
        </w:tc>
        <w:tc>
          <w:tcPr>
            <w:tcW w:w="1880" w:type="dxa"/>
            <w:vAlign w:val="bottom"/>
            <w:tcBorders>
              <w:bottom w:val="single" w:sz="8" w:color="DBDBDB"/>
            </w:tcBorders>
            <w:shd w:val="clear" w:color="auto" w:fill="DBDBDB"/>
          </w:tcPr>
          <w:p>
            <w:pPr>
              <w:jc w:val="right"/>
              <w:ind w:right="23"/>
              <w:spacing w:after="0"/>
              <w:rPr>
                <w:sz w:val="20"/>
                <w:szCs w:val="20"/>
                <w:color w:val="auto"/>
              </w:rPr>
            </w:pPr>
            <w:r>
              <w:rPr>
                <w:rFonts w:ascii="Arial" w:cs="Arial" w:eastAsia="Arial" w:hAnsi="Arial"/>
                <w:sz w:val="16"/>
                <w:szCs w:val="16"/>
                <w:color w:val="auto"/>
              </w:rPr>
              <w:t>443,469</w:t>
            </w:r>
          </w:p>
        </w:tc>
        <w:tc>
          <w:tcPr>
            <w:tcW w:w="1660" w:type="dxa"/>
            <w:vAlign w:val="bottom"/>
            <w:tcBorders>
              <w:bottom w:val="single" w:sz="8" w:color="DBDBDB"/>
            </w:tcBorders>
            <w:shd w:val="clear" w:color="auto" w:fill="DBDBDB"/>
          </w:tcPr>
          <w:p>
            <w:pPr>
              <w:jc w:val="right"/>
              <w:ind w:right="144"/>
              <w:spacing w:after="0"/>
              <w:rPr>
                <w:sz w:val="20"/>
                <w:szCs w:val="20"/>
                <w:color w:val="auto"/>
              </w:rPr>
            </w:pPr>
            <w:r>
              <w:rPr>
                <w:rFonts w:ascii="Arial" w:cs="Arial" w:eastAsia="Arial" w:hAnsi="Arial"/>
                <w:sz w:val="16"/>
                <w:szCs w:val="16"/>
                <w:color w:val="auto"/>
              </w:rPr>
              <w:t>65</w:t>
            </w:r>
          </w:p>
        </w:tc>
        <w:tc>
          <w:tcPr>
            <w:tcW w:w="1900" w:type="dxa"/>
            <w:vAlign w:val="bottom"/>
            <w:tcBorders>
              <w:bottom w:val="single" w:sz="8" w:color="DBDBDB"/>
            </w:tcBorders>
            <w:shd w:val="clear" w:color="auto" w:fill="DBDBDB"/>
          </w:tcPr>
          <w:p>
            <w:pPr>
              <w:jc w:val="right"/>
              <w:ind w:right="64"/>
              <w:spacing w:after="0"/>
              <w:rPr>
                <w:sz w:val="20"/>
                <w:szCs w:val="20"/>
                <w:color w:val="auto"/>
              </w:rPr>
            </w:pPr>
            <w:r>
              <w:rPr>
                <w:rFonts w:ascii="Arial" w:cs="Arial" w:eastAsia="Arial" w:hAnsi="Arial"/>
                <w:sz w:val="16"/>
                <w:szCs w:val="16"/>
                <w:color w:val="auto"/>
              </w:rPr>
              <w:t>288,255</w:t>
            </w:r>
          </w:p>
        </w:tc>
        <w:tc>
          <w:tcPr>
            <w:tcW w:w="1780" w:type="dxa"/>
            <w:vAlign w:val="bottom"/>
            <w:tcBorders>
              <w:bottom w:val="single" w:sz="8" w:color="DBDBDB"/>
            </w:tcBorders>
            <w:shd w:val="clear" w:color="auto" w:fill="DBDBDB"/>
          </w:tcPr>
          <w:p>
            <w:pPr>
              <w:jc w:val="right"/>
              <w:ind w:right="4"/>
              <w:spacing w:after="0"/>
              <w:rPr>
                <w:sz w:val="20"/>
                <w:szCs w:val="20"/>
                <w:color w:val="auto"/>
              </w:rPr>
            </w:pPr>
            <w:r>
              <w:rPr>
                <w:rFonts w:ascii="Arial" w:cs="Arial" w:eastAsia="Arial" w:hAnsi="Arial"/>
                <w:sz w:val="16"/>
                <w:szCs w:val="16"/>
                <w:color w:val="auto"/>
              </w:rPr>
              <w:t>330,686</w:t>
            </w:r>
          </w:p>
        </w:tc>
        <w:tc>
          <w:tcPr>
            <w:tcW w:w="2440" w:type="dxa"/>
            <w:vAlign w:val="bottom"/>
            <w:tcBorders>
              <w:bottom w:val="single" w:sz="8" w:color="DBDBDB"/>
            </w:tcBorders>
            <w:shd w:val="clear" w:color="auto" w:fill="DBDBDB"/>
          </w:tcPr>
          <w:p>
            <w:pPr>
              <w:jc w:val="right"/>
              <w:ind w:right="4"/>
              <w:spacing w:after="0"/>
              <w:rPr>
                <w:sz w:val="20"/>
                <w:szCs w:val="20"/>
                <w:color w:val="auto"/>
              </w:rPr>
            </w:pPr>
            <w:r>
              <w:rPr>
                <w:rFonts w:ascii="Arial" w:cs="Arial" w:eastAsia="Arial" w:hAnsi="Arial"/>
                <w:sz w:val="16"/>
                <w:szCs w:val="16"/>
                <w:color w:val="auto"/>
              </w:rPr>
              <w:t>114.7</w:t>
            </w:r>
          </w:p>
        </w:tc>
      </w:tr>
      <w:tr>
        <w:trPr>
          <w:trHeight w:val="211"/>
        </w:trPr>
        <w:tc>
          <w:tcPr>
            <w:tcW w:w="1180" w:type="dxa"/>
            <w:vAlign w:val="bottom"/>
          </w:tcPr>
          <w:p>
            <w:pPr>
              <w:ind w:left="20"/>
              <w:spacing w:after="0"/>
              <w:rPr>
                <w:sz w:val="20"/>
                <w:szCs w:val="20"/>
                <w:color w:val="auto"/>
              </w:rPr>
            </w:pPr>
            <w:r>
              <w:rPr>
                <w:rFonts w:ascii="Arial" w:cs="Arial" w:eastAsia="Arial" w:hAnsi="Arial"/>
                <w:sz w:val="16"/>
                <w:szCs w:val="16"/>
                <w:color w:val="auto"/>
              </w:rPr>
              <w:t>Mr. Janey</w:t>
            </w:r>
          </w:p>
        </w:tc>
        <w:tc>
          <w:tcPr>
            <w:tcW w:w="1880" w:type="dxa"/>
            <w:vAlign w:val="bottom"/>
          </w:tcPr>
          <w:p>
            <w:pPr>
              <w:jc w:val="right"/>
              <w:ind w:right="23"/>
              <w:spacing w:after="0"/>
              <w:rPr>
                <w:sz w:val="20"/>
                <w:szCs w:val="20"/>
                <w:color w:val="auto"/>
              </w:rPr>
            </w:pPr>
            <w:r>
              <w:rPr>
                <w:rFonts w:ascii="Arial" w:cs="Arial" w:eastAsia="Arial" w:hAnsi="Arial"/>
                <w:sz w:val="16"/>
                <w:szCs w:val="16"/>
                <w:color w:val="auto"/>
              </w:rPr>
              <w:t>474,513</w:t>
            </w:r>
          </w:p>
        </w:tc>
        <w:tc>
          <w:tcPr>
            <w:tcW w:w="1660" w:type="dxa"/>
            <w:vAlign w:val="bottom"/>
          </w:tcPr>
          <w:p>
            <w:pPr>
              <w:jc w:val="right"/>
              <w:ind w:right="144"/>
              <w:spacing w:after="0"/>
              <w:rPr>
                <w:sz w:val="20"/>
                <w:szCs w:val="20"/>
                <w:color w:val="auto"/>
              </w:rPr>
            </w:pPr>
            <w:r>
              <w:rPr>
                <w:rFonts w:ascii="Arial" w:cs="Arial" w:eastAsia="Arial" w:hAnsi="Arial"/>
                <w:sz w:val="16"/>
                <w:szCs w:val="16"/>
                <w:color w:val="auto"/>
              </w:rPr>
              <w:t>65</w:t>
            </w:r>
          </w:p>
        </w:tc>
        <w:tc>
          <w:tcPr>
            <w:tcW w:w="1900" w:type="dxa"/>
            <w:vAlign w:val="bottom"/>
          </w:tcPr>
          <w:p>
            <w:pPr>
              <w:jc w:val="right"/>
              <w:ind w:right="64"/>
              <w:spacing w:after="0"/>
              <w:rPr>
                <w:sz w:val="20"/>
                <w:szCs w:val="20"/>
                <w:color w:val="auto"/>
              </w:rPr>
            </w:pPr>
            <w:r>
              <w:rPr>
                <w:rFonts w:ascii="Arial" w:cs="Arial" w:eastAsia="Arial" w:hAnsi="Arial"/>
                <w:sz w:val="16"/>
                <w:szCs w:val="16"/>
                <w:color w:val="auto"/>
              </w:rPr>
              <w:t>308,433</w:t>
            </w:r>
          </w:p>
        </w:tc>
        <w:tc>
          <w:tcPr>
            <w:tcW w:w="1780" w:type="dxa"/>
            <w:vAlign w:val="bottom"/>
          </w:tcPr>
          <w:p>
            <w:pPr>
              <w:jc w:val="right"/>
              <w:ind w:right="4"/>
              <w:spacing w:after="0"/>
              <w:rPr>
                <w:sz w:val="20"/>
                <w:szCs w:val="20"/>
                <w:color w:val="auto"/>
              </w:rPr>
            </w:pPr>
            <w:r>
              <w:rPr>
                <w:rFonts w:ascii="Arial" w:cs="Arial" w:eastAsia="Arial" w:hAnsi="Arial"/>
                <w:sz w:val="16"/>
                <w:szCs w:val="16"/>
                <w:color w:val="auto"/>
              </w:rPr>
              <w:t>100,673</w:t>
            </w:r>
          </w:p>
        </w:tc>
        <w:tc>
          <w:tcPr>
            <w:tcW w:w="2440" w:type="dxa"/>
            <w:vAlign w:val="bottom"/>
          </w:tcPr>
          <w:p>
            <w:pPr>
              <w:jc w:val="right"/>
              <w:ind w:right="4"/>
              <w:spacing w:after="0"/>
              <w:rPr>
                <w:sz w:val="20"/>
                <w:szCs w:val="20"/>
                <w:color w:val="auto"/>
              </w:rPr>
            </w:pPr>
            <w:r>
              <w:rPr>
                <w:rFonts w:ascii="Arial" w:cs="Arial" w:eastAsia="Arial" w:hAnsi="Arial"/>
                <w:sz w:val="16"/>
                <w:szCs w:val="16"/>
                <w:color w:val="auto"/>
              </w:rPr>
              <w:t>32.6</w:t>
            </w:r>
          </w:p>
        </w:tc>
      </w:tr>
    </w:tbl>
    <w:p>
      <w:pPr>
        <w:spacing w:after="0" w:line="199" w:lineRule="exact"/>
        <w:rPr>
          <w:sz w:val="20"/>
          <w:szCs w:val="20"/>
          <w:color w:val="auto"/>
        </w:rPr>
      </w:pPr>
    </w:p>
    <w:p>
      <w:pPr>
        <w:spacing w:after="0" w:line="246" w:lineRule="auto"/>
        <w:rPr>
          <w:sz w:val="20"/>
          <w:szCs w:val="20"/>
          <w:color w:val="auto"/>
        </w:rPr>
      </w:pPr>
      <w:r>
        <w:rPr>
          <w:rFonts w:ascii="Arial" w:cs="Arial" w:eastAsia="Arial" w:hAnsi="Arial"/>
          <w:sz w:val="18"/>
          <w:szCs w:val="18"/>
          <w:i w:val="1"/>
          <w:iCs w:val="1"/>
          <w:color w:val="auto"/>
        </w:rPr>
        <w:t xml:space="preserve">Actual Cash Compensation Discussion and Analysis. </w:t>
      </w:r>
      <w:r>
        <w:rPr>
          <w:rFonts w:ascii="Arial" w:cs="Arial" w:eastAsia="Arial" w:hAnsi="Arial"/>
          <w:sz w:val="18"/>
          <w:szCs w:val="18"/>
          <w:color w:val="auto"/>
        </w:rPr>
        <w:t>Fiscal 2025 actual total cash compensation (which represents the sum of actual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2025 base salary earnings and actual fiscal 2025 total annual cash incentive award payout) is reflected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44"/>
        </w:trPr>
        <w:tc>
          <w:tcPr>
            <w:tcW w:w="1200" w:type="dxa"/>
            <w:vAlign w:val="bottom"/>
            <w:shd w:val="clear" w:color="auto" w:fill="BF2115"/>
          </w:tcPr>
          <w:p>
            <w:pPr>
              <w:spacing w:after="0"/>
              <w:rPr>
                <w:sz w:val="21"/>
                <w:szCs w:val="21"/>
                <w:color w:val="auto"/>
              </w:rPr>
            </w:pPr>
          </w:p>
        </w:tc>
        <w:tc>
          <w:tcPr>
            <w:tcW w:w="1900" w:type="dxa"/>
            <w:vAlign w:val="bottom"/>
            <w:shd w:val="clear" w:color="auto" w:fill="BF2115"/>
          </w:tcPr>
          <w:p>
            <w:pPr>
              <w:spacing w:after="0"/>
              <w:rPr>
                <w:sz w:val="21"/>
                <w:szCs w:val="21"/>
                <w:color w:val="auto"/>
              </w:rPr>
            </w:pPr>
          </w:p>
        </w:tc>
        <w:tc>
          <w:tcPr>
            <w:tcW w:w="1580" w:type="dxa"/>
            <w:vAlign w:val="bottom"/>
            <w:vMerge w:val="restart"/>
            <w:shd w:val="clear" w:color="auto" w:fill="BF2115"/>
          </w:tcPr>
          <w:p>
            <w:pPr>
              <w:jc w:val="center"/>
              <w:ind w:right="44"/>
              <w:spacing w:after="0"/>
              <w:rPr>
                <w:sz w:val="20"/>
                <w:szCs w:val="20"/>
                <w:color w:val="auto"/>
              </w:rPr>
            </w:pPr>
            <w:r>
              <w:rPr>
                <w:rFonts w:ascii="Arial" w:cs="Arial" w:eastAsia="Arial" w:hAnsi="Arial"/>
                <w:sz w:val="14"/>
                <w:szCs w:val="14"/>
                <w:b w:val="1"/>
                <w:bCs w:val="1"/>
                <w:color w:val="FFFFFF"/>
                <w:w w:val="98"/>
              </w:rPr>
              <w:t>Fiscal 2025</w:t>
            </w:r>
          </w:p>
        </w:tc>
        <w:tc>
          <w:tcPr>
            <w:tcW w:w="1500" w:type="dxa"/>
            <w:vAlign w:val="bottom"/>
            <w:vMerge w:val="restart"/>
            <w:shd w:val="clear" w:color="auto" w:fill="BF2115"/>
          </w:tcPr>
          <w:p>
            <w:pPr>
              <w:jc w:val="center"/>
              <w:ind w:right="24"/>
              <w:spacing w:after="0"/>
              <w:rPr>
                <w:sz w:val="20"/>
                <w:szCs w:val="20"/>
                <w:color w:val="auto"/>
              </w:rPr>
            </w:pPr>
            <w:r>
              <w:rPr>
                <w:rFonts w:ascii="Arial" w:cs="Arial" w:eastAsia="Arial" w:hAnsi="Arial"/>
                <w:sz w:val="14"/>
                <w:szCs w:val="14"/>
                <w:b w:val="1"/>
                <w:bCs w:val="1"/>
                <w:color w:val="FFFFFF"/>
              </w:rPr>
              <w:t>Fiscal 2025</w:t>
            </w:r>
          </w:p>
        </w:tc>
        <w:tc>
          <w:tcPr>
            <w:tcW w:w="1600" w:type="dxa"/>
            <w:vAlign w:val="bottom"/>
            <w:shd w:val="clear" w:color="auto" w:fill="BF2115"/>
          </w:tcPr>
          <w:p>
            <w:pPr>
              <w:jc w:val="center"/>
              <w:ind w:right="44"/>
              <w:spacing w:after="0"/>
              <w:rPr>
                <w:sz w:val="20"/>
                <w:szCs w:val="20"/>
                <w:color w:val="auto"/>
              </w:rPr>
            </w:pPr>
            <w:r>
              <w:rPr>
                <w:rFonts w:ascii="Arial" w:cs="Arial" w:eastAsia="Arial" w:hAnsi="Arial"/>
                <w:sz w:val="14"/>
                <w:szCs w:val="14"/>
                <w:b w:val="1"/>
                <w:bCs w:val="1"/>
                <w:color w:val="FFFFFF"/>
              </w:rPr>
              <w:t>Fiscal 2025</w:t>
            </w:r>
          </w:p>
        </w:tc>
        <w:tc>
          <w:tcPr>
            <w:tcW w:w="1480" w:type="dxa"/>
            <w:vAlign w:val="bottom"/>
            <w:vMerge w:val="restart"/>
            <w:shd w:val="clear" w:color="auto" w:fill="BF2115"/>
          </w:tcPr>
          <w:p>
            <w:pPr>
              <w:jc w:val="center"/>
              <w:ind w:right="44"/>
              <w:spacing w:after="0"/>
              <w:rPr>
                <w:sz w:val="20"/>
                <w:szCs w:val="20"/>
                <w:color w:val="auto"/>
              </w:rPr>
            </w:pPr>
            <w:r>
              <w:rPr>
                <w:rFonts w:ascii="Arial" w:cs="Arial" w:eastAsia="Arial" w:hAnsi="Arial"/>
                <w:sz w:val="14"/>
                <w:szCs w:val="14"/>
                <w:b w:val="1"/>
                <w:bCs w:val="1"/>
                <w:color w:val="FFFFFF"/>
              </w:rPr>
              <w:t>Fiscal 2025</w:t>
            </w:r>
          </w:p>
        </w:tc>
        <w:tc>
          <w:tcPr>
            <w:tcW w:w="15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Fiscal 2025</w:t>
            </w:r>
          </w:p>
        </w:tc>
        <w:tc>
          <w:tcPr>
            <w:tcW w:w="0" w:type="dxa"/>
            <w:vAlign w:val="bottom"/>
          </w:tcPr>
          <w:p>
            <w:pPr>
              <w:spacing w:after="0"/>
              <w:rPr>
                <w:sz w:val="1"/>
                <w:szCs w:val="1"/>
                <w:color w:val="auto"/>
              </w:rPr>
            </w:pPr>
          </w:p>
        </w:tc>
      </w:tr>
      <w:tr>
        <w:trPr>
          <w:trHeight w:val="169"/>
        </w:trPr>
        <w:tc>
          <w:tcPr>
            <w:tcW w:w="1200" w:type="dxa"/>
            <w:vAlign w:val="bottom"/>
            <w:shd w:val="clear" w:color="auto" w:fill="BF2115"/>
          </w:tcPr>
          <w:p>
            <w:pPr>
              <w:spacing w:after="0"/>
              <w:rPr>
                <w:sz w:val="14"/>
                <w:szCs w:val="14"/>
                <w:color w:val="auto"/>
              </w:rPr>
            </w:pPr>
          </w:p>
        </w:tc>
        <w:tc>
          <w:tcPr>
            <w:tcW w:w="1900" w:type="dxa"/>
            <w:vAlign w:val="bottom"/>
            <w:shd w:val="clear" w:color="auto" w:fill="BF2115"/>
          </w:tcPr>
          <w:p>
            <w:pPr>
              <w:spacing w:after="0"/>
              <w:rPr>
                <w:sz w:val="14"/>
                <w:szCs w:val="14"/>
                <w:color w:val="auto"/>
              </w:rPr>
            </w:pPr>
          </w:p>
        </w:tc>
        <w:tc>
          <w:tcPr>
            <w:tcW w:w="1580" w:type="dxa"/>
            <w:vAlign w:val="bottom"/>
            <w:vMerge w:val="continue"/>
            <w:shd w:val="clear" w:color="auto" w:fill="BF2115"/>
          </w:tcPr>
          <w:p>
            <w:pPr>
              <w:spacing w:after="0"/>
              <w:rPr>
                <w:sz w:val="14"/>
                <w:szCs w:val="14"/>
                <w:color w:val="auto"/>
              </w:rPr>
            </w:pPr>
          </w:p>
        </w:tc>
        <w:tc>
          <w:tcPr>
            <w:tcW w:w="1500" w:type="dxa"/>
            <w:vAlign w:val="bottom"/>
            <w:vMerge w:val="continue"/>
            <w:shd w:val="clear" w:color="auto" w:fill="BF2115"/>
          </w:tcPr>
          <w:p>
            <w:pPr>
              <w:spacing w:after="0"/>
              <w:rPr>
                <w:sz w:val="14"/>
                <w:szCs w:val="14"/>
                <w:color w:val="auto"/>
              </w:rPr>
            </w:pPr>
          </w:p>
        </w:tc>
        <w:tc>
          <w:tcPr>
            <w:tcW w:w="1600" w:type="dxa"/>
            <w:vAlign w:val="bottom"/>
            <w:shd w:val="clear" w:color="auto" w:fill="BF2115"/>
          </w:tcPr>
          <w:p>
            <w:pPr>
              <w:jc w:val="center"/>
              <w:ind w:right="64"/>
              <w:spacing w:after="0"/>
              <w:rPr>
                <w:sz w:val="20"/>
                <w:szCs w:val="20"/>
                <w:color w:val="auto"/>
              </w:rPr>
            </w:pPr>
            <w:r>
              <w:rPr>
                <w:rFonts w:ascii="Arial" w:cs="Arial" w:eastAsia="Arial" w:hAnsi="Arial"/>
                <w:sz w:val="14"/>
                <w:szCs w:val="14"/>
                <w:b w:val="1"/>
                <w:bCs w:val="1"/>
                <w:color w:val="FFFFFF"/>
              </w:rPr>
              <w:t>Actual Annual Cash</w:t>
            </w:r>
          </w:p>
        </w:tc>
        <w:tc>
          <w:tcPr>
            <w:tcW w:w="1480" w:type="dxa"/>
            <w:vAlign w:val="bottom"/>
            <w:vMerge w:val="continue"/>
            <w:shd w:val="clear" w:color="auto" w:fill="BF2115"/>
          </w:tcPr>
          <w:p>
            <w:pPr>
              <w:spacing w:after="0"/>
              <w:rPr>
                <w:sz w:val="14"/>
                <w:szCs w:val="14"/>
                <w:color w:val="auto"/>
              </w:rPr>
            </w:pPr>
          </w:p>
        </w:tc>
        <w:tc>
          <w:tcPr>
            <w:tcW w:w="15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9"/>
              </w:rPr>
              <w:t>Actual Total Cash</w:t>
            </w:r>
          </w:p>
        </w:tc>
        <w:tc>
          <w:tcPr>
            <w:tcW w:w="0" w:type="dxa"/>
            <w:vAlign w:val="bottom"/>
          </w:tcPr>
          <w:p>
            <w:pPr>
              <w:spacing w:after="0"/>
              <w:rPr>
                <w:sz w:val="1"/>
                <w:szCs w:val="1"/>
                <w:color w:val="auto"/>
              </w:rPr>
            </w:pPr>
          </w:p>
        </w:tc>
      </w:tr>
      <w:tr>
        <w:trPr>
          <w:trHeight w:val="178"/>
        </w:trPr>
        <w:tc>
          <w:tcPr>
            <w:tcW w:w="1200" w:type="dxa"/>
            <w:vAlign w:val="bottom"/>
            <w:shd w:val="clear" w:color="auto" w:fill="BF2115"/>
          </w:tcPr>
          <w:p>
            <w:pPr>
              <w:spacing w:after="0"/>
              <w:rPr>
                <w:sz w:val="15"/>
                <w:szCs w:val="15"/>
                <w:color w:val="auto"/>
              </w:rPr>
            </w:pPr>
          </w:p>
        </w:tc>
        <w:tc>
          <w:tcPr>
            <w:tcW w:w="1900" w:type="dxa"/>
            <w:vAlign w:val="bottom"/>
            <w:shd w:val="clear" w:color="auto" w:fill="BF2115"/>
          </w:tcPr>
          <w:p>
            <w:pPr>
              <w:jc w:val="center"/>
              <w:ind w:left="223"/>
              <w:spacing w:after="0"/>
              <w:rPr>
                <w:sz w:val="20"/>
                <w:szCs w:val="20"/>
                <w:color w:val="auto"/>
              </w:rPr>
            </w:pPr>
            <w:r>
              <w:rPr>
                <w:rFonts w:ascii="Arial" w:cs="Arial" w:eastAsia="Arial" w:hAnsi="Arial"/>
                <w:sz w:val="14"/>
                <w:szCs w:val="14"/>
                <w:b w:val="1"/>
                <w:bCs w:val="1"/>
                <w:color w:val="FFFFFF"/>
              </w:rPr>
              <w:t>Fiscal 2025</w:t>
            </w:r>
          </w:p>
        </w:tc>
        <w:tc>
          <w:tcPr>
            <w:tcW w:w="1580" w:type="dxa"/>
            <w:vAlign w:val="bottom"/>
            <w:shd w:val="clear" w:color="auto" w:fill="BF2115"/>
          </w:tcPr>
          <w:p>
            <w:pPr>
              <w:jc w:val="center"/>
              <w:ind w:right="44"/>
              <w:spacing w:after="0"/>
              <w:rPr>
                <w:sz w:val="20"/>
                <w:szCs w:val="20"/>
                <w:color w:val="auto"/>
              </w:rPr>
            </w:pPr>
            <w:r>
              <w:rPr>
                <w:rFonts w:ascii="Arial" w:cs="Arial" w:eastAsia="Arial" w:hAnsi="Arial"/>
                <w:sz w:val="14"/>
                <w:szCs w:val="14"/>
                <w:b w:val="1"/>
                <w:bCs w:val="1"/>
                <w:color w:val="FFFFFF"/>
              </w:rPr>
              <w:t>Target Annual Cash</w:t>
            </w:r>
          </w:p>
        </w:tc>
        <w:tc>
          <w:tcPr>
            <w:tcW w:w="1500" w:type="dxa"/>
            <w:vAlign w:val="bottom"/>
            <w:shd w:val="clear" w:color="auto" w:fill="BF2115"/>
          </w:tcPr>
          <w:p>
            <w:pPr>
              <w:jc w:val="center"/>
              <w:ind w:right="44"/>
              <w:spacing w:after="0"/>
              <w:rPr>
                <w:sz w:val="20"/>
                <w:szCs w:val="20"/>
                <w:color w:val="auto"/>
              </w:rPr>
            </w:pPr>
            <w:r>
              <w:rPr>
                <w:rFonts w:ascii="Arial" w:cs="Arial" w:eastAsia="Arial" w:hAnsi="Arial"/>
                <w:sz w:val="14"/>
                <w:szCs w:val="14"/>
                <w:b w:val="1"/>
                <w:bCs w:val="1"/>
                <w:color w:val="FFFFFF"/>
                <w:w w:val="99"/>
              </w:rPr>
              <w:t>Target Total Cash</w:t>
            </w:r>
          </w:p>
        </w:tc>
        <w:tc>
          <w:tcPr>
            <w:tcW w:w="1600" w:type="dxa"/>
            <w:vAlign w:val="bottom"/>
            <w:shd w:val="clear" w:color="auto" w:fill="BF2115"/>
          </w:tcPr>
          <w:p>
            <w:pPr>
              <w:jc w:val="center"/>
              <w:ind w:right="44"/>
              <w:spacing w:after="0"/>
              <w:rPr>
                <w:sz w:val="20"/>
                <w:szCs w:val="20"/>
                <w:color w:val="auto"/>
              </w:rPr>
            </w:pPr>
            <w:r>
              <w:rPr>
                <w:rFonts w:ascii="Arial" w:cs="Arial" w:eastAsia="Arial" w:hAnsi="Arial"/>
                <w:sz w:val="14"/>
                <w:szCs w:val="14"/>
                <w:b w:val="1"/>
                <w:bCs w:val="1"/>
                <w:color w:val="FFFFFF"/>
              </w:rPr>
              <w:t>Incentive Award</w:t>
            </w:r>
          </w:p>
        </w:tc>
        <w:tc>
          <w:tcPr>
            <w:tcW w:w="1480" w:type="dxa"/>
            <w:vAlign w:val="bottom"/>
            <w:shd w:val="clear" w:color="auto" w:fill="BF2115"/>
          </w:tcPr>
          <w:p>
            <w:pPr>
              <w:jc w:val="center"/>
              <w:ind w:right="24"/>
              <w:spacing w:after="0"/>
              <w:rPr>
                <w:sz w:val="20"/>
                <w:szCs w:val="20"/>
                <w:color w:val="auto"/>
              </w:rPr>
            </w:pPr>
            <w:r>
              <w:rPr>
                <w:rFonts w:ascii="Arial" w:cs="Arial" w:eastAsia="Arial" w:hAnsi="Arial"/>
                <w:sz w:val="14"/>
                <w:szCs w:val="14"/>
                <w:b w:val="1"/>
                <w:bCs w:val="1"/>
                <w:color w:val="FFFFFF"/>
                <w:w w:val="99"/>
              </w:rPr>
              <w:t>Actual Total Cash</w:t>
            </w:r>
          </w:p>
        </w:tc>
        <w:tc>
          <w:tcPr>
            <w:tcW w:w="15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Compensation as a %</w:t>
            </w:r>
          </w:p>
        </w:tc>
        <w:tc>
          <w:tcPr>
            <w:tcW w:w="0" w:type="dxa"/>
            <w:vAlign w:val="bottom"/>
          </w:tcPr>
          <w:p>
            <w:pPr>
              <w:spacing w:after="0"/>
              <w:rPr>
                <w:sz w:val="1"/>
                <w:szCs w:val="1"/>
                <w:color w:val="auto"/>
              </w:rPr>
            </w:pPr>
          </w:p>
        </w:tc>
      </w:tr>
      <w:tr>
        <w:trPr>
          <w:trHeight w:val="200"/>
        </w:trPr>
        <w:tc>
          <w:tcPr>
            <w:tcW w:w="1200" w:type="dxa"/>
            <w:vAlign w:val="bottom"/>
            <w:shd w:val="clear" w:color="auto" w:fill="BF2115"/>
          </w:tcPr>
          <w:p>
            <w:pPr>
              <w:spacing w:after="0"/>
              <w:rPr>
                <w:sz w:val="17"/>
                <w:szCs w:val="17"/>
                <w:color w:val="auto"/>
              </w:rPr>
            </w:pPr>
          </w:p>
        </w:tc>
        <w:tc>
          <w:tcPr>
            <w:tcW w:w="1900" w:type="dxa"/>
            <w:vAlign w:val="bottom"/>
            <w:shd w:val="clear" w:color="auto" w:fill="BF2115"/>
          </w:tcPr>
          <w:p>
            <w:pPr>
              <w:jc w:val="center"/>
              <w:ind w:left="203"/>
              <w:spacing w:after="0"/>
              <w:rPr>
                <w:sz w:val="20"/>
                <w:szCs w:val="20"/>
                <w:color w:val="auto"/>
              </w:rPr>
            </w:pPr>
            <w:r>
              <w:rPr>
                <w:rFonts w:ascii="Arial" w:cs="Arial" w:eastAsia="Arial" w:hAnsi="Arial"/>
                <w:sz w:val="14"/>
                <w:szCs w:val="14"/>
                <w:b w:val="1"/>
                <w:bCs w:val="1"/>
                <w:color w:val="FFFFFF"/>
              </w:rPr>
              <w:t>Base Salary Earnings</w:t>
            </w:r>
          </w:p>
        </w:tc>
        <w:tc>
          <w:tcPr>
            <w:tcW w:w="1580" w:type="dxa"/>
            <w:vAlign w:val="bottom"/>
            <w:shd w:val="clear" w:color="auto" w:fill="BF2115"/>
          </w:tcPr>
          <w:p>
            <w:pPr>
              <w:jc w:val="center"/>
              <w:ind w:right="44"/>
              <w:spacing w:after="0"/>
              <w:rPr>
                <w:sz w:val="20"/>
                <w:szCs w:val="20"/>
                <w:color w:val="auto"/>
              </w:rPr>
            </w:pPr>
            <w:r>
              <w:rPr>
                <w:rFonts w:ascii="Arial" w:cs="Arial" w:eastAsia="Arial" w:hAnsi="Arial"/>
                <w:sz w:val="14"/>
                <w:szCs w:val="14"/>
                <w:b w:val="1"/>
                <w:bCs w:val="1"/>
                <w:color w:val="FFFFFF"/>
              </w:rPr>
              <w:t>Incentive Award</w:t>
            </w:r>
          </w:p>
        </w:tc>
        <w:tc>
          <w:tcPr>
            <w:tcW w:w="1500" w:type="dxa"/>
            <w:vAlign w:val="bottom"/>
            <w:shd w:val="clear" w:color="auto" w:fill="BF2115"/>
          </w:tcPr>
          <w:p>
            <w:pPr>
              <w:jc w:val="center"/>
              <w:ind w:right="44"/>
              <w:spacing w:after="0"/>
              <w:rPr>
                <w:sz w:val="20"/>
                <w:szCs w:val="20"/>
                <w:color w:val="auto"/>
              </w:rPr>
            </w:pPr>
            <w:r>
              <w:rPr>
                <w:rFonts w:ascii="Arial" w:cs="Arial" w:eastAsia="Arial" w:hAnsi="Arial"/>
                <w:sz w:val="14"/>
                <w:szCs w:val="14"/>
                <w:b w:val="1"/>
                <w:bCs w:val="1"/>
                <w:color w:val="FFFFFF"/>
              </w:rPr>
              <w:t>Compensation</w:t>
            </w:r>
          </w:p>
        </w:tc>
        <w:tc>
          <w:tcPr>
            <w:tcW w:w="1600" w:type="dxa"/>
            <w:vAlign w:val="bottom"/>
            <w:shd w:val="clear" w:color="auto" w:fill="BF2115"/>
          </w:tcPr>
          <w:p>
            <w:pPr>
              <w:jc w:val="center"/>
              <w:ind w:right="44"/>
              <w:spacing w:after="0"/>
              <w:rPr>
                <w:sz w:val="20"/>
                <w:szCs w:val="20"/>
                <w:color w:val="auto"/>
              </w:rPr>
            </w:pPr>
            <w:r>
              <w:rPr>
                <w:rFonts w:ascii="Arial" w:cs="Arial" w:eastAsia="Arial" w:hAnsi="Arial"/>
                <w:sz w:val="14"/>
                <w:szCs w:val="14"/>
                <w:b w:val="1"/>
                <w:bCs w:val="1"/>
                <w:color w:val="FFFFFF"/>
              </w:rPr>
              <w:t>Payout</w:t>
            </w:r>
          </w:p>
        </w:tc>
        <w:tc>
          <w:tcPr>
            <w:tcW w:w="1480" w:type="dxa"/>
            <w:vAlign w:val="bottom"/>
            <w:shd w:val="clear" w:color="auto" w:fill="BF2115"/>
          </w:tcPr>
          <w:p>
            <w:pPr>
              <w:jc w:val="center"/>
              <w:ind w:right="24"/>
              <w:spacing w:after="0"/>
              <w:rPr>
                <w:sz w:val="20"/>
                <w:szCs w:val="20"/>
                <w:color w:val="auto"/>
              </w:rPr>
            </w:pPr>
            <w:r>
              <w:rPr>
                <w:rFonts w:ascii="Arial" w:cs="Arial" w:eastAsia="Arial" w:hAnsi="Arial"/>
                <w:sz w:val="14"/>
                <w:szCs w:val="14"/>
                <w:b w:val="1"/>
                <w:bCs w:val="1"/>
                <w:color w:val="FFFFFF"/>
              </w:rPr>
              <w:t>Compensation</w:t>
            </w:r>
          </w:p>
        </w:tc>
        <w:tc>
          <w:tcPr>
            <w:tcW w:w="15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of Target</w:t>
            </w:r>
          </w:p>
        </w:tc>
        <w:tc>
          <w:tcPr>
            <w:tcW w:w="0" w:type="dxa"/>
            <w:vAlign w:val="bottom"/>
          </w:tcPr>
          <w:p>
            <w:pPr>
              <w:spacing w:after="0"/>
              <w:rPr>
                <w:sz w:val="1"/>
                <w:szCs w:val="1"/>
                <w:color w:val="auto"/>
              </w:rPr>
            </w:pPr>
          </w:p>
        </w:tc>
      </w:tr>
      <w:tr>
        <w:trPr>
          <w:trHeight w:val="223"/>
        </w:trPr>
        <w:tc>
          <w:tcPr>
            <w:tcW w:w="120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1900" w:type="dxa"/>
            <w:vAlign w:val="bottom"/>
            <w:shd w:val="clear" w:color="auto" w:fill="BF2115"/>
          </w:tcPr>
          <w:p>
            <w:pPr>
              <w:jc w:val="center"/>
              <w:ind w:left="203"/>
              <w:spacing w:after="0"/>
              <w:rPr>
                <w:sz w:val="20"/>
                <w:szCs w:val="20"/>
                <w:color w:val="auto"/>
              </w:rPr>
            </w:pPr>
            <w:r>
              <w:rPr>
                <w:rFonts w:ascii="Arial" w:cs="Arial" w:eastAsia="Arial" w:hAnsi="Arial"/>
                <w:sz w:val="14"/>
                <w:szCs w:val="14"/>
                <w:b w:val="1"/>
                <w:bCs w:val="1"/>
                <w:color w:val="FFFFFF"/>
              </w:rPr>
              <w:t>($)</w:t>
            </w:r>
          </w:p>
        </w:tc>
        <w:tc>
          <w:tcPr>
            <w:tcW w:w="1580" w:type="dxa"/>
            <w:vAlign w:val="bottom"/>
            <w:shd w:val="clear" w:color="auto" w:fill="BF2115"/>
          </w:tcPr>
          <w:p>
            <w:pPr>
              <w:jc w:val="center"/>
              <w:ind w:right="44"/>
              <w:spacing w:after="0"/>
              <w:rPr>
                <w:sz w:val="20"/>
                <w:szCs w:val="20"/>
                <w:color w:val="auto"/>
              </w:rPr>
            </w:pPr>
            <w:r>
              <w:rPr>
                <w:rFonts w:ascii="Arial" w:cs="Arial" w:eastAsia="Arial" w:hAnsi="Arial"/>
                <w:sz w:val="14"/>
                <w:szCs w:val="14"/>
                <w:b w:val="1"/>
                <w:bCs w:val="1"/>
                <w:color w:val="FFFFFF"/>
              </w:rPr>
              <w:t>($)</w:t>
            </w:r>
          </w:p>
        </w:tc>
        <w:tc>
          <w:tcPr>
            <w:tcW w:w="1500" w:type="dxa"/>
            <w:vAlign w:val="bottom"/>
            <w:shd w:val="clear" w:color="auto" w:fill="BF2115"/>
          </w:tcPr>
          <w:p>
            <w:pPr>
              <w:jc w:val="center"/>
              <w:ind w:right="44"/>
              <w:spacing w:after="0"/>
              <w:rPr>
                <w:sz w:val="20"/>
                <w:szCs w:val="20"/>
                <w:color w:val="auto"/>
              </w:rPr>
            </w:pPr>
            <w:r>
              <w:rPr>
                <w:rFonts w:ascii="Arial" w:cs="Arial" w:eastAsia="Arial" w:hAnsi="Arial"/>
                <w:sz w:val="14"/>
                <w:szCs w:val="14"/>
                <w:b w:val="1"/>
                <w:bCs w:val="1"/>
                <w:color w:val="FFFFFF"/>
              </w:rPr>
              <w:t>($)</w:t>
            </w:r>
          </w:p>
        </w:tc>
        <w:tc>
          <w:tcPr>
            <w:tcW w:w="1600" w:type="dxa"/>
            <w:vAlign w:val="bottom"/>
            <w:shd w:val="clear" w:color="auto" w:fill="BF2115"/>
          </w:tcPr>
          <w:p>
            <w:pPr>
              <w:jc w:val="center"/>
              <w:ind w:right="44"/>
              <w:spacing w:after="0"/>
              <w:rPr>
                <w:sz w:val="20"/>
                <w:szCs w:val="20"/>
                <w:color w:val="auto"/>
              </w:rPr>
            </w:pPr>
            <w:r>
              <w:rPr>
                <w:rFonts w:ascii="Arial" w:cs="Arial" w:eastAsia="Arial" w:hAnsi="Arial"/>
                <w:sz w:val="14"/>
                <w:szCs w:val="14"/>
                <w:b w:val="1"/>
                <w:bCs w:val="1"/>
                <w:color w:val="FFFFFF"/>
                <w:w w:val="93"/>
              </w:rPr>
              <w:t>($)</w:t>
            </w:r>
          </w:p>
        </w:tc>
        <w:tc>
          <w:tcPr>
            <w:tcW w:w="1480" w:type="dxa"/>
            <w:vAlign w:val="bottom"/>
            <w:shd w:val="clear" w:color="auto" w:fill="BF2115"/>
          </w:tcPr>
          <w:p>
            <w:pPr>
              <w:jc w:val="center"/>
              <w:ind w:right="24"/>
              <w:spacing w:after="0"/>
              <w:rPr>
                <w:sz w:val="20"/>
                <w:szCs w:val="20"/>
                <w:color w:val="auto"/>
              </w:rPr>
            </w:pPr>
            <w:r>
              <w:rPr>
                <w:rFonts w:ascii="Arial" w:cs="Arial" w:eastAsia="Arial" w:hAnsi="Arial"/>
                <w:sz w:val="14"/>
                <w:szCs w:val="14"/>
                <w:b w:val="1"/>
                <w:bCs w:val="1"/>
                <w:color w:val="FFFFFF"/>
              </w:rPr>
              <w:t>($)</w:t>
            </w:r>
          </w:p>
        </w:tc>
        <w:tc>
          <w:tcPr>
            <w:tcW w:w="15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40"/>
        </w:trPr>
        <w:tc>
          <w:tcPr>
            <w:tcW w:w="1200" w:type="dxa"/>
            <w:vAlign w:val="bottom"/>
          </w:tcPr>
          <w:p>
            <w:pPr>
              <w:ind w:left="20"/>
              <w:spacing w:after="0"/>
              <w:rPr>
                <w:sz w:val="20"/>
                <w:szCs w:val="20"/>
                <w:color w:val="auto"/>
              </w:rPr>
            </w:pPr>
            <w:r>
              <w:rPr>
                <w:rFonts w:ascii="Arial" w:cs="Arial" w:eastAsia="Arial" w:hAnsi="Arial"/>
                <w:sz w:val="16"/>
                <w:szCs w:val="16"/>
                <w:color w:val="auto"/>
              </w:rPr>
              <w:t>Mr. Olson</w:t>
            </w:r>
          </w:p>
        </w:tc>
        <w:tc>
          <w:tcPr>
            <w:tcW w:w="1900" w:type="dxa"/>
            <w:vAlign w:val="bottom"/>
          </w:tcPr>
          <w:p>
            <w:pPr>
              <w:jc w:val="right"/>
              <w:spacing w:after="0"/>
              <w:rPr>
                <w:sz w:val="20"/>
                <w:szCs w:val="20"/>
                <w:color w:val="auto"/>
              </w:rPr>
            </w:pPr>
            <w:r>
              <w:rPr>
                <w:rFonts w:ascii="Arial" w:cs="Arial" w:eastAsia="Arial" w:hAnsi="Arial"/>
                <w:sz w:val="16"/>
                <w:szCs w:val="16"/>
                <w:color w:val="auto"/>
              </w:rPr>
              <w:t>1,239,816</w:t>
            </w:r>
          </w:p>
        </w:tc>
        <w:tc>
          <w:tcPr>
            <w:tcW w:w="1580" w:type="dxa"/>
            <w:vAlign w:val="bottom"/>
          </w:tcPr>
          <w:p>
            <w:pPr>
              <w:jc w:val="right"/>
              <w:ind w:right="24"/>
              <w:spacing w:after="0"/>
              <w:rPr>
                <w:sz w:val="20"/>
                <w:szCs w:val="20"/>
                <w:color w:val="auto"/>
              </w:rPr>
            </w:pPr>
            <w:r>
              <w:rPr>
                <w:rFonts w:ascii="Arial" w:cs="Arial" w:eastAsia="Arial" w:hAnsi="Arial"/>
                <w:sz w:val="16"/>
                <w:szCs w:val="16"/>
                <w:color w:val="auto"/>
              </w:rPr>
              <w:t>1,611,761</w:t>
            </w:r>
          </w:p>
        </w:tc>
        <w:tc>
          <w:tcPr>
            <w:tcW w:w="1500" w:type="dxa"/>
            <w:vAlign w:val="bottom"/>
          </w:tcPr>
          <w:p>
            <w:pPr>
              <w:jc w:val="right"/>
              <w:spacing w:after="0"/>
              <w:rPr>
                <w:sz w:val="20"/>
                <w:szCs w:val="20"/>
                <w:color w:val="auto"/>
              </w:rPr>
            </w:pPr>
            <w:r>
              <w:rPr>
                <w:rFonts w:ascii="Arial" w:cs="Arial" w:eastAsia="Arial" w:hAnsi="Arial"/>
                <w:sz w:val="16"/>
                <w:szCs w:val="16"/>
                <w:color w:val="auto"/>
              </w:rPr>
              <w:t>2,851,577</w:t>
            </w:r>
          </w:p>
        </w:tc>
        <w:tc>
          <w:tcPr>
            <w:tcW w:w="1600" w:type="dxa"/>
            <w:vAlign w:val="bottom"/>
          </w:tcPr>
          <w:p>
            <w:pPr>
              <w:jc w:val="right"/>
              <w:ind w:right="24"/>
              <w:spacing w:after="0"/>
              <w:rPr>
                <w:sz w:val="20"/>
                <w:szCs w:val="20"/>
                <w:color w:val="auto"/>
              </w:rPr>
            </w:pPr>
            <w:r>
              <w:rPr>
                <w:rFonts w:ascii="Arial" w:cs="Arial" w:eastAsia="Arial" w:hAnsi="Arial"/>
                <w:sz w:val="16"/>
                <w:szCs w:val="16"/>
                <w:color w:val="auto"/>
              </w:rPr>
              <w:t>1,315,197</w:t>
            </w:r>
          </w:p>
        </w:tc>
        <w:tc>
          <w:tcPr>
            <w:tcW w:w="1480" w:type="dxa"/>
            <w:vAlign w:val="bottom"/>
          </w:tcPr>
          <w:p>
            <w:pPr>
              <w:jc w:val="right"/>
              <w:spacing w:after="0"/>
              <w:rPr>
                <w:sz w:val="20"/>
                <w:szCs w:val="20"/>
                <w:color w:val="auto"/>
              </w:rPr>
            </w:pPr>
            <w:r>
              <w:rPr>
                <w:rFonts w:ascii="Arial" w:cs="Arial" w:eastAsia="Arial" w:hAnsi="Arial"/>
                <w:sz w:val="16"/>
                <w:szCs w:val="16"/>
                <w:color w:val="auto"/>
              </w:rPr>
              <w:t>2,555,014</w:t>
            </w:r>
          </w:p>
        </w:tc>
        <w:tc>
          <w:tcPr>
            <w:tcW w:w="1520" w:type="dxa"/>
            <w:vAlign w:val="bottom"/>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40"/>
        </w:trPr>
        <w:tc>
          <w:tcPr>
            <w:tcW w:w="1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Ms. Drake</w:t>
            </w: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612,605</w:t>
            </w:r>
          </w:p>
        </w:tc>
        <w:tc>
          <w:tcPr>
            <w:tcW w:w="1580" w:type="dxa"/>
            <w:vAlign w:val="bottom"/>
            <w:shd w:val="clear" w:color="auto" w:fill="DBDBDB"/>
          </w:tcPr>
          <w:p>
            <w:pPr>
              <w:jc w:val="right"/>
              <w:ind w:right="24"/>
              <w:spacing w:after="0"/>
              <w:rPr>
                <w:sz w:val="20"/>
                <w:szCs w:val="20"/>
                <w:color w:val="auto"/>
              </w:rPr>
            </w:pPr>
            <w:r>
              <w:rPr>
                <w:rFonts w:ascii="Arial" w:cs="Arial" w:eastAsia="Arial" w:hAnsi="Arial"/>
                <w:sz w:val="16"/>
                <w:szCs w:val="16"/>
                <w:color w:val="auto"/>
              </w:rPr>
              <w:t>428,824</w:t>
            </w: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1,041,429</w:t>
            </w:r>
          </w:p>
        </w:tc>
        <w:tc>
          <w:tcPr>
            <w:tcW w:w="1600" w:type="dxa"/>
            <w:vAlign w:val="bottom"/>
            <w:shd w:val="clear" w:color="auto" w:fill="DBDBDB"/>
          </w:tcPr>
          <w:p>
            <w:pPr>
              <w:jc w:val="right"/>
              <w:ind w:right="24"/>
              <w:spacing w:after="0"/>
              <w:rPr>
                <w:sz w:val="20"/>
                <w:szCs w:val="20"/>
                <w:color w:val="auto"/>
              </w:rPr>
            </w:pPr>
            <w:r>
              <w:rPr>
                <w:rFonts w:ascii="Arial" w:cs="Arial" w:eastAsia="Arial" w:hAnsi="Arial"/>
                <w:sz w:val="16"/>
                <w:szCs w:val="16"/>
                <w:color w:val="auto"/>
              </w:rPr>
              <w:t>349,920</w:t>
            </w: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962,525</w:t>
            </w: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40"/>
        </w:trPr>
        <w:tc>
          <w:tcPr>
            <w:tcW w:w="1200" w:type="dxa"/>
            <w:vAlign w:val="bottom"/>
          </w:tcPr>
          <w:p>
            <w:pPr>
              <w:ind w:left="20"/>
              <w:spacing w:after="0"/>
              <w:rPr>
                <w:sz w:val="20"/>
                <w:szCs w:val="20"/>
                <w:color w:val="auto"/>
              </w:rPr>
            </w:pPr>
            <w:r>
              <w:rPr>
                <w:rFonts w:ascii="Arial" w:cs="Arial" w:eastAsia="Arial" w:hAnsi="Arial"/>
                <w:sz w:val="16"/>
                <w:szCs w:val="16"/>
                <w:color w:val="auto"/>
              </w:rPr>
              <w:t>Mr. Funk</w:t>
            </w:r>
          </w:p>
        </w:tc>
        <w:tc>
          <w:tcPr>
            <w:tcW w:w="1900" w:type="dxa"/>
            <w:vAlign w:val="bottom"/>
          </w:tcPr>
          <w:p>
            <w:pPr>
              <w:jc w:val="right"/>
              <w:spacing w:after="0"/>
              <w:rPr>
                <w:sz w:val="20"/>
                <w:szCs w:val="20"/>
                <w:color w:val="auto"/>
              </w:rPr>
            </w:pPr>
            <w:r>
              <w:rPr>
                <w:rFonts w:ascii="Arial" w:cs="Arial" w:eastAsia="Arial" w:hAnsi="Arial"/>
                <w:sz w:val="16"/>
                <w:szCs w:val="16"/>
                <w:color w:val="auto"/>
              </w:rPr>
              <w:t>515,970</w:t>
            </w:r>
          </w:p>
        </w:tc>
        <w:tc>
          <w:tcPr>
            <w:tcW w:w="1580" w:type="dxa"/>
            <w:vAlign w:val="bottom"/>
          </w:tcPr>
          <w:p>
            <w:pPr>
              <w:jc w:val="right"/>
              <w:ind w:right="24"/>
              <w:spacing w:after="0"/>
              <w:rPr>
                <w:sz w:val="20"/>
                <w:szCs w:val="20"/>
                <w:color w:val="auto"/>
              </w:rPr>
            </w:pPr>
            <w:r>
              <w:rPr>
                <w:rFonts w:ascii="Arial" w:cs="Arial" w:eastAsia="Arial" w:hAnsi="Arial"/>
                <w:sz w:val="16"/>
                <w:szCs w:val="16"/>
                <w:color w:val="auto"/>
              </w:rPr>
              <w:t>365,669</w:t>
            </w:r>
          </w:p>
        </w:tc>
        <w:tc>
          <w:tcPr>
            <w:tcW w:w="1500" w:type="dxa"/>
            <w:vAlign w:val="bottom"/>
          </w:tcPr>
          <w:p>
            <w:pPr>
              <w:jc w:val="right"/>
              <w:spacing w:after="0"/>
              <w:rPr>
                <w:sz w:val="20"/>
                <w:szCs w:val="20"/>
                <w:color w:val="auto"/>
              </w:rPr>
            </w:pPr>
            <w:r>
              <w:rPr>
                <w:rFonts w:ascii="Arial" w:cs="Arial" w:eastAsia="Arial" w:hAnsi="Arial"/>
                <w:sz w:val="16"/>
                <w:szCs w:val="16"/>
                <w:color w:val="auto"/>
              </w:rPr>
              <w:t>881,639</w:t>
            </w:r>
          </w:p>
        </w:tc>
        <w:tc>
          <w:tcPr>
            <w:tcW w:w="1600" w:type="dxa"/>
            <w:vAlign w:val="bottom"/>
          </w:tcPr>
          <w:p>
            <w:pPr>
              <w:jc w:val="right"/>
              <w:ind w:right="24"/>
              <w:spacing w:after="0"/>
              <w:rPr>
                <w:sz w:val="20"/>
                <w:szCs w:val="20"/>
                <w:color w:val="auto"/>
              </w:rPr>
            </w:pPr>
            <w:r>
              <w:rPr>
                <w:rFonts w:ascii="Arial" w:cs="Arial" w:eastAsia="Arial" w:hAnsi="Arial"/>
                <w:sz w:val="16"/>
                <w:szCs w:val="16"/>
                <w:color w:val="auto"/>
              </w:rPr>
              <w:t>389,280</w:t>
            </w:r>
          </w:p>
        </w:tc>
        <w:tc>
          <w:tcPr>
            <w:tcW w:w="1480" w:type="dxa"/>
            <w:vAlign w:val="bottom"/>
          </w:tcPr>
          <w:p>
            <w:pPr>
              <w:jc w:val="right"/>
              <w:spacing w:after="0"/>
              <w:rPr>
                <w:sz w:val="20"/>
                <w:szCs w:val="20"/>
                <w:color w:val="auto"/>
              </w:rPr>
            </w:pPr>
            <w:r>
              <w:rPr>
                <w:rFonts w:ascii="Arial" w:cs="Arial" w:eastAsia="Arial" w:hAnsi="Arial"/>
                <w:sz w:val="16"/>
                <w:szCs w:val="16"/>
                <w:color w:val="auto"/>
              </w:rPr>
              <w:t>905,250</w:t>
            </w:r>
          </w:p>
        </w:tc>
        <w:tc>
          <w:tcPr>
            <w:tcW w:w="1520" w:type="dxa"/>
            <w:vAlign w:val="bottom"/>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40"/>
        </w:trPr>
        <w:tc>
          <w:tcPr>
            <w:tcW w:w="1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Mr. Moeller</w:t>
            </w: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443,469</w:t>
            </w:r>
          </w:p>
        </w:tc>
        <w:tc>
          <w:tcPr>
            <w:tcW w:w="1580" w:type="dxa"/>
            <w:vAlign w:val="bottom"/>
            <w:shd w:val="clear" w:color="auto" w:fill="DBDBDB"/>
          </w:tcPr>
          <w:p>
            <w:pPr>
              <w:jc w:val="right"/>
              <w:ind w:right="24"/>
              <w:spacing w:after="0"/>
              <w:rPr>
                <w:sz w:val="20"/>
                <w:szCs w:val="20"/>
                <w:color w:val="auto"/>
              </w:rPr>
            </w:pPr>
            <w:r>
              <w:rPr>
                <w:rFonts w:ascii="Arial" w:cs="Arial" w:eastAsia="Arial" w:hAnsi="Arial"/>
                <w:sz w:val="16"/>
                <w:szCs w:val="16"/>
                <w:color w:val="auto"/>
              </w:rPr>
              <w:t>288,255</w:t>
            </w: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731,724</w:t>
            </w:r>
          </w:p>
        </w:tc>
        <w:tc>
          <w:tcPr>
            <w:tcW w:w="1600" w:type="dxa"/>
            <w:vAlign w:val="bottom"/>
            <w:shd w:val="clear" w:color="auto" w:fill="DBDBDB"/>
          </w:tcPr>
          <w:p>
            <w:pPr>
              <w:jc w:val="right"/>
              <w:ind w:right="24"/>
              <w:spacing w:after="0"/>
              <w:rPr>
                <w:sz w:val="20"/>
                <w:szCs w:val="20"/>
                <w:color w:val="auto"/>
              </w:rPr>
            </w:pPr>
            <w:r>
              <w:rPr>
                <w:rFonts w:ascii="Arial" w:cs="Arial" w:eastAsia="Arial" w:hAnsi="Arial"/>
                <w:sz w:val="16"/>
                <w:szCs w:val="16"/>
                <w:color w:val="auto"/>
              </w:rPr>
              <w:t>330,686</w:t>
            </w: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774,155</w:t>
            </w: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43"/>
        </w:trPr>
        <w:tc>
          <w:tcPr>
            <w:tcW w:w="1200" w:type="dxa"/>
            <w:vAlign w:val="bottom"/>
          </w:tcPr>
          <w:p>
            <w:pPr>
              <w:ind w:left="20"/>
              <w:spacing w:after="0"/>
              <w:rPr>
                <w:sz w:val="20"/>
                <w:szCs w:val="20"/>
                <w:color w:val="auto"/>
              </w:rPr>
            </w:pPr>
            <w:r>
              <w:rPr>
                <w:rFonts w:ascii="Arial" w:cs="Arial" w:eastAsia="Arial" w:hAnsi="Arial"/>
                <w:sz w:val="16"/>
                <w:szCs w:val="16"/>
                <w:color w:val="auto"/>
              </w:rPr>
              <w:t>Mr. Janey</w:t>
            </w:r>
          </w:p>
        </w:tc>
        <w:tc>
          <w:tcPr>
            <w:tcW w:w="1900" w:type="dxa"/>
            <w:vAlign w:val="bottom"/>
          </w:tcPr>
          <w:p>
            <w:pPr>
              <w:jc w:val="right"/>
              <w:spacing w:after="0"/>
              <w:rPr>
                <w:sz w:val="20"/>
                <w:szCs w:val="20"/>
                <w:color w:val="auto"/>
              </w:rPr>
            </w:pPr>
            <w:r>
              <w:rPr>
                <w:rFonts w:ascii="Arial" w:cs="Arial" w:eastAsia="Arial" w:hAnsi="Arial"/>
                <w:sz w:val="16"/>
                <w:szCs w:val="16"/>
                <w:color w:val="auto"/>
              </w:rPr>
              <w:t>474,513</w:t>
            </w:r>
          </w:p>
        </w:tc>
        <w:tc>
          <w:tcPr>
            <w:tcW w:w="1580" w:type="dxa"/>
            <w:vAlign w:val="bottom"/>
          </w:tcPr>
          <w:p>
            <w:pPr>
              <w:jc w:val="right"/>
              <w:ind w:right="24"/>
              <w:spacing w:after="0"/>
              <w:rPr>
                <w:sz w:val="20"/>
                <w:szCs w:val="20"/>
                <w:color w:val="auto"/>
              </w:rPr>
            </w:pPr>
            <w:r>
              <w:rPr>
                <w:rFonts w:ascii="Arial" w:cs="Arial" w:eastAsia="Arial" w:hAnsi="Arial"/>
                <w:sz w:val="16"/>
                <w:szCs w:val="16"/>
                <w:color w:val="auto"/>
              </w:rPr>
              <w:t>308,433</w:t>
            </w:r>
          </w:p>
        </w:tc>
        <w:tc>
          <w:tcPr>
            <w:tcW w:w="1500" w:type="dxa"/>
            <w:vAlign w:val="bottom"/>
          </w:tcPr>
          <w:p>
            <w:pPr>
              <w:jc w:val="right"/>
              <w:spacing w:after="0"/>
              <w:rPr>
                <w:sz w:val="20"/>
                <w:szCs w:val="20"/>
                <w:color w:val="auto"/>
              </w:rPr>
            </w:pPr>
            <w:r>
              <w:rPr>
                <w:rFonts w:ascii="Arial" w:cs="Arial" w:eastAsia="Arial" w:hAnsi="Arial"/>
                <w:sz w:val="16"/>
                <w:szCs w:val="16"/>
                <w:color w:val="auto"/>
              </w:rPr>
              <w:t>782,946</w:t>
            </w:r>
          </w:p>
        </w:tc>
        <w:tc>
          <w:tcPr>
            <w:tcW w:w="1600" w:type="dxa"/>
            <w:vAlign w:val="bottom"/>
          </w:tcPr>
          <w:p>
            <w:pPr>
              <w:jc w:val="right"/>
              <w:ind w:right="24"/>
              <w:spacing w:after="0"/>
              <w:rPr>
                <w:sz w:val="20"/>
                <w:szCs w:val="20"/>
                <w:color w:val="auto"/>
              </w:rPr>
            </w:pPr>
            <w:r>
              <w:rPr>
                <w:rFonts w:ascii="Arial" w:cs="Arial" w:eastAsia="Arial" w:hAnsi="Arial"/>
                <w:sz w:val="16"/>
                <w:szCs w:val="16"/>
                <w:color w:val="auto"/>
              </w:rPr>
              <w:t>100,673</w:t>
            </w:r>
          </w:p>
        </w:tc>
        <w:tc>
          <w:tcPr>
            <w:tcW w:w="1480" w:type="dxa"/>
            <w:vAlign w:val="bottom"/>
          </w:tcPr>
          <w:p>
            <w:pPr>
              <w:jc w:val="right"/>
              <w:spacing w:after="0"/>
              <w:rPr>
                <w:sz w:val="20"/>
                <w:szCs w:val="20"/>
                <w:color w:val="auto"/>
              </w:rPr>
            </w:pPr>
            <w:r>
              <w:rPr>
                <w:rFonts w:ascii="Arial" w:cs="Arial" w:eastAsia="Arial" w:hAnsi="Arial"/>
                <w:sz w:val="16"/>
                <w:szCs w:val="16"/>
                <w:color w:val="auto"/>
              </w:rPr>
              <w:t>575,185</w:t>
            </w:r>
          </w:p>
        </w:tc>
        <w:tc>
          <w:tcPr>
            <w:tcW w:w="1520" w:type="dxa"/>
            <w:vAlign w:val="bottom"/>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Long-Term Incentives</w:t>
      </w:r>
    </w:p>
    <w:p>
      <w:pPr>
        <w:spacing w:after="0" w:line="8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believe our use of long-term incentives tied to our common stock, along with our stock ownership guidelines, align the interests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executive officers with the interest of our stockholders. Therefore, we provide the opportunity for our executive officers to earn market</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competitive long-term incentives in the form of performance share awards and stock options. In determining the target value of these long-term incentive awards for each executive officer, we consider market data, the scope and complexity of the executive's position, experience, tenure,</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internal pay comparisons, function, division, and individual performance and historical targeted grant levels. The target long-term value for each executive officer is approved by the Committee.</w:t>
      </w:r>
    </w:p>
    <w:p>
      <w:pPr>
        <w:spacing w:after="0" w:line="5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For fiscal 2025, 60% of the target value of the long-term incentives was delivered in the form of performance share awards and 40% of the target value was delivered in the form of stock options, which represented a change from fiscal 2024 where the two award types were</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weighted equally. We believe this revised equity mix strikes the appropriate balance between rewarding achievement of Company specific performance measures and delivering long-term incentive value based on stock price appreciation and aligns with market practices. Actual</w:t>
      </w:r>
    </w:p>
    <w:p>
      <w:pPr>
        <w:spacing w:after="0" w:line="232" w:lineRule="auto"/>
        <w:rPr>
          <w:sz w:val="20"/>
          <w:szCs w:val="20"/>
          <w:color w:val="auto"/>
        </w:rPr>
      </w:pPr>
      <w:r>
        <w:rPr>
          <w:rFonts w:ascii="Arial" w:cs="Arial" w:eastAsia="Arial" w:hAnsi="Arial"/>
          <w:sz w:val="18"/>
          <w:szCs w:val="18"/>
          <w:color w:val="auto"/>
        </w:rPr>
        <w:t>value realized from our long-term incentive awards may vary from the market 50</w:t>
      </w:r>
      <w:r>
        <w:rPr>
          <w:rFonts w:ascii="Arial" w:cs="Arial" w:eastAsia="Arial" w:hAnsi="Arial"/>
          <w:sz w:val="10"/>
          <w:szCs w:val="10"/>
          <w:color w:val="auto"/>
        </w:rPr>
        <w:t>th</w:t>
      </w:r>
      <w:r>
        <w:rPr>
          <w:rFonts w:ascii="Arial" w:cs="Arial" w:eastAsia="Arial" w:hAnsi="Arial"/>
          <w:sz w:val="18"/>
          <w:szCs w:val="18"/>
          <w:color w:val="auto"/>
        </w:rPr>
        <w:t xml:space="preserve">  percentile based on the price of our common stock and</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performance against the three-year cumulative financial goals for the performance share awards. In addition to performance share awards and stock options, we occasionally use restricted stock unit awards in connection with the hiring of new executive officers, mid-year promotions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existing executive officers, leadership transition or retention purposes.</w:t>
      </w:r>
    </w:p>
    <w:p>
      <w:pPr>
        <w:spacing w:after="0" w:line="84" w:lineRule="exact"/>
        <w:rPr>
          <w:sz w:val="20"/>
          <w:szCs w:val="20"/>
          <w:color w:val="auto"/>
        </w:rPr>
      </w:pPr>
    </w:p>
    <w:p>
      <w:pPr>
        <w:jc w:val="both"/>
        <w:spacing w:after="0" w:line="233" w:lineRule="auto"/>
        <w:rPr>
          <w:sz w:val="20"/>
          <w:szCs w:val="20"/>
          <w:color w:val="auto"/>
        </w:rPr>
      </w:pPr>
      <w:r>
        <w:rPr>
          <w:rFonts w:ascii="Arial" w:cs="Arial" w:eastAsia="Arial" w:hAnsi="Arial"/>
          <w:sz w:val="18"/>
          <w:szCs w:val="18"/>
          <w:i w:val="1"/>
          <w:iCs w:val="1"/>
          <w:color w:val="auto"/>
        </w:rPr>
        <w:t xml:space="preserve">Performance Share Awards. </w:t>
      </w:r>
      <w:r>
        <w:rPr>
          <w:rFonts w:ascii="Arial" w:cs="Arial" w:eastAsia="Arial" w:hAnsi="Arial"/>
          <w:sz w:val="18"/>
          <w:szCs w:val="18"/>
          <w:color w:val="auto"/>
        </w:rPr>
        <w:t>Performance share awards are granted each December and paid out in shares of our common stock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completion of a three-year performance period if certain performance goals are achieved as determined by the Committee. The Committee</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establishes performance measures, weightings, goals (threshold, target and maximum) and performance adjustment events for the entire three-year performance period. Factors the Committee considers when establishing the performance goals for the three-year period include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our prior fiscal year actual financial business results, our longer-term strategic plan outlook, including our projections for performance for years</w:t>
      </w:r>
    </w:p>
    <w:p>
      <w:pPr>
        <w:spacing w:after="0" w:line="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two and three of the three-year award term, and of our competitive situation and outlook. At the end of the three-year performance period, management presents a summary of, and the Committee certifies, performance against the performance goals, including the applicability of</w:t>
      </w:r>
    </w:p>
    <w:p>
      <w:pPr>
        <w:jc w:val="center"/>
        <w:spacing w:after="0" w:line="232" w:lineRule="auto"/>
        <w:rPr>
          <w:sz w:val="20"/>
          <w:szCs w:val="20"/>
          <w:color w:val="auto"/>
        </w:rPr>
      </w:pPr>
      <w:r>
        <w:rPr>
          <w:rFonts w:ascii="Arial" w:cs="Arial" w:eastAsia="Arial" w:hAnsi="Arial"/>
          <w:sz w:val="18"/>
          <w:szCs w:val="18"/>
          <w:color w:val="auto"/>
        </w:rPr>
        <w:t>any adjustment events, and a corresponding payout, which is expressed as a percent of target. Actual payouts can range from 0% (if the</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threshold performance levels are not met) to 200% of the target award (if maximum performance levels are met). For the fiscal 2025 performance share award grants, we increased the threshold level of performance payout from 40% to 50% to drive performance and align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with market practices.</w:t>
      </w:r>
    </w:p>
    <w:p>
      <w:pPr>
        <w:spacing w:after="0" w:line="84"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To determine the number of target performance share awards to be granted to our executive officers, we start with a total target value of performance share awards to be delivered. That value is divided by an expected value per share to determine the number of performance</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share awards to grant at target. The expected value per share is equal to the average closing price of our common stock for the 30 days prior to the grant date.</w:t>
      </w:r>
    </w:p>
    <w:p>
      <w:pPr>
        <w:spacing w:after="0" w:line="5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As the Committee's meeting is generally held before the announcement of our financial results for the recently completed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annual stock options for fiscal 2025 were granted on the fourth trading day following the filing of our Annual Report on Form 10-K (with the first day being the filing date), and have a per share exercise price equal to the closing price of our common stock on the grant date.</w:t>
      </w:r>
    </w:p>
    <w:p>
      <w:pPr>
        <w:spacing w:after="0" w:line="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believe our time-vested stock options are actually performance-based in some respects because, if we deliver strong stockholder returns, our stock price presumably will increase, thereby increasing the value of the stock options and executive officer resulting total compensation. If stockholder value is not delivered and our stock price does not increase, the stock options will have no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To determine the number of annual stock options to award our executive officers, we start with a total target value of stock options and divide</w:t>
      </w:r>
    </w:p>
    <w:p>
      <w:pPr>
        <w:spacing w:after="0" w:line="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that value by the expected value of an option, using a Black-Scholes option pricing method. The underlying stock price is based on the average closing price of our common stock for the 30 days prior to the grant date. Our annual stock options vest in annual equal installments</w:t>
      </w:r>
    </w:p>
    <w:p>
      <w:pPr>
        <w:spacing w:after="0" w:line="232" w:lineRule="auto"/>
        <w:rPr>
          <w:sz w:val="20"/>
          <w:szCs w:val="20"/>
          <w:color w:val="auto"/>
        </w:rPr>
      </w:pPr>
      <w:r>
        <w:rPr>
          <w:rFonts w:ascii="Arial" w:cs="Arial" w:eastAsia="Arial" w:hAnsi="Arial"/>
          <w:sz w:val="18"/>
          <w:szCs w:val="18"/>
          <w:color w:val="auto"/>
        </w:rPr>
        <w:t>over three years, which three-year schedule is consistent with the three-year performance period for our performance share awards. We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believe the three-year period for our long-term incentive awards provides retention value and focuses our executive officers on attainment of long-term performance.</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Occasionally the Committee will grant stock options for use in certain situations, including hiring of new executive officers, mid-year promotions of existing executive officers, leadership transition or retention purposes. Vesting for these options is generally time-based.</w:t>
      </w:r>
    </w:p>
    <w:p>
      <w:pPr>
        <w:spacing w:after="0" w:line="4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Restricted Stock Unit Awards. </w:t>
      </w:r>
      <w:r>
        <w:rPr>
          <w:rFonts w:ascii="Arial" w:cs="Arial" w:eastAsia="Arial" w:hAnsi="Arial"/>
          <w:sz w:val="18"/>
          <w:szCs w:val="18"/>
          <w:color w:val="auto"/>
        </w:rPr>
        <w:t>Occasionally, the Committee will grant restricted stock unit awards for use in certain situations, including hiring</w:t>
      </w:r>
      <w:r>
        <w:rPr>
          <w:rFonts w:ascii="Arial" w:cs="Arial" w:eastAsia="Arial" w:hAnsi="Arial"/>
          <w:sz w:val="18"/>
          <w:szCs w:val="18"/>
          <w:i w:val="1"/>
          <w:iCs w:val="1"/>
          <w:color w:val="auto"/>
        </w:rPr>
        <w:t xml:space="preserve"> </w:t>
      </w:r>
      <w:r>
        <w:rPr>
          <w:rFonts w:ascii="Arial" w:cs="Arial" w:eastAsia="Arial" w:hAnsi="Arial"/>
          <w:sz w:val="18"/>
          <w:szCs w:val="18"/>
          <w:color w:val="auto"/>
        </w:rPr>
        <w:t>of new executive officers, mid-year promotions of existing executive officers, leadership transition or retention purposes. Vesting may be either performance-based or time-based.</w:t>
      </w:r>
    </w:p>
    <w:p>
      <w:pPr>
        <w:spacing w:after="0" w:line="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Fiscal 2025 Grants</w:t>
      </w:r>
      <w:r>
        <w:rPr>
          <w:rFonts w:ascii="Arial" w:cs="Arial" w:eastAsia="Arial" w:hAnsi="Arial"/>
          <w:sz w:val="18"/>
          <w:szCs w:val="18"/>
          <w:color w:val="auto"/>
        </w:rPr>
        <w:t>. Details of grants to our NEOs can be found in the "Grants of Plan-Based Awards for Fiscal 2025" table. The grant date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for these awards can also be found in the Summary Compensation Table.</w:t>
      </w:r>
    </w:p>
    <w:p>
      <w:pPr>
        <w:spacing w:after="0" w:line="55"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These grants include performance share awards and stock options. Additionally, we granted restricted stock unit awards to Mr. Funk, in connection with his promotion to President and Chief Operating Officer and to each of Messrs. Moeller and Janey for retention purposes. The</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restricted stock unit award granted to Mr. Funk vests in annual installments over three years; whereas, the restricted stock unit awards granted to Messrs. Moeller and Janey cliff vest on the three-year anniversary of the grant date.</w:t>
      </w:r>
    </w:p>
    <w:p>
      <w:pPr>
        <w:spacing w:after="0" w:line="59"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color w:val="auto"/>
        </w:rPr>
        <w:t xml:space="preserve">Performance Measures for the Performance Period Beginning in Fiscal 2025. </w:t>
      </w:r>
      <w:r>
        <w:rPr>
          <w:rFonts w:ascii="Arial" w:cs="Arial" w:eastAsia="Arial" w:hAnsi="Arial"/>
          <w:sz w:val="18"/>
          <w:szCs w:val="18"/>
          <w:color w:val="auto"/>
        </w:rPr>
        <w:t>For the fiscal 2025 to fiscal 2027 performance share awards,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performance measures and weightings were established:</w:t>
      </w:r>
    </w:p>
    <w:p>
      <w:pPr>
        <w:spacing w:after="0" w:line="99" w:lineRule="exact"/>
        <w:rPr>
          <w:sz w:val="20"/>
          <w:szCs w:val="20"/>
          <w:color w:val="auto"/>
        </w:rPr>
      </w:pPr>
    </w:p>
    <w:tbl>
      <w:tblPr>
        <w:tblLayout w:type="fixed"/>
        <w:tblInd w:w="1540" w:type="dxa"/>
        <w:tblCellMar>
          <w:top w:w="0" w:type="dxa"/>
          <w:left w:w="0" w:type="dxa"/>
          <w:bottom w:w="0" w:type="dxa"/>
          <w:right w:w="0" w:type="dxa"/>
        </w:tblCellMar>
      </w:tblPr>
      <w:tr>
        <w:trPr>
          <w:trHeight w:val="213"/>
        </w:trPr>
        <w:tc>
          <w:tcPr>
            <w:tcW w:w="422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Performance Measures</w:t>
            </w:r>
          </w:p>
        </w:tc>
        <w:tc>
          <w:tcPr>
            <w:tcW w:w="3960" w:type="dxa"/>
            <w:vAlign w:val="bottom"/>
            <w:shd w:val="clear" w:color="auto" w:fill="BF2115"/>
          </w:tcPr>
          <w:p>
            <w:pPr>
              <w:jc w:val="center"/>
              <w:ind w:left="1363"/>
              <w:spacing w:after="0"/>
              <w:rPr>
                <w:sz w:val="20"/>
                <w:szCs w:val="20"/>
                <w:color w:val="auto"/>
              </w:rPr>
            </w:pPr>
            <w:r>
              <w:rPr>
                <w:rFonts w:ascii="Arial" w:cs="Arial" w:eastAsia="Arial" w:hAnsi="Arial"/>
                <w:sz w:val="14"/>
                <w:szCs w:val="14"/>
                <w:b w:val="1"/>
                <w:bCs w:val="1"/>
                <w:color w:val="FFFFFF"/>
              </w:rPr>
              <w:t>Weighting</w:t>
            </w:r>
          </w:p>
        </w:tc>
      </w:tr>
      <w:tr>
        <w:trPr>
          <w:trHeight w:val="211"/>
        </w:trPr>
        <w:tc>
          <w:tcPr>
            <w:tcW w:w="4220" w:type="dxa"/>
            <w:vAlign w:val="bottom"/>
          </w:tcPr>
          <w:p>
            <w:pPr>
              <w:ind w:left="20"/>
              <w:spacing w:after="0"/>
              <w:rPr>
                <w:sz w:val="20"/>
                <w:szCs w:val="20"/>
                <w:color w:val="auto"/>
              </w:rPr>
            </w:pPr>
            <w:r>
              <w:rPr>
                <w:rFonts w:ascii="Arial" w:cs="Arial" w:eastAsia="Arial" w:hAnsi="Arial"/>
                <w:sz w:val="16"/>
                <w:szCs w:val="16"/>
                <w:color w:val="auto"/>
              </w:rPr>
              <w:t>Return on invested capital</w:t>
            </w:r>
          </w:p>
        </w:tc>
        <w:tc>
          <w:tcPr>
            <w:tcW w:w="3960" w:type="dxa"/>
            <w:vAlign w:val="bottom"/>
          </w:tcPr>
          <w:p>
            <w:pPr>
              <w:jc w:val="center"/>
              <w:ind w:left="1363"/>
              <w:spacing w:after="0"/>
              <w:rPr>
                <w:sz w:val="20"/>
                <w:szCs w:val="20"/>
                <w:color w:val="auto"/>
              </w:rPr>
            </w:pPr>
            <w:r>
              <w:rPr>
                <w:rFonts w:ascii="Arial" w:cs="Arial" w:eastAsia="Arial" w:hAnsi="Arial"/>
                <w:sz w:val="16"/>
                <w:szCs w:val="16"/>
                <w:color w:val="auto"/>
                <w:w w:val="99"/>
              </w:rPr>
              <w:t>60%</w:t>
            </w:r>
          </w:p>
        </w:tc>
      </w:tr>
      <w:tr>
        <w:trPr>
          <w:trHeight w:val="29"/>
        </w:trPr>
        <w:tc>
          <w:tcPr>
            <w:tcW w:w="422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11"/>
        </w:trPr>
        <w:tc>
          <w:tcPr>
            <w:tcW w:w="4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Corporate revenue</w:t>
            </w:r>
          </w:p>
        </w:tc>
        <w:tc>
          <w:tcPr>
            <w:tcW w:w="3960" w:type="dxa"/>
            <w:vAlign w:val="bottom"/>
            <w:shd w:val="clear" w:color="auto" w:fill="DBDBDB"/>
          </w:tcPr>
          <w:p>
            <w:pPr>
              <w:jc w:val="center"/>
              <w:ind w:left="1363"/>
              <w:spacing w:after="0"/>
              <w:rPr>
                <w:sz w:val="20"/>
                <w:szCs w:val="20"/>
                <w:color w:val="auto"/>
              </w:rPr>
            </w:pPr>
            <w:r>
              <w:rPr>
                <w:rFonts w:ascii="Arial" w:cs="Arial" w:eastAsia="Arial" w:hAnsi="Arial"/>
                <w:sz w:val="16"/>
                <w:szCs w:val="16"/>
                <w:color w:val="auto"/>
                <w:w w:val="99"/>
              </w:rPr>
              <w:t>40%</w:t>
            </w:r>
          </w:p>
        </w:tc>
      </w:tr>
      <w:tr>
        <w:trPr>
          <w:trHeight w:val="29"/>
        </w:trPr>
        <w:tc>
          <w:tcPr>
            <w:tcW w:w="4220" w:type="dxa"/>
            <w:vAlign w:val="bottom"/>
            <w:shd w:val="clear" w:color="auto" w:fill="DBDBDB"/>
          </w:tcPr>
          <w:p>
            <w:pPr>
              <w:spacing w:after="0"/>
              <w:rPr>
                <w:sz w:val="2"/>
                <w:szCs w:val="2"/>
                <w:color w:val="auto"/>
              </w:rPr>
            </w:pPr>
          </w:p>
        </w:tc>
        <w:tc>
          <w:tcPr>
            <w:tcW w:w="3960" w:type="dxa"/>
            <w:vAlign w:val="bottom"/>
            <w:shd w:val="clear" w:color="auto" w:fill="DBDBDB"/>
          </w:tcPr>
          <w:p>
            <w:pPr>
              <w:spacing w:after="0"/>
              <w:rPr>
                <w:sz w:val="2"/>
                <w:szCs w:val="2"/>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Committee also established threshold, target and maximum three-year cumulative goals for each of the two performance measures. The</w:t>
      </w:r>
    </w:p>
    <w:p>
      <w:pPr>
        <w:spacing w:after="0" w:line="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specific performance goals for the three-year award period are maintained by us as proprietary and confidential. The Committee believes that disclosure of these specific performance goals would represent competitive harm to us as such cumulative corporate goals and results are not</w:t>
      </w:r>
    </w:p>
    <w:p>
      <w:pPr>
        <w:spacing w:after="0" w:line="233" w:lineRule="auto"/>
        <w:rPr>
          <w:sz w:val="20"/>
          <w:szCs w:val="20"/>
          <w:color w:val="auto"/>
        </w:rPr>
      </w:pPr>
      <w:r>
        <w:rPr>
          <w:rFonts w:ascii="Arial" w:cs="Arial" w:eastAsia="Arial" w:hAnsi="Arial"/>
          <w:sz w:val="18"/>
          <w:szCs w:val="18"/>
          <w:color w:val="auto"/>
        </w:rPr>
        <w:t>publicly disclosed and are competitively sensitive. For each performance measure, the target goal reflects the cumulative three-year financial</w:t>
      </w:r>
    </w:p>
    <w:p>
      <w:pPr>
        <w:spacing w:after="0" w:line="237" w:lineRule="auto"/>
        <w:rPr>
          <w:sz w:val="20"/>
          <w:szCs w:val="20"/>
          <w:color w:val="auto"/>
        </w:rPr>
      </w:pPr>
      <w:r>
        <w:rPr>
          <w:rFonts w:ascii="Arial" w:cs="Arial" w:eastAsia="Arial" w:hAnsi="Arial"/>
          <w:sz w:val="17"/>
          <w:szCs w:val="17"/>
          <w:color w:val="auto"/>
        </w:rPr>
        <w:t>plan set at the corporate level. Based on historical performance, the Committee believes the attainment of target performance levels, while uncertain, could be reasonably anticipated. Threshold goals represent the minimum level of performance necessary for there to be a payout for</w:t>
      </w:r>
    </w:p>
    <w:p>
      <w:pPr>
        <w:spacing w:after="0" w:line="233" w:lineRule="auto"/>
        <w:rPr>
          <w:sz w:val="20"/>
          <w:szCs w:val="20"/>
          <w:color w:val="auto"/>
        </w:rPr>
      </w:pPr>
      <w:r>
        <w:rPr>
          <w:rFonts w:ascii="Arial" w:cs="Arial" w:eastAsia="Arial" w:hAnsi="Arial"/>
          <w:sz w:val="18"/>
          <w:szCs w:val="18"/>
          <w:color w:val="auto"/>
        </w:rPr>
        <w:t>that performance measure and the Committee believes the threshold goals are likely to be achieved. Maximum goals represent the</w:t>
      </w:r>
    </w:p>
    <w:p>
      <w:pPr>
        <w:spacing w:after="0" w:line="224" w:lineRule="auto"/>
        <w:rPr>
          <w:sz w:val="20"/>
          <w:szCs w:val="20"/>
          <w:color w:val="auto"/>
        </w:rPr>
      </w:pPr>
      <w:r>
        <w:rPr>
          <w:rFonts w:ascii="Arial" w:cs="Arial" w:eastAsia="Arial" w:hAnsi="Arial"/>
          <w:sz w:val="18"/>
          <w:szCs w:val="18"/>
          <w:color w:val="auto"/>
        </w:rPr>
        <w:t>performances at which payouts are 200% of the target award. Even if actual results exceed the maximum goals, the payouts are capped at 200% of the target award. Maximum goals represent levels of performance at which the Committee determined a payout of 200% of target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would be appropriate. The Committee believes that the maximum goals established are more aggressive goals.</w:t>
      </w:r>
    </w:p>
    <w:p>
      <w:pPr>
        <w:spacing w:after="0" w:line="84" w:lineRule="exact"/>
        <w:rPr>
          <w:sz w:val="20"/>
          <w:szCs w:val="20"/>
          <w:color w:val="auto"/>
        </w:rPr>
      </w:pPr>
    </w:p>
    <w:p>
      <w:pPr>
        <w:spacing w:after="0" w:line="246" w:lineRule="auto"/>
        <w:rPr>
          <w:sz w:val="20"/>
          <w:szCs w:val="20"/>
          <w:color w:val="auto"/>
        </w:rPr>
      </w:pPr>
      <w:r>
        <w:rPr>
          <w:rFonts w:ascii="Arial" w:cs="Arial" w:eastAsia="Arial" w:hAnsi="Arial"/>
          <w:sz w:val="18"/>
          <w:szCs w:val="18"/>
          <w:i w:val="1"/>
          <w:iCs w:val="1"/>
          <w:color w:val="auto"/>
        </w:rPr>
        <w:t>Adjustment Events</w:t>
      </w:r>
      <w:r>
        <w:rPr>
          <w:rFonts w:ascii="Arial" w:cs="Arial" w:eastAsia="Arial" w:hAnsi="Arial"/>
          <w:sz w:val="18"/>
          <w:szCs w:val="18"/>
          <w:color w:val="auto"/>
        </w:rPr>
        <w:t>. In addition to approving performance measures, goals and weightings, the Committee also established specific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 events for determining payouts under the fiscal 2025 to fiscal 2027 performance share awards, including the following:</w:t>
      </w:r>
    </w:p>
    <w:p>
      <w:pPr>
        <w:spacing w:after="0" w:line="126"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3540" w:type="dxa"/>
            <w:vAlign w:val="bottom"/>
            <w:shd w:val="clear" w:color="auto" w:fill="BF2115"/>
          </w:tcPr>
          <w:p>
            <w:pPr>
              <w:ind w:left="1220"/>
              <w:spacing w:after="0"/>
              <w:rPr>
                <w:sz w:val="20"/>
                <w:szCs w:val="20"/>
                <w:color w:val="auto"/>
              </w:rPr>
            </w:pPr>
            <w:r>
              <w:rPr>
                <w:rFonts w:ascii="Arial" w:cs="Arial" w:eastAsia="Arial" w:hAnsi="Arial"/>
                <w:sz w:val="14"/>
                <w:szCs w:val="14"/>
                <w:b w:val="1"/>
                <w:bCs w:val="1"/>
                <w:color w:val="FFFFFF"/>
              </w:rPr>
              <w:t>Adjustment Event</w:t>
            </w:r>
          </w:p>
        </w:tc>
        <w:tc>
          <w:tcPr>
            <w:tcW w:w="3700" w:type="dxa"/>
            <w:vAlign w:val="bottom"/>
            <w:shd w:val="clear" w:color="auto" w:fill="BF2115"/>
          </w:tcPr>
          <w:p>
            <w:pPr>
              <w:ind w:left="1780"/>
              <w:spacing w:after="0"/>
              <w:rPr>
                <w:sz w:val="20"/>
                <w:szCs w:val="20"/>
                <w:color w:val="auto"/>
              </w:rPr>
            </w:pPr>
            <w:r>
              <w:rPr>
                <w:rFonts w:ascii="Arial" w:cs="Arial" w:eastAsia="Arial" w:hAnsi="Arial"/>
                <w:sz w:val="14"/>
                <w:szCs w:val="14"/>
                <w:b w:val="1"/>
                <w:bCs w:val="1"/>
                <w:color w:val="FFFFFF"/>
              </w:rPr>
              <w:t>Size</w:t>
            </w:r>
          </w:p>
        </w:tc>
        <w:tc>
          <w:tcPr>
            <w:tcW w:w="3700" w:type="dxa"/>
            <w:vAlign w:val="bottom"/>
            <w:shd w:val="clear" w:color="auto" w:fill="BF2115"/>
          </w:tcPr>
          <w:p>
            <w:pPr>
              <w:ind w:left="1420"/>
              <w:spacing w:after="0"/>
              <w:rPr>
                <w:sz w:val="20"/>
                <w:szCs w:val="20"/>
                <w:color w:val="auto"/>
              </w:rPr>
            </w:pPr>
            <w:r>
              <w:rPr>
                <w:rFonts w:ascii="Arial" w:cs="Arial" w:eastAsia="Arial" w:hAnsi="Arial"/>
                <w:sz w:val="14"/>
                <w:szCs w:val="14"/>
                <w:b w:val="1"/>
                <w:bCs w:val="1"/>
                <w:color w:val="FFFFFF"/>
              </w:rPr>
              <w:t>Impact Effect</w:t>
            </w:r>
          </w:p>
        </w:tc>
      </w:tr>
      <w:tr>
        <w:trPr>
          <w:trHeight w:val="186"/>
        </w:trPr>
        <w:tc>
          <w:tcPr>
            <w:tcW w:w="3540" w:type="dxa"/>
            <w:vAlign w:val="bottom"/>
          </w:tcPr>
          <w:p>
            <w:pPr>
              <w:ind w:left="20"/>
              <w:spacing w:after="0"/>
              <w:rPr>
                <w:sz w:val="20"/>
                <w:szCs w:val="20"/>
                <w:color w:val="auto"/>
              </w:rPr>
            </w:pPr>
            <w:r>
              <w:rPr>
                <w:rFonts w:ascii="Arial" w:cs="Arial" w:eastAsia="Arial" w:hAnsi="Arial"/>
                <w:sz w:val="16"/>
                <w:szCs w:val="16"/>
                <w:color w:val="auto"/>
              </w:rPr>
              <w:t>Acquisitions (as determined by projected first 12</w:t>
            </w:r>
          </w:p>
        </w:tc>
        <w:tc>
          <w:tcPr>
            <w:tcW w:w="3700" w:type="dxa"/>
            <w:vAlign w:val="bottom"/>
          </w:tcPr>
          <w:p>
            <w:pPr>
              <w:ind w:left="120"/>
              <w:spacing w:after="0"/>
              <w:rPr>
                <w:sz w:val="20"/>
                <w:szCs w:val="20"/>
                <w:color w:val="auto"/>
              </w:rPr>
            </w:pPr>
            <w:r>
              <w:rPr>
                <w:rFonts w:ascii="Arial" w:cs="Arial" w:eastAsia="Arial" w:hAnsi="Arial"/>
                <w:sz w:val="16"/>
                <w:szCs w:val="16"/>
                <w:color w:val="auto"/>
              </w:rPr>
              <w:t>Acquisition is ≥ $50 million</w:t>
            </w:r>
          </w:p>
        </w:tc>
        <w:tc>
          <w:tcPr>
            <w:tcW w:w="3700" w:type="dxa"/>
            <w:vAlign w:val="bottom"/>
          </w:tcPr>
          <w:p>
            <w:pPr>
              <w:ind w:left="60"/>
              <w:spacing w:after="0"/>
              <w:rPr>
                <w:sz w:val="20"/>
                <w:szCs w:val="20"/>
                <w:color w:val="auto"/>
              </w:rPr>
            </w:pPr>
            <w:r>
              <w:rPr>
                <w:rFonts w:ascii="Arial" w:cs="Arial" w:eastAsia="Arial" w:hAnsi="Arial"/>
                <w:sz w:val="16"/>
                <w:szCs w:val="16"/>
                <w:color w:val="auto"/>
              </w:rPr>
              <w:t>Excluded</w:t>
            </w:r>
          </w:p>
        </w:tc>
      </w:tr>
      <w:tr>
        <w:trPr>
          <w:trHeight w:val="219"/>
        </w:trPr>
        <w:tc>
          <w:tcPr>
            <w:tcW w:w="3540" w:type="dxa"/>
            <w:vAlign w:val="bottom"/>
          </w:tcPr>
          <w:p>
            <w:pPr>
              <w:ind w:left="20"/>
              <w:spacing w:after="0"/>
              <w:rPr>
                <w:sz w:val="20"/>
                <w:szCs w:val="20"/>
                <w:color w:val="auto"/>
              </w:rPr>
            </w:pPr>
            <w:r>
              <w:rPr>
                <w:rFonts w:ascii="Arial" w:cs="Arial" w:eastAsia="Arial" w:hAnsi="Arial"/>
                <w:sz w:val="16"/>
                <w:szCs w:val="16"/>
                <w:color w:val="auto"/>
              </w:rPr>
              <w:t>months of revenue)</w:t>
            </w:r>
          </w:p>
        </w:tc>
        <w:tc>
          <w:tcPr>
            <w:tcW w:w="370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229"/>
        </w:trPr>
        <w:tc>
          <w:tcPr>
            <w:tcW w:w="3540" w:type="dxa"/>
            <w:vAlign w:val="bottom"/>
            <w:tcBorders>
              <w:bottom w:val="single" w:sz="8" w:color="DBDBDB"/>
            </w:tcBorders>
            <w:shd w:val="clear" w:color="auto" w:fill="DBDBDB"/>
          </w:tcPr>
          <w:p>
            <w:pPr>
              <w:spacing w:after="0"/>
              <w:rPr>
                <w:sz w:val="19"/>
                <w:szCs w:val="19"/>
                <w:color w:val="auto"/>
              </w:rPr>
            </w:pPr>
          </w:p>
        </w:tc>
        <w:tc>
          <w:tcPr>
            <w:tcW w:w="370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6"/>
                <w:szCs w:val="16"/>
                <w:color w:val="auto"/>
              </w:rPr>
              <w:t>Acquisition is &lt; $10 million</w:t>
            </w:r>
          </w:p>
        </w:tc>
        <w:tc>
          <w:tcPr>
            <w:tcW w:w="370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6"/>
                <w:szCs w:val="16"/>
                <w:color w:val="auto"/>
              </w:rPr>
              <w:t>Included</w:t>
            </w:r>
          </w:p>
        </w:tc>
      </w:tr>
      <w:tr>
        <w:trPr>
          <w:trHeight w:val="199"/>
        </w:trPr>
        <w:tc>
          <w:tcPr>
            <w:tcW w:w="3540" w:type="dxa"/>
            <w:vAlign w:val="bottom"/>
          </w:tcPr>
          <w:p>
            <w:pPr>
              <w:spacing w:after="0"/>
              <w:rPr>
                <w:sz w:val="17"/>
                <w:szCs w:val="17"/>
                <w:color w:val="auto"/>
              </w:rPr>
            </w:pPr>
          </w:p>
        </w:tc>
        <w:tc>
          <w:tcPr>
            <w:tcW w:w="3700" w:type="dxa"/>
            <w:vAlign w:val="bottom"/>
          </w:tcPr>
          <w:p>
            <w:pPr>
              <w:ind w:left="120"/>
              <w:spacing w:after="0"/>
              <w:rPr>
                <w:sz w:val="20"/>
                <w:szCs w:val="20"/>
                <w:color w:val="auto"/>
              </w:rPr>
            </w:pPr>
            <w:r>
              <w:rPr>
                <w:rFonts w:ascii="Arial" w:cs="Arial" w:eastAsia="Arial" w:hAnsi="Arial"/>
                <w:sz w:val="16"/>
                <w:szCs w:val="16"/>
                <w:color w:val="auto"/>
              </w:rPr>
              <w:t>Acquisition is between $10 million and $50 million</w:t>
            </w:r>
          </w:p>
        </w:tc>
        <w:tc>
          <w:tcPr>
            <w:tcW w:w="3700" w:type="dxa"/>
            <w:vAlign w:val="bottom"/>
          </w:tcPr>
          <w:p>
            <w:pPr>
              <w:ind w:left="60"/>
              <w:spacing w:after="0"/>
              <w:rPr>
                <w:sz w:val="20"/>
                <w:szCs w:val="20"/>
                <w:color w:val="auto"/>
              </w:rPr>
            </w:pPr>
            <w:r>
              <w:rPr>
                <w:rFonts w:ascii="Arial" w:cs="Arial" w:eastAsia="Arial" w:hAnsi="Arial"/>
                <w:sz w:val="16"/>
                <w:szCs w:val="16"/>
                <w:color w:val="auto"/>
              </w:rPr>
              <w:t>Included, if transaction closes in first year of</w:t>
            </w:r>
          </w:p>
        </w:tc>
      </w:tr>
      <w:tr>
        <w:trPr>
          <w:trHeight w:val="200"/>
        </w:trPr>
        <w:tc>
          <w:tcPr>
            <w:tcW w:w="35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3700" w:type="dxa"/>
            <w:vAlign w:val="bottom"/>
          </w:tcPr>
          <w:p>
            <w:pPr>
              <w:ind w:left="60"/>
              <w:spacing w:after="0"/>
              <w:rPr>
                <w:sz w:val="20"/>
                <w:szCs w:val="20"/>
                <w:color w:val="auto"/>
              </w:rPr>
            </w:pPr>
            <w:r>
              <w:rPr>
                <w:rFonts w:ascii="Arial" w:cs="Arial" w:eastAsia="Arial" w:hAnsi="Arial"/>
                <w:sz w:val="16"/>
                <w:szCs w:val="16"/>
                <w:color w:val="auto"/>
              </w:rPr>
              <w:t>performance period</w:t>
            </w:r>
          </w:p>
        </w:tc>
      </w:tr>
      <w:tr>
        <w:trPr>
          <w:trHeight w:val="187"/>
        </w:trPr>
        <w:tc>
          <w:tcPr>
            <w:tcW w:w="35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3700" w:type="dxa"/>
            <w:vAlign w:val="bottom"/>
          </w:tcPr>
          <w:p>
            <w:pPr>
              <w:ind w:left="60"/>
              <w:spacing w:after="0"/>
              <w:rPr>
                <w:sz w:val="20"/>
                <w:szCs w:val="20"/>
                <w:color w:val="auto"/>
              </w:rPr>
            </w:pPr>
            <w:r>
              <w:rPr>
                <w:rFonts w:ascii="Arial" w:cs="Arial" w:eastAsia="Arial" w:hAnsi="Arial"/>
                <w:sz w:val="16"/>
                <w:szCs w:val="16"/>
                <w:color w:val="auto"/>
              </w:rPr>
              <w:t>Excluded, if transaction closes in second or third</w:t>
            </w:r>
          </w:p>
        </w:tc>
      </w:tr>
      <w:tr>
        <w:trPr>
          <w:trHeight w:val="211"/>
        </w:trPr>
        <w:tc>
          <w:tcPr>
            <w:tcW w:w="35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700" w:type="dxa"/>
            <w:vAlign w:val="bottom"/>
          </w:tcPr>
          <w:p>
            <w:pPr>
              <w:ind w:left="60"/>
              <w:spacing w:after="0"/>
              <w:rPr>
                <w:sz w:val="20"/>
                <w:szCs w:val="20"/>
                <w:color w:val="auto"/>
              </w:rPr>
            </w:pPr>
            <w:r>
              <w:rPr>
                <w:rFonts w:ascii="Arial" w:cs="Arial" w:eastAsia="Arial" w:hAnsi="Arial"/>
                <w:sz w:val="16"/>
                <w:szCs w:val="16"/>
                <w:color w:val="auto"/>
              </w:rPr>
              <w:t>year of performance period</w:t>
            </w:r>
          </w:p>
        </w:tc>
      </w:tr>
      <w:tr>
        <w:trPr>
          <w:trHeight w:val="43"/>
        </w:trPr>
        <w:tc>
          <w:tcPr>
            <w:tcW w:w="3540" w:type="dxa"/>
            <w:vAlign w:val="bottom"/>
          </w:tcPr>
          <w:p>
            <w:pPr>
              <w:spacing w:after="0"/>
              <w:rPr>
                <w:sz w:val="3"/>
                <w:szCs w:val="3"/>
                <w:color w:val="auto"/>
              </w:rPr>
            </w:pPr>
          </w:p>
        </w:tc>
        <w:tc>
          <w:tcPr>
            <w:tcW w:w="3700" w:type="dxa"/>
            <w:vAlign w:val="bottom"/>
          </w:tcPr>
          <w:p>
            <w:pPr>
              <w:spacing w:after="0"/>
              <w:rPr>
                <w:sz w:val="3"/>
                <w:szCs w:val="3"/>
                <w:color w:val="auto"/>
              </w:rPr>
            </w:pPr>
          </w:p>
        </w:tc>
        <w:tc>
          <w:tcPr>
            <w:tcW w:w="3700" w:type="dxa"/>
            <w:vAlign w:val="bottom"/>
          </w:tcPr>
          <w:p>
            <w:pPr>
              <w:spacing w:after="0"/>
              <w:rPr>
                <w:sz w:val="3"/>
                <w:szCs w:val="3"/>
                <w:color w:val="auto"/>
              </w:rPr>
            </w:pPr>
          </w:p>
        </w:tc>
      </w:tr>
      <w:tr>
        <w:trPr>
          <w:trHeight w:val="186"/>
        </w:trPr>
        <w:tc>
          <w:tcPr>
            <w:tcW w:w="3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Change in Accounting Principles or Standards</w:t>
            </w:r>
          </w:p>
        </w:tc>
        <w:tc>
          <w:tcPr>
            <w:tcW w:w="37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Cumulative net impact on the payout of all</w:t>
            </w:r>
          </w:p>
        </w:tc>
        <w:tc>
          <w:tcPr>
            <w:tcW w:w="3700" w:type="dxa"/>
            <w:vAlign w:val="bottom"/>
            <w:shd w:val="clear" w:color="auto" w:fill="DBDBDB"/>
          </w:tcPr>
          <w:p>
            <w:pPr>
              <w:ind w:left="60"/>
              <w:spacing w:after="0"/>
              <w:rPr>
                <w:sz w:val="20"/>
                <w:szCs w:val="20"/>
                <w:color w:val="auto"/>
              </w:rPr>
            </w:pPr>
            <w:r>
              <w:rPr>
                <w:rFonts w:ascii="Arial" w:cs="Arial" w:eastAsia="Arial" w:hAnsi="Arial"/>
                <w:sz w:val="16"/>
                <w:szCs w:val="16"/>
                <w:color w:val="auto"/>
              </w:rPr>
              <w:t>Excluded</w:t>
            </w:r>
          </w:p>
        </w:tc>
      </w:tr>
      <w:tr>
        <w:trPr>
          <w:trHeight w:val="228"/>
        </w:trPr>
        <w:tc>
          <w:tcPr>
            <w:tcW w:w="3540" w:type="dxa"/>
            <w:vAlign w:val="bottom"/>
            <w:shd w:val="clear" w:color="auto" w:fill="DBDBDB"/>
          </w:tcPr>
          <w:p>
            <w:pPr>
              <w:spacing w:after="0"/>
              <w:rPr>
                <w:sz w:val="19"/>
                <w:szCs w:val="19"/>
                <w:color w:val="auto"/>
              </w:rPr>
            </w:pPr>
          </w:p>
        </w:tc>
        <w:tc>
          <w:tcPr>
            <w:tcW w:w="37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accounting adjustments is &gt; 2%</w:t>
            </w:r>
          </w:p>
        </w:tc>
        <w:tc>
          <w:tcPr>
            <w:tcW w:w="3700" w:type="dxa"/>
            <w:vAlign w:val="bottom"/>
            <w:shd w:val="clear" w:color="auto" w:fill="DBDBDB"/>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 xml:space="preserve">Performance Measures for the Performance Period Ending in Fiscal 2025. </w:t>
      </w:r>
      <w:r>
        <w:rPr>
          <w:rFonts w:ascii="Arial" w:cs="Arial" w:eastAsia="Arial" w:hAnsi="Arial"/>
          <w:sz w:val="18"/>
          <w:szCs w:val="18"/>
          <w:color w:val="auto"/>
        </w:rPr>
        <w:t>In December 2025, the Committee certified payouts under the</w:t>
      </w:r>
    </w:p>
    <w:p>
      <w:pPr>
        <w:spacing w:after="0" w:line="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performance share awards that were granted in fiscal 2023 for the fiscal 2023 to fiscal 2025 performance period which amounted to 22.2% of target.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corporate performance measures and weightings, as well as threshold, target and maximum goals that were</w:t>
      </w:r>
    </w:p>
    <w:p>
      <w:pPr>
        <w:spacing w:after="0" w:line="9"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established by the Committee at the beginning of fiscal 2023, along with actual levels of performance, for the fiscal 2023 to fiscal 2025 performance share awards.</w:t>
      </w:r>
    </w:p>
    <w:p>
      <w:pPr>
        <w:spacing w:after="0" w:line="131" w:lineRule="exact"/>
        <w:rPr>
          <w:sz w:val="20"/>
          <w:szCs w:val="20"/>
          <w:color w:val="auto"/>
        </w:rPr>
      </w:pPr>
    </w:p>
    <w:tbl>
      <w:tblPr>
        <w:tblLayout w:type="fixed"/>
        <w:tblInd w:w="260" w:type="dxa"/>
        <w:tblCellMar>
          <w:top w:w="0" w:type="dxa"/>
          <w:left w:w="0" w:type="dxa"/>
          <w:bottom w:w="0" w:type="dxa"/>
          <w:right w:w="0" w:type="dxa"/>
        </w:tblCellMar>
      </w:tblPr>
      <w:tr>
        <w:trPr>
          <w:trHeight w:val="239"/>
        </w:trPr>
        <w:tc>
          <w:tcPr>
            <w:tcW w:w="284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Fiscal 2023 to Fiscal 2025</w:t>
            </w:r>
          </w:p>
        </w:tc>
        <w:tc>
          <w:tcPr>
            <w:tcW w:w="2280" w:type="dxa"/>
            <w:vAlign w:val="bottom"/>
            <w:shd w:val="clear" w:color="auto" w:fill="BF2115"/>
          </w:tcPr>
          <w:p>
            <w:pPr>
              <w:jc w:val="center"/>
              <w:ind w:left="729"/>
              <w:spacing w:after="0"/>
              <w:rPr>
                <w:sz w:val="20"/>
                <w:szCs w:val="20"/>
                <w:color w:val="auto"/>
              </w:rPr>
            </w:pPr>
            <w:r>
              <w:rPr>
                <w:rFonts w:ascii="Arial" w:cs="Arial" w:eastAsia="Arial" w:hAnsi="Arial"/>
                <w:sz w:val="14"/>
                <w:szCs w:val="14"/>
                <w:b w:val="1"/>
                <w:bCs w:val="1"/>
                <w:color w:val="FFFFFF"/>
              </w:rPr>
              <w:t>Threshold</w:t>
            </w:r>
          </w:p>
        </w:tc>
        <w:tc>
          <w:tcPr>
            <w:tcW w:w="15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940" w:type="dxa"/>
            <w:vAlign w:val="bottom"/>
            <w:shd w:val="clear" w:color="auto" w:fill="BF2115"/>
          </w:tcPr>
          <w:p>
            <w:pPr>
              <w:jc w:val="center"/>
              <w:ind w:right="329"/>
              <w:spacing w:after="0"/>
              <w:rPr>
                <w:sz w:val="20"/>
                <w:szCs w:val="20"/>
                <w:color w:val="auto"/>
              </w:rPr>
            </w:pPr>
            <w:r>
              <w:rPr>
                <w:rFonts w:ascii="Arial" w:cs="Arial" w:eastAsia="Arial" w:hAnsi="Arial"/>
                <w:sz w:val="14"/>
                <w:szCs w:val="14"/>
                <w:b w:val="1"/>
                <w:bCs w:val="1"/>
                <w:color w:val="FFFFFF"/>
              </w:rPr>
              <w:t>Maximum</w:t>
            </w:r>
          </w:p>
        </w:tc>
        <w:tc>
          <w:tcPr>
            <w:tcW w:w="2120" w:type="dxa"/>
            <w:vAlign w:val="bottom"/>
            <w:shd w:val="clear" w:color="auto" w:fill="BF2115"/>
          </w:tcPr>
          <w:p>
            <w:pPr>
              <w:spacing w:after="0"/>
              <w:rPr>
                <w:sz w:val="20"/>
                <w:szCs w:val="20"/>
                <w:color w:val="auto"/>
              </w:rPr>
            </w:pPr>
          </w:p>
        </w:tc>
      </w:tr>
      <w:tr>
        <w:trPr>
          <w:trHeight w:val="228"/>
        </w:trPr>
        <w:tc>
          <w:tcPr>
            <w:tcW w:w="284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Performance Measures</w:t>
            </w:r>
          </w:p>
        </w:tc>
        <w:tc>
          <w:tcPr>
            <w:tcW w:w="2280" w:type="dxa"/>
            <w:vAlign w:val="bottom"/>
            <w:shd w:val="clear" w:color="auto" w:fill="BF2115"/>
          </w:tcPr>
          <w:p>
            <w:pPr>
              <w:jc w:val="center"/>
              <w:ind w:left="729"/>
              <w:spacing w:after="0"/>
              <w:rPr>
                <w:sz w:val="20"/>
                <w:szCs w:val="20"/>
                <w:color w:val="auto"/>
              </w:rPr>
            </w:pPr>
            <w:r>
              <w:rPr>
                <w:rFonts w:ascii="Arial" w:cs="Arial" w:eastAsia="Arial" w:hAnsi="Arial"/>
                <w:sz w:val="14"/>
                <w:szCs w:val="14"/>
                <w:b w:val="1"/>
                <w:bCs w:val="1"/>
                <w:color w:val="FFFFFF"/>
              </w:rPr>
              <w:t>(40% payout)</w:t>
            </w:r>
          </w:p>
        </w:tc>
        <w:tc>
          <w:tcPr>
            <w:tcW w:w="15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(100% payout)</w:t>
            </w:r>
          </w:p>
        </w:tc>
        <w:tc>
          <w:tcPr>
            <w:tcW w:w="1940" w:type="dxa"/>
            <w:vAlign w:val="bottom"/>
            <w:shd w:val="clear" w:color="auto" w:fill="BF2115"/>
          </w:tcPr>
          <w:p>
            <w:pPr>
              <w:jc w:val="center"/>
              <w:ind w:right="309"/>
              <w:spacing w:after="0"/>
              <w:rPr>
                <w:sz w:val="20"/>
                <w:szCs w:val="20"/>
                <w:color w:val="auto"/>
              </w:rPr>
            </w:pPr>
            <w:r>
              <w:rPr>
                <w:rFonts w:ascii="Arial" w:cs="Arial" w:eastAsia="Arial" w:hAnsi="Arial"/>
                <w:sz w:val="14"/>
                <w:szCs w:val="14"/>
                <w:b w:val="1"/>
                <w:bCs w:val="1"/>
                <w:color w:val="FFFFFF"/>
              </w:rPr>
              <w:t>(200% payout)</w:t>
            </w:r>
          </w:p>
        </w:tc>
        <w:tc>
          <w:tcPr>
            <w:tcW w:w="2120" w:type="dxa"/>
            <w:vAlign w:val="bottom"/>
            <w:shd w:val="clear" w:color="auto" w:fill="BF2115"/>
          </w:tcPr>
          <w:p>
            <w:pPr>
              <w:ind w:left="660"/>
              <w:spacing w:after="0"/>
              <w:rPr>
                <w:sz w:val="20"/>
                <w:szCs w:val="20"/>
                <w:color w:val="auto"/>
              </w:rPr>
            </w:pPr>
            <w:r>
              <w:rPr>
                <w:rFonts w:ascii="Arial" w:cs="Arial" w:eastAsia="Arial" w:hAnsi="Arial"/>
                <w:sz w:val="14"/>
                <w:szCs w:val="14"/>
                <w:b w:val="1"/>
                <w:bCs w:val="1"/>
                <w:color w:val="FFFFFF"/>
              </w:rPr>
              <w:t>Actual</w:t>
            </w:r>
          </w:p>
        </w:tc>
      </w:tr>
    </w:tbl>
    <w:p>
      <w:pPr>
        <w:spacing w:after="0" w:line="44" w:lineRule="exact"/>
        <w:rPr>
          <w:sz w:val="20"/>
          <w:szCs w:val="20"/>
          <w:color w:val="auto"/>
        </w:rPr>
      </w:pPr>
    </w:p>
    <w:p>
      <w:pPr>
        <w:sectPr>
          <w:pgSz w:w="11900" w:h="16838" w:orient="portrait"/>
          <w:cols w:equalWidth="0" w:num="1">
            <w:col w:w="11240"/>
          </w:cols>
          <w:pgMar w:left="320" w:top="1097" w:right="339" w:bottom="1440" w:gutter="0" w:footer="0" w:header="0"/>
        </w:sectPr>
      </w:pPr>
    </w:p>
    <w:p>
      <w:pPr>
        <w:ind w:left="320" w:right="860" w:hanging="38"/>
        <w:spacing w:after="0" w:line="318" w:lineRule="auto"/>
        <w:rPr>
          <w:sz w:val="20"/>
          <w:szCs w:val="20"/>
          <w:color w:val="auto"/>
        </w:rPr>
      </w:pPr>
      <w:r>
        <w:rPr>
          <w:rFonts w:ascii="Arial" w:cs="Arial" w:eastAsia="Arial" w:hAnsi="Arial"/>
          <w:sz w:val="14"/>
          <w:szCs w:val="14"/>
          <w:color w:val="auto"/>
        </w:rPr>
        <w:t>50% cumulative corporate net income plus after-tax interest</w:t>
      </w:r>
    </w:p>
    <w:p>
      <w:pPr>
        <w:ind w:left="280"/>
        <w:spacing w:after="0"/>
        <w:rPr>
          <w:sz w:val="20"/>
          <w:szCs w:val="20"/>
          <w:color w:val="auto"/>
        </w:rPr>
      </w:pPr>
      <w:r>
        <w:rPr>
          <w:rFonts w:ascii="Arial" w:cs="Arial" w:eastAsia="Arial" w:hAnsi="Arial"/>
          <w:sz w:val="14"/>
          <w:szCs w:val="14"/>
          <w:color w:val="auto"/>
        </w:rPr>
        <w:t>25% cumulative corporate revenue</w:t>
      </w:r>
    </w:p>
    <w:p>
      <w:pPr>
        <w:spacing w:after="0" w:line="200" w:lineRule="exact"/>
        <w:rPr>
          <w:sz w:val="20"/>
          <w:szCs w:val="20"/>
          <w:color w:val="auto"/>
        </w:rPr>
      </w:pPr>
    </w:p>
    <w:p>
      <w:pPr>
        <w:spacing w:after="0" w:line="22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25% corporate working capital as a % of sales</w:t>
      </w:r>
    </w:p>
    <w:p>
      <w:pPr>
        <w:spacing w:after="0" w:line="159" w:lineRule="exact"/>
        <w:rPr>
          <w:sz w:val="20"/>
          <w:szCs w:val="20"/>
          <w:color w:val="auto"/>
        </w:rPr>
      </w:pPr>
    </w:p>
    <w:p>
      <w:pPr>
        <w:ind w:left="280" w:right="80"/>
        <w:spacing w:after="0" w:line="288" w:lineRule="auto"/>
        <w:rPr>
          <w:sz w:val="20"/>
          <w:szCs w:val="20"/>
          <w:color w:val="auto"/>
        </w:rPr>
      </w:pPr>
      <w:r>
        <w:rPr>
          <w:rFonts w:ascii="Arial" w:cs="Arial" w:eastAsia="Arial" w:hAnsi="Arial"/>
          <w:sz w:val="14"/>
          <w:szCs w:val="14"/>
          <w:b w:val="1"/>
          <w:bCs w:val="1"/>
          <w:color w:val="auto"/>
        </w:rPr>
        <w:t>Fiscal 2023 to fiscal 2025 performance share award payout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160" w:type="dxa"/>
            <w:vAlign w:val="bottom"/>
            <w:vMerge w:val="restart"/>
          </w:tcPr>
          <w:p>
            <w:pPr>
              <w:jc w:val="right"/>
              <w:ind w:right="289"/>
              <w:spacing w:after="0"/>
              <w:rPr>
                <w:sz w:val="20"/>
                <w:szCs w:val="20"/>
                <w:color w:val="auto"/>
              </w:rPr>
            </w:pPr>
            <w:r>
              <w:rPr>
                <w:rFonts w:ascii="Arial" w:cs="Arial" w:eastAsia="Arial" w:hAnsi="Arial"/>
                <w:sz w:val="14"/>
                <w:szCs w:val="14"/>
                <w:color w:val="auto"/>
              </w:rPr>
              <w:t>$1,458,521</w:t>
            </w:r>
          </w:p>
        </w:tc>
        <w:tc>
          <w:tcPr>
            <w:tcW w:w="1540" w:type="dxa"/>
            <w:vAlign w:val="bottom"/>
            <w:vMerge w:val="restart"/>
          </w:tcPr>
          <w:p>
            <w:pPr>
              <w:jc w:val="right"/>
              <w:ind w:right="309"/>
              <w:spacing w:after="0"/>
              <w:rPr>
                <w:sz w:val="20"/>
                <w:szCs w:val="20"/>
                <w:color w:val="auto"/>
              </w:rPr>
            </w:pPr>
            <w:r>
              <w:rPr>
                <w:rFonts w:ascii="Arial" w:cs="Arial" w:eastAsia="Arial" w:hAnsi="Arial"/>
                <w:sz w:val="14"/>
                <w:szCs w:val="14"/>
                <w:color w:val="auto"/>
              </w:rPr>
              <w:t>$1,823,152</w:t>
            </w:r>
          </w:p>
        </w:tc>
        <w:tc>
          <w:tcPr>
            <w:tcW w:w="1360" w:type="dxa"/>
            <w:vAlign w:val="bottom"/>
            <w:vMerge w:val="restart"/>
          </w:tcPr>
          <w:p>
            <w:pPr>
              <w:jc w:val="right"/>
              <w:ind w:right="109"/>
              <w:spacing w:after="0"/>
              <w:rPr>
                <w:sz w:val="20"/>
                <w:szCs w:val="20"/>
                <w:color w:val="auto"/>
              </w:rPr>
            </w:pPr>
            <w:r>
              <w:rPr>
                <w:rFonts w:ascii="Arial" w:cs="Arial" w:eastAsia="Arial" w:hAnsi="Arial"/>
                <w:sz w:val="14"/>
                <w:szCs w:val="14"/>
                <w:color w:val="auto"/>
              </w:rPr>
              <w:t>$2,187,782</w:t>
            </w:r>
          </w:p>
        </w:tc>
        <w:tc>
          <w:tcPr>
            <w:tcW w:w="2140" w:type="dxa"/>
            <w:vAlign w:val="bottom"/>
          </w:tcPr>
          <w:p>
            <w:pPr>
              <w:jc w:val="center"/>
              <w:ind w:left="129"/>
              <w:spacing w:after="0"/>
              <w:rPr>
                <w:sz w:val="20"/>
                <w:szCs w:val="20"/>
                <w:color w:val="auto"/>
              </w:rPr>
            </w:pPr>
            <w:r>
              <w:rPr>
                <w:rFonts w:ascii="Arial" w:cs="Arial" w:eastAsia="Arial" w:hAnsi="Arial"/>
                <w:sz w:val="14"/>
                <w:szCs w:val="14"/>
                <w:color w:val="auto"/>
                <w:w w:val="99"/>
              </w:rPr>
              <w:t>$1,485,192</w:t>
            </w:r>
          </w:p>
        </w:tc>
        <w:tc>
          <w:tcPr>
            <w:tcW w:w="0" w:type="dxa"/>
            <w:vAlign w:val="bottom"/>
          </w:tcPr>
          <w:p>
            <w:pPr>
              <w:spacing w:after="0"/>
              <w:rPr>
                <w:sz w:val="1"/>
                <w:szCs w:val="1"/>
                <w:color w:val="auto"/>
              </w:rPr>
            </w:pPr>
          </w:p>
        </w:tc>
      </w:tr>
      <w:tr>
        <w:trPr>
          <w:trHeight w:val="82"/>
        </w:trPr>
        <w:tc>
          <w:tcPr>
            <w:tcW w:w="116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2140" w:type="dxa"/>
            <w:vAlign w:val="bottom"/>
            <w:vMerge w:val="restart"/>
          </w:tcPr>
          <w:p>
            <w:pPr>
              <w:jc w:val="center"/>
              <w:ind w:left="129"/>
              <w:spacing w:after="0"/>
              <w:rPr>
                <w:sz w:val="20"/>
                <w:szCs w:val="20"/>
                <w:color w:val="auto"/>
              </w:rPr>
            </w:pPr>
            <w:r>
              <w:rPr>
                <w:rFonts w:ascii="Arial" w:cs="Arial" w:eastAsia="Arial" w:hAnsi="Arial"/>
                <w:sz w:val="14"/>
                <w:szCs w:val="14"/>
                <w:color w:val="auto"/>
              </w:rPr>
              <w:t>(between threshold and target)</w:t>
            </w:r>
          </w:p>
        </w:tc>
        <w:tc>
          <w:tcPr>
            <w:tcW w:w="0" w:type="dxa"/>
            <w:vAlign w:val="bottom"/>
          </w:tcPr>
          <w:p>
            <w:pPr>
              <w:spacing w:after="0"/>
              <w:rPr>
                <w:sz w:val="1"/>
                <w:szCs w:val="1"/>
                <w:color w:val="auto"/>
              </w:rPr>
            </w:pPr>
          </w:p>
        </w:tc>
      </w:tr>
      <w:tr>
        <w:trPr>
          <w:trHeight w:val="107"/>
        </w:trPr>
        <w:tc>
          <w:tcPr>
            <w:tcW w:w="1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1160" w:type="dxa"/>
            <w:vAlign w:val="bottom"/>
            <w:vMerge w:val="restart"/>
          </w:tcPr>
          <w:p>
            <w:pPr>
              <w:jc w:val="right"/>
              <w:ind w:right="289"/>
              <w:spacing w:after="0"/>
              <w:rPr>
                <w:sz w:val="20"/>
                <w:szCs w:val="20"/>
                <w:color w:val="auto"/>
              </w:rPr>
            </w:pPr>
            <w:r>
              <w:rPr>
                <w:rFonts w:ascii="Arial" w:cs="Arial" w:eastAsia="Arial" w:hAnsi="Arial"/>
                <w:sz w:val="14"/>
                <w:szCs w:val="14"/>
                <w:color w:val="auto"/>
              </w:rPr>
              <w:t>$14,900,142</w:t>
            </w:r>
          </w:p>
        </w:tc>
        <w:tc>
          <w:tcPr>
            <w:tcW w:w="1540" w:type="dxa"/>
            <w:vAlign w:val="bottom"/>
            <w:vMerge w:val="restart"/>
          </w:tcPr>
          <w:p>
            <w:pPr>
              <w:jc w:val="right"/>
              <w:ind w:right="309"/>
              <w:spacing w:after="0"/>
              <w:rPr>
                <w:sz w:val="20"/>
                <w:szCs w:val="20"/>
                <w:color w:val="auto"/>
              </w:rPr>
            </w:pPr>
            <w:r>
              <w:rPr>
                <w:rFonts w:ascii="Arial" w:cs="Arial" w:eastAsia="Arial" w:hAnsi="Arial"/>
                <w:sz w:val="14"/>
                <w:szCs w:val="14"/>
                <w:color w:val="auto"/>
              </w:rPr>
              <w:t>$15,998,918</w:t>
            </w:r>
          </w:p>
        </w:tc>
        <w:tc>
          <w:tcPr>
            <w:tcW w:w="1360" w:type="dxa"/>
            <w:vAlign w:val="bottom"/>
            <w:vMerge w:val="restart"/>
          </w:tcPr>
          <w:p>
            <w:pPr>
              <w:jc w:val="right"/>
              <w:ind w:right="109"/>
              <w:spacing w:after="0"/>
              <w:rPr>
                <w:sz w:val="20"/>
                <w:szCs w:val="20"/>
                <w:color w:val="auto"/>
              </w:rPr>
            </w:pPr>
            <w:r>
              <w:rPr>
                <w:rFonts w:ascii="Arial" w:cs="Arial" w:eastAsia="Arial" w:hAnsi="Arial"/>
                <w:sz w:val="14"/>
                <w:szCs w:val="14"/>
                <w:color w:val="auto"/>
              </w:rPr>
              <w:t>$16,700,737</w:t>
            </w:r>
          </w:p>
        </w:tc>
        <w:tc>
          <w:tcPr>
            <w:tcW w:w="2140" w:type="dxa"/>
            <w:vAlign w:val="bottom"/>
          </w:tcPr>
          <w:p>
            <w:pPr>
              <w:jc w:val="center"/>
              <w:ind w:left="129"/>
              <w:spacing w:after="0"/>
              <w:rPr>
                <w:sz w:val="20"/>
                <w:szCs w:val="20"/>
                <w:color w:val="auto"/>
              </w:rPr>
            </w:pPr>
            <w:r>
              <w:rPr>
                <w:rFonts w:ascii="Arial" w:cs="Arial" w:eastAsia="Arial" w:hAnsi="Arial"/>
                <w:sz w:val="14"/>
                <w:szCs w:val="14"/>
                <w:color w:val="auto"/>
              </w:rPr>
              <w:t>$13,645,947</w:t>
            </w:r>
          </w:p>
        </w:tc>
        <w:tc>
          <w:tcPr>
            <w:tcW w:w="0" w:type="dxa"/>
            <w:vAlign w:val="bottom"/>
          </w:tcPr>
          <w:p>
            <w:pPr>
              <w:spacing w:after="0"/>
              <w:rPr>
                <w:sz w:val="1"/>
                <w:szCs w:val="1"/>
                <w:color w:val="auto"/>
              </w:rPr>
            </w:pPr>
          </w:p>
        </w:tc>
      </w:tr>
      <w:tr>
        <w:trPr>
          <w:trHeight w:val="122"/>
        </w:trPr>
        <w:tc>
          <w:tcPr>
            <w:tcW w:w="116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2140" w:type="dxa"/>
            <w:vAlign w:val="bottom"/>
            <w:vMerge w:val="restart"/>
          </w:tcPr>
          <w:p>
            <w:pPr>
              <w:jc w:val="center"/>
              <w:ind w:left="129"/>
              <w:spacing w:after="0"/>
              <w:rPr>
                <w:sz w:val="20"/>
                <w:szCs w:val="20"/>
                <w:color w:val="auto"/>
              </w:rPr>
            </w:pPr>
            <w:r>
              <w:rPr>
                <w:rFonts w:ascii="Arial" w:cs="Arial" w:eastAsia="Arial" w:hAnsi="Arial"/>
                <w:sz w:val="14"/>
                <w:szCs w:val="14"/>
                <w:color w:val="auto"/>
              </w:rPr>
              <w:t>(below threshold)</w:t>
            </w:r>
          </w:p>
        </w:tc>
        <w:tc>
          <w:tcPr>
            <w:tcW w:w="0" w:type="dxa"/>
            <w:vAlign w:val="bottom"/>
          </w:tcPr>
          <w:p>
            <w:pPr>
              <w:spacing w:after="0"/>
              <w:rPr>
                <w:sz w:val="1"/>
                <w:szCs w:val="1"/>
                <w:color w:val="auto"/>
              </w:rPr>
            </w:pPr>
          </w:p>
        </w:tc>
      </w:tr>
      <w:tr>
        <w:trPr>
          <w:trHeight w:val="67"/>
        </w:trPr>
        <w:tc>
          <w:tcPr>
            <w:tcW w:w="11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160" w:type="dxa"/>
            <w:vAlign w:val="bottom"/>
            <w:vMerge w:val="restart"/>
          </w:tcPr>
          <w:p>
            <w:pPr>
              <w:jc w:val="right"/>
              <w:ind w:right="289"/>
              <w:spacing w:after="0"/>
              <w:rPr>
                <w:sz w:val="20"/>
                <w:szCs w:val="20"/>
                <w:color w:val="auto"/>
              </w:rPr>
            </w:pPr>
            <w:r>
              <w:rPr>
                <w:rFonts w:ascii="Arial" w:cs="Arial" w:eastAsia="Arial" w:hAnsi="Arial"/>
                <w:sz w:val="14"/>
                <w:szCs w:val="14"/>
                <w:color w:val="auto"/>
              </w:rPr>
              <w:t>17.12 %</w:t>
            </w:r>
          </w:p>
        </w:tc>
        <w:tc>
          <w:tcPr>
            <w:tcW w:w="1540" w:type="dxa"/>
            <w:vAlign w:val="bottom"/>
            <w:vMerge w:val="restart"/>
          </w:tcPr>
          <w:p>
            <w:pPr>
              <w:jc w:val="right"/>
              <w:ind w:right="309"/>
              <w:spacing w:after="0"/>
              <w:rPr>
                <w:sz w:val="20"/>
                <w:szCs w:val="20"/>
                <w:color w:val="auto"/>
              </w:rPr>
            </w:pPr>
            <w:r>
              <w:rPr>
                <w:rFonts w:ascii="Arial" w:cs="Arial" w:eastAsia="Arial" w:hAnsi="Arial"/>
                <w:sz w:val="14"/>
                <w:szCs w:val="14"/>
                <w:color w:val="auto"/>
              </w:rPr>
              <w:t>15.56 %</w:t>
            </w:r>
          </w:p>
        </w:tc>
        <w:tc>
          <w:tcPr>
            <w:tcW w:w="1360" w:type="dxa"/>
            <w:vAlign w:val="bottom"/>
            <w:vMerge w:val="restart"/>
          </w:tcPr>
          <w:p>
            <w:pPr>
              <w:jc w:val="right"/>
              <w:ind w:right="109"/>
              <w:spacing w:after="0"/>
              <w:rPr>
                <w:sz w:val="20"/>
                <w:szCs w:val="20"/>
                <w:color w:val="auto"/>
              </w:rPr>
            </w:pPr>
            <w:r>
              <w:rPr>
                <w:rFonts w:ascii="Arial" w:cs="Arial" w:eastAsia="Arial" w:hAnsi="Arial"/>
                <w:sz w:val="14"/>
                <w:szCs w:val="14"/>
                <w:color w:val="auto"/>
              </w:rPr>
              <w:t>14.00 %</w:t>
            </w:r>
          </w:p>
        </w:tc>
        <w:tc>
          <w:tcPr>
            <w:tcW w:w="2140" w:type="dxa"/>
            <w:vAlign w:val="bottom"/>
          </w:tcPr>
          <w:p>
            <w:pPr>
              <w:jc w:val="center"/>
              <w:ind w:left="109"/>
              <w:spacing w:after="0"/>
              <w:rPr>
                <w:sz w:val="20"/>
                <w:szCs w:val="20"/>
                <w:color w:val="auto"/>
              </w:rPr>
            </w:pPr>
            <w:r>
              <w:rPr>
                <w:rFonts w:ascii="Arial" w:cs="Arial" w:eastAsia="Arial" w:hAnsi="Arial"/>
                <w:sz w:val="14"/>
                <w:szCs w:val="14"/>
                <w:color w:val="auto"/>
              </w:rPr>
              <w:t>26.13%</w:t>
            </w:r>
          </w:p>
        </w:tc>
        <w:tc>
          <w:tcPr>
            <w:tcW w:w="0" w:type="dxa"/>
            <w:vAlign w:val="bottom"/>
          </w:tcPr>
          <w:p>
            <w:pPr>
              <w:spacing w:after="0"/>
              <w:rPr>
                <w:sz w:val="1"/>
                <w:szCs w:val="1"/>
                <w:color w:val="auto"/>
              </w:rPr>
            </w:pPr>
          </w:p>
        </w:tc>
      </w:tr>
      <w:tr>
        <w:trPr>
          <w:trHeight w:val="82"/>
        </w:trPr>
        <w:tc>
          <w:tcPr>
            <w:tcW w:w="116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2140" w:type="dxa"/>
            <w:vAlign w:val="bottom"/>
            <w:vMerge w:val="restart"/>
          </w:tcPr>
          <w:p>
            <w:pPr>
              <w:jc w:val="center"/>
              <w:ind w:left="129"/>
              <w:spacing w:after="0"/>
              <w:rPr>
                <w:sz w:val="20"/>
                <w:szCs w:val="20"/>
                <w:color w:val="auto"/>
              </w:rPr>
            </w:pPr>
            <w:r>
              <w:rPr>
                <w:rFonts w:ascii="Arial" w:cs="Arial" w:eastAsia="Arial" w:hAnsi="Arial"/>
                <w:sz w:val="14"/>
                <w:szCs w:val="14"/>
                <w:color w:val="auto"/>
              </w:rPr>
              <w:t>(below threshold)</w:t>
            </w:r>
          </w:p>
        </w:tc>
        <w:tc>
          <w:tcPr>
            <w:tcW w:w="0" w:type="dxa"/>
            <w:vAlign w:val="bottom"/>
          </w:tcPr>
          <w:p>
            <w:pPr>
              <w:spacing w:after="0"/>
              <w:rPr>
                <w:sz w:val="1"/>
                <w:szCs w:val="1"/>
                <w:color w:val="auto"/>
              </w:rPr>
            </w:pPr>
          </w:p>
        </w:tc>
      </w:tr>
      <w:tr>
        <w:trPr>
          <w:trHeight w:val="107"/>
        </w:trPr>
        <w:tc>
          <w:tcPr>
            <w:tcW w:w="1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-588010</wp:posOffset>
            </wp:positionV>
            <wp:extent cx="6820535" cy="3219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20535" cy="321945"/>
                    </a:xfrm>
                    <a:prstGeom prst="rect">
                      <a:avLst/>
                    </a:prstGeom>
                    <a:noFill/>
                  </pic:spPr>
                </pic:pic>
              </a:graphicData>
            </a:graphic>
          </wp:anchor>
        </w:drawing>
        <w:drawing>
          <wp:anchor simplePos="0" relativeHeight="251657728" behindDoc="1" locked="0" layoutInCell="0" allowOverlap="1">
            <wp:simplePos x="0" y="0"/>
            <wp:positionH relativeFrom="column">
              <wp:posOffset>-2717165</wp:posOffset>
            </wp:positionH>
            <wp:positionV relativeFrom="paragraph">
              <wp:posOffset>4445</wp:posOffset>
            </wp:positionV>
            <wp:extent cx="6820535" cy="2374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20535" cy="237490"/>
                    </a:xfrm>
                    <a:prstGeom prst="rect">
                      <a:avLst/>
                    </a:prstGeom>
                    <a:noFill/>
                  </pic:spPr>
                </pic:pic>
              </a:graphicData>
            </a:graphic>
          </wp:anchor>
        </w:drawing>
      </w:r>
    </w:p>
    <w:p>
      <w:pPr>
        <w:spacing w:after="0" w:line="165" w:lineRule="exact"/>
        <w:rPr>
          <w:sz w:val="20"/>
          <w:szCs w:val="20"/>
          <w:color w:val="auto"/>
        </w:rPr>
      </w:pPr>
    </w:p>
    <w:p>
      <w:pPr>
        <w:ind w:left="4720"/>
        <w:spacing w:after="0"/>
        <w:rPr>
          <w:sz w:val="20"/>
          <w:szCs w:val="20"/>
          <w:color w:val="auto"/>
        </w:rPr>
      </w:pPr>
      <w:r>
        <w:rPr>
          <w:rFonts w:ascii="Arial" w:cs="Arial" w:eastAsia="Arial" w:hAnsi="Arial"/>
          <w:sz w:val="14"/>
          <w:szCs w:val="14"/>
          <w:b w:val="1"/>
          <w:bCs w:val="1"/>
          <w:color w:val="auto"/>
        </w:rPr>
        <w:t>22.2% of target</w:t>
      </w:r>
    </w:p>
    <w:p>
      <w:pPr>
        <w:spacing w:after="0" w:line="205" w:lineRule="exact"/>
        <w:rPr>
          <w:sz w:val="20"/>
          <w:szCs w:val="20"/>
          <w:color w:val="auto"/>
        </w:rPr>
      </w:pPr>
    </w:p>
    <w:p>
      <w:pPr>
        <w:sectPr>
          <w:pgSz w:w="11900" w:h="16838" w:orient="portrait"/>
          <w:cols w:equalWidth="0" w:num="2">
            <w:col w:w="3820" w:space="720"/>
            <w:col w:w="6700"/>
          </w:cols>
          <w:pgMar w:left="320" w:top="1097" w:right="339" w:bottom="1440" w:gutter="0" w:footer="0" w:header="0"/>
          <w:type w:val="continuous"/>
        </w:sectPr>
      </w:pPr>
    </w:p>
    <w:p>
      <w:pPr>
        <w:spacing w:after="0" w:line="247" w:lineRule="auto"/>
        <w:rPr>
          <w:sz w:val="20"/>
          <w:szCs w:val="20"/>
          <w:color w:val="auto"/>
        </w:rPr>
      </w:pPr>
      <w:r>
        <w:rPr>
          <w:rFonts w:ascii="Arial" w:cs="Arial" w:eastAsia="Arial" w:hAnsi="Arial"/>
          <w:sz w:val="17"/>
          <w:szCs w:val="17"/>
          <w:i w:val="1"/>
          <w:iCs w:val="1"/>
          <w:color w:val="auto"/>
        </w:rPr>
        <w:t xml:space="preserve">Target Total Direct Compensation. </w:t>
      </w:r>
      <w:r>
        <w:rPr>
          <w:rFonts w:ascii="Arial" w:cs="Arial" w:eastAsia="Arial" w:hAnsi="Arial"/>
          <w:sz w:val="17"/>
          <w:szCs w:val="17"/>
          <w:color w:val="auto"/>
        </w:rPr>
        <w:t>When analyzing compensation, we look at base salary, target total cash compensation and target total</w:t>
      </w:r>
      <w:r>
        <w:rPr>
          <w:rFonts w:ascii="Arial" w:cs="Arial" w:eastAsia="Arial" w:hAnsi="Arial"/>
          <w:sz w:val="17"/>
          <w:szCs w:val="17"/>
          <w:i w:val="1"/>
          <w:iCs w:val="1"/>
          <w:color w:val="auto"/>
        </w:rPr>
        <w:t xml:space="preserve"> </w:t>
      </w:r>
      <w:r>
        <w:rPr>
          <w:rFonts w:ascii="Arial" w:cs="Arial" w:eastAsia="Arial" w:hAnsi="Arial"/>
          <w:sz w:val="17"/>
          <w:szCs w:val="17"/>
          <w:color w:val="auto"/>
        </w:rPr>
        <w:t>direct compensation in comparison to the market 50</w:t>
      </w:r>
      <w:r>
        <w:rPr>
          <w:rFonts w:ascii="Arial" w:cs="Arial" w:eastAsia="Arial" w:hAnsi="Arial"/>
          <w:sz w:val="9"/>
          <w:szCs w:val="9"/>
          <w:color w:val="auto"/>
        </w:rPr>
        <w:t>th</w:t>
      </w:r>
      <w:r>
        <w:rPr>
          <w:rFonts w:ascii="Arial" w:cs="Arial" w:eastAsia="Arial" w:hAnsi="Arial"/>
          <w:sz w:val="17"/>
          <w:szCs w:val="17"/>
          <w:color w:val="auto"/>
        </w:rPr>
        <w:t xml:space="preserve"> percentile when establishing base salary levels, target annual cash incentive awards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long-term incentive awards. Actual value realized from long-term incentives is dependent on actual payout of performance share awards at the</w:t>
      </w:r>
    </w:p>
    <w:p>
      <w:pPr>
        <w:spacing w:after="0" w:line="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end of the three-year term, which is dependent on actual cumulative performance against established performance goals and the stock price at the time of exercise for stock option grants. For these reasons, it is difficult to assess actual total direct compensation on an annual basis in</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comparison to the market. This is also true given that market data may have changed significantly between the grant date and the date that actual long-term incentive results are fully realized.</w:t>
      </w:r>
    </w:p>
    <w:p>
      <w:pPr>
        <w:spacing w:after="0" w:line="5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Additionally, grant date fair value of long-term incentive awards as reflected in the Summary Compensation Table can vary significantly from the target long-term incentive value we use to calculate the number of performance share awards and stock options. This is because the grant</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date fair value is determined based on the value of our common stock on the grant date of the awards; whereas, we use a three-month average closing price of our common stock to convert the target long-term incentive values into the number of performance share awards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7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Despite these valuation and comparison challenges, we believe it is important to continue to review target total direct compensation when establishing long-term incentive grants. The fiscal 2025 target total direct compensation (sum of actual base salary, target annual cash</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incentive and target value of equity awards), for our NEOs is in the table below. For purposes of this calculation, the target value of equity awards does not include the September and October 2025 restricted stock unit awards granted to Mr. Funk and Messrs. Moeller and Janey.</w:t>
      </w:r>
    </w:p>
    <w:p>
      <w:pPr>
        <w:spacing w:after="0" w:line="131" w:lineRule="exact"/>
        <w:rPr>
          <w:sz w:val="20"/>
          <w:szCs w:val="20"/>
          <w:color w:val="auto"/>
        </w:rPr>
      </w:pPr>
    </w:p>
    <w:tbl>
      <w:tblPr>
        <w:tblLayout w:type="fixed"/>
        <w:tblInd w:w="3080" w:type="dxa"/>
        <w:tblCellMar>
          <w:top w:w="0" w:type="dxa"/>
          <w:left w:w="0" w:type="dxa"/>
          <w:bottom w:w="0" w:type="dxa"/>
          <w:right w:w="0" w:type="dxa"/>
        </w:tblCellMar>
      </w:tblPr>
      <w:tr>
        <w:trPr>
          <w:trHeight w:val="231"/>
        </w:trPr>
        <w:tc>
          <w:tcPr>
            <w:tcW w:w="1840" w:type="dxa"/>
            <w:vAlign w:val="bottom"/>
            <w:shd w:val="clear" w:color="auto" w:fill="BF2115"/>
          </w:tcPr>
          <w:p>
            <w:pPr>
              <w:spacing w:after="0"/>
              <w:rPr>
                <w:sz w:val="20"/>
                <w:szCs w:val="20"/>
                <w:color w:val="auto"/>
              </w:rPr>
            </w:pPr>
          </w:p>
        </w:tc>
        <w:tc>
          <w:tcPr>
            <w:tcW w:w="3260" w:type="dxa"/>
            <w:vAlign w:val="bottom"/>
            <w:shd w:val="clear" w:color="auto" w:fill="BF2115"/>
          </w:tcPr>
          <w:p>
            <w:pPr>
              <w:jc w:val="center"/>
              <w:ind w:left="283"/>
              <w:spacing w:after="0"/>
              <w:rPr>
                <w:sz w:val="20"/>
                <w:szCs w:val="20"/>
                <w:color w:val="auto"/>
              </w:rPr>
            </w:pPr>
            <w:r>
              <w:rPr>
                <w:rFonts w:ascii="Arial" w:cs="Arial" w:eastAsia="Arial" w:hAnsi="Arial"/>
                <w:sz w:val="14"/>
                <w:szCs w:val="14"/>
                <w:b w:val="1"/>
                <w:bCs w:val="1"/>
                <w:color w:val="FFFFFF"/>
                <w:w w:val="99"/>
              </w:rPr>
              <w:t>Fiscal 2025 Target Total</w:t>
            </w:r>
          </w:p>
        </w:tc>
      </w:tr>
      <w:tr>
        <w:trPr>
          <w:trHeight w:val="173"/>
        </w:trPr>
        <w:tc>
          <w:tcPr>
            <w:tcW w:w="1840" w:type="dxa"/>
            <w:vAlign w:val="bottom"/>
            <w:shd w:val="clear" w:color="auto" w:fill="BF2115"/>
          </w:tcPr>
          <w:p>
            <w:pPr>
              <w:spacing w:after="0"/>
              <w:rPr>
                <w:sz w:val="15"/>
                <w:szCs w:val="15"/>
                <w:color w:val="auto"/>
              </w:rPr>
            </w:pPr>
          </w:p>
        </w:tc>
        <w:tc>
          <w:tcPr>
            <w:tcW w:w="3260" w:type="dxa"/>
            <w:vAlign w:val="bottom"/>
            <w:shd w:val="clear" w:color="auto" w:fill="BF2115"/>
          </w:tcPr>
          <w:p>
            <w:pPr>
              <w:jc w:val="center"/>
              <w:ind w:left="283"/>
              <w:spacing w:after="0"/>
              <w:rPr>
                <w:sz w:val="20"/>
                <w:szCs w:val="20"/>
                <w:color w:val="auto"/>
              </w:rPr>
            </w:pPr>
            <w:r>
              <w:rPr>
                <w:rFonts w:ascii="Arial" w:cs="Arial" w:eastAsia="Arial" w:hAnsi="Arial"/>
                <w:sz w:val="14"/>
                <w:szCs w:val="14"/>
                <w:b w:val="1"/>
                <w:bCs w:val="1"/>
                <w:color w:val="FFFFFF"/>
              </w:rPr>
              <w:t>Direct Compensation</w:t>
            </w:r>
          </w:p>
        </w:tc>
      </w:tr>
      <w:tr>
        <w:trPr>
          <w:trHeight w:val="196"/>
        </w:trPr>
        <w:tc>
          <w:tcPr>
            <w:tcW w:w="184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3260" w:type="dxa"/>
            <w:vAlign w:val="bottom"/>
            <w:shd w:val="clear" w:color="auto" w:fill="BF2115"/>
          </w:tcPr>
          <w:p>
            <w:pPr>
              <w:jc w:val="center"/>
              <w:ind w:left="283"/>
              <w:spacing w:after="0"/>
              <w:rPr>
                <w:sz w:val="20"/>
                <w:szCs w:val="20"/>
                <w:color w:val="auto"/>
              </w:rPr>
            </w:pPr>
            <w:r>
              <w:rPr>
                <w:rFonts w:ascii="Arial" w:cs="Arial" w:eastAsia="Arial" w:hAnsi="Arial"/>
                <w:sz w:val="14"/>
                <w:szCs w:val="14"/>
                <w:b w:val="1"/>
                <w:bCs w:val="1"/>
                <w:color w:val="FFFFFF"/>
              </w:rPr>
              <w:t>($)</w:t>
            </w:r>
          </w:p>
        </w:tc>
      </w:tr>
      <w:tr>
        <w:trPr>
          <w:trHeight w:val="211"/>
        </w:trPr>
        <w:tc>
          <w:tcPr>
            <w:tcW w:w="1840" w:type="dxa"/>
            <w:vAlign w:val="bottom"/>
          </w:tcPr>
          <w:p>
            <w:pPr>
              <w:ind w:left="20"/>
              <w:spacing w:after="0"/>
              <w:rPr>
                <w:sz w:val="20"/>
                <w:szCs w:val="20"/>
                <w:color w:val="auto"/>
              </w:rPr>
            </w:pPr>
            <w:r>
              <w:rPr>
                <w:rFonts w:ascii="Arial" w:cs="Arial" w:eastAsia="Arial" w:hAnsi="Arial"/>
                <w:sz w:val="16"/>
                <w:szCs w:val="16"/>
                <w:color w:val="auto"/>
              </w:rPr>
              <w:t>Mr. Olson</w:t>
            </w:r>
          </w:p>
        </w:tc>
        <w:tc>
          <w:tcPr>
            <w:tcW w:w="3260" w:type="dxa"/>
            <w:vAlign w:val="bottom"/>
          </w:tcPr>
          <w:p>
            <w:pPr>
              <w:jc w:val="right"/>
              <w:spacing w:after="0"/>
              <w:rPr>
                <w:sz w:val="20"/>
                <w:szCs w:val="20"/>
                <w:color w:val="auto"/>
              </w:rPr>
            </w:pPr>
            <w:r>
              <w:rPr>
                <w:rFonts w:ascii="Arial" w:cs="Arial" w:eastAsia="Arial" w:hAnsi="Arial"/>
                <w:sz w:val="16"/>
                <w:szCs w:val="16"/>
                <w:color w:val="auto"/>
              </w:rPr>
              <w:t>8,729,000</w:t>
            </w:r>
          </w:p>
        </w:tc>
      </w:tr>
      <w:tr>
        <w:trPr>
          <w:trHeight w:val="29"/>
        </w:trPr>
        <w:tc>
          <w:tcPr>
            <w:tcW w:w="1840" w:type="dxa"/>
            <w:vAlign w:val="bottom"/>
          </w:tcPr>
          <w:p>
            <w:pPr>
              <w:spacing w:after="0"/>
              <w:rPr>
                <w:sz w:val="2"/>
                <w:szCs w:val="2"/>
                <w:color w:val="auto"/>
              </w:rPr>
            </w:pPr>
          </w:p>
        </w:tc>
        <w:tc>
          <w:tcPr>
            <w:tcW w:w="3260" w:type="dxa"/>
            <w:vAlign w:val="bottom"/>
          </w:tcPr>
          <w:p>
            <w:pPr>
              <w:spacing w:after="0"/>
              <w:rPr>
                <w:sz w:val="2"/>
                <w:szCs w:val="2"/>
                <w:color w:val="auto"/>
              </w:rPr>
            </w:pPr>
          </w:p>
        </w:tc>
      </w:tr>
      <w:tr>
        <w:trPr>
          <w:trHeight w:val="220"/>
        </w:trPr>
        <w:tc>
          <w:tcPr>
            <w:tcW w:w="18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Drake</w:t>
            </w:r>
          </w:p>
        </w:tc>
        <w:tc>
          <w:tcPr>
            <w:tcW w:w="3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2,533,600</w:t>
            </w:r>
          </w:p>
        </w:tc>
      </w:tr>
      <w:tr>
        <w:trPr>
          <w:trHeight w:val="211"/>
        </w:trPr>
        <w:tc>
          <w:tcPr>
            <w:tcW w:w="1840" w:type="dxa"/>
            <w:vAlign w:val="bottom"/>
          </w:tcPr>
          <w:p>
            <w:pPr>
              <w:ind w:left="20"/>
              <w:spacing w:after="0"/>
              <w:rPr>
                <w:sz w:val="20"/>
                <w:szCs w:val="20"/>
                <w:color w:val="auto"/>
              </w:rPr>
            </w:pPr>
            <w:r>
              <w:rPr>
                <w:rFonts w:ascii="Arial" w:cs="Arial" w:eastAsia="Arial" w:hAnsi="Arial"/>
                <w:sz w:val="16"/>
                <w:szCs w:val="16"/>
                <w:color w:val="auto"/>
              </w:rPr>
              <w:t>Mr. Funk</w:t>
            </w:r>
          </w:p>
        </w:tc>
        <w:tc>
          <w:tcPr>
            <w:tcW w:w="3260" w:type="dxa"/>
            <w:vAlign w:val="bottom"/>
          </w:tcPr>
          <w:p>
            <w:pPr>
              <w:jc w:val="right"/>
              <w:spacing w:after="0"/>
              <w:rPr>
                <w:sz w:val="20"/>
                <w:szCs w:val="20"/>
                <w:color w:val="auto"/>
              </w:rPr>
            </w:pPr>
            <w:r>
              <w:rPr>
                <w:rFonts w:ascii="Arial" w:cs="Arial" w:eastAsia="Arial" w:hAnsi="Arial"/>
                <w:sz w:val="16"/>
                <w:szCs w:val="16"/>
                <w:color w:val="auto"/>
              </w:rPr>
              <w:t>2,330,000</w:t>
            </w:r>
          </w:p>
        </w:tc>
      </w:tr>
      <w:tr>
        <w:trPr>
          <w:trHeight w:val="29"/>
        </w:trPr>
        <w:tc>
          <w:tcPr>
            <w:tcW w:w="1840" w:type="dxa"/>
            <w:vAlign w:val="bottom"/>
          </w:tcPr>
          <w:p>
            <w:pPr>
              <w:spacing w:after="0"/>
              <w:rPr>
                <w:sz w:val="2"/>
                <w:szCs w:val="2"/>
                <w:color w:val="auto"/>
              </w:rPr>
            </w:pPr>
          </w:p>
        </w:tc>
        <w:tc>
          <w:tcPr>
            <w:tcW w:w="3260" w:type="dxa"/>
            <w:vAlign w:val="bottom"/>
          </w:tcPr>
          <w:p>
            <w:pPr>
              <w:spacing w:after="0"/>
              <w:rPr>
                <w:sz w:val="2"/>
                <w:szCs w:val="2"/>
                <w:color w:val="auto"/>
              </w:rPr>
            </w:pPr>
          </w:p>
        </w:tc>
      </w:tr>
      <w:tr>
        <w:trPr>
          <w:trHeight w:val="220"/>
        </w:trPr>
        <w:tc>
          <w:tcPr>
            <w:tcW w:w="18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Mr. Moeller</w:t>
            </w:r>
          </w:p>
        </w:tc>
        <w:tc>
          <w:tcPr>
            <w:tcW w:w="3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1,791,000</w:t>
            </w:r>
          </w:p>
        </w:tc>
      </w:tr>
      <w:tr>
        <w:trPr>
          <w:trHeight w:val="211"/>
        </w:trPr>
        <w:tc>
          <w:tcPr>
            <w:tcW w:w="1840" w:type="dxa"/>
            <w:vAlign w:val="bottom"/>
          </w:tcPr>
          <w:p>
            <w:pPr>
              <w:ind w:left="20"/>
              <w:spacing w:after="0"/>
              <w:rPr>
                <w:sz w:val="20"/>
                <w:szCs w:val="20"/>
                <w:color w:val="auto"/>
              </w:rPr>
            </w:pPr>
            <w:r>
              <w:rPr>
                <w:rFonts w:ascii="Arial" w:cs="Arial" w:eastAsia="Arial" w:hAnsi="Arial"/>
                <w:sz w:val="16"/>
                <w:szCs w:val="16"/>
                <w:color w:val="auto"/>
              </w:rPr>
              <w:t>Mr. Janey</w:t>
            </w:r>
          </w:p>
        </w:tc>
        <w:tc>
          <w:tcPr>
            <w:tcW w:w="3260" w:type="dxa"/>
            <w:vAlign w:val="bottom"/>
          </w:tcPr>
          <w:p>
            <w:pPr>
              <w:jc w:val="right"/>
              <w:spacing w:after="0"/>
              <w:rPr>
                <w:sz w:val="20"/>
                <w:szCs w:val="20"/>
                <w:color w:val="auto"/>
              </w:rPr>
            </w:pPr>
            <w:r>
              <w:rPr>
                <w:rFonts w:ascii="Arial" w:cs="Arial" w:eastAsia="Arial" w:hAnsi="Arial"/>
                <w:sz w:val="16"/>
                <w:szCs w:val="16"/>
                <w:color w:val="auto"/>
              </w:rPr>
              <w:t>1,791,000</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and All Other Compensation</w:t>
      </w:r>
    </w:p>
    <w:p>
      <w:pPr>
        <w:spacing w:after="0" w:line="89"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 xml:space="preserve">Retirement Benefits. </w:t>
      </w:r>
      <w:r>
        <w:rPr>
          <w:rFonts w:ascii="Arial" w:cs="Arial" w:eastAsia="Arial" w:hAnsi="Arial"/>
          <w:sz w:val="18"/>
          <w:szCs w:val="18"/>
          <w:color w:val="auto"/>
        </w:rPr>
        <w:t>We believe that it is important to allow our employees, including our executive officers, the opportunity to save for</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through our Retirement Plan, which is our defined contribution plan. The majority of our U.S.-based employees participate in the</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Retirement Plan and certain of our subsidiaries participate in different retirement plans. For 2025, the Retirement Plan included a 401(k) plan with a Company match and an investment fund contribution that can be made at the discretion of the Company. Company contributions for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fiscal 2025 to our Retirement Plan on behalf of our NEOs can be found under "All Other Compensation for Fiscal 2025."</w:t>
      </w:r>
    </w:p>
    <w:p>
      <w:pPr>
        <w:spacing w:after="0" w:line="84"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To help ensure our executive officers' ability to provide financial security and save for retirement, we maintain three nonqualified deferred compensation plans, which include: The Toro Company Deferred Compensation Plan, or Deferred Plan, The Toro Company Deferred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Compensation Plan for Officers, or the Deferred Plan for Officers</w:t>
      </w:r>
    </w:p>
    <w:p>
      <w:pPr>
        <w:sectPr>
          <w:pgSz w:w="11900" w:h="16838" w:orient="portrait"/>
          <w:cols w:equalWidth="0" w:num="1">
            <w:col w:w="11240"/>
          </w:cols>
          <w:pgMar w:left="320" w:top="109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53" w:name="page54"/>
    <w:bookmarkEnd w:id="53"/>
    <w:p>
      <w:pPr>
        <w:spacing w:after="0" w:line="262" w:lineRule="auto"/>
        <w:rPr>
          <w:sz w:val="20"/>
          <w:szCs w:val="20"/>
          <w:color w:val="auto"/>
        </w:rPr>
      </w:pPr>
      <w:r>
        <w:rPr>
          <w:rFonts w:ascii="Arial" w:cs="Arial" w:eastAsia="Arial" w:hAnsi="Arial"/>
          <w:sz w:val="18"/>
          <w:szCs w:val="18"/>
          <w:color w:val="auto"/>
        </w:rPr>
        <w:t>and The Toro Company Supplemental Benefit Plan, or Supplemental Benefit Plan. These plans, which are unsecured and unfunded, are described under "Nonqualified Deferred Compensation for Fiscal 2025."</w:t>
      </w:r>
    </w:p>
    <w:p>
      <w:pPr>
        <w:spacing w:after="0" w:line="42"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Perquisites</w:t>
      </w:r>
      <w:r>
        <w:rPr>
          <w:rFonts w:ascii="Arial" w:cs="Arial" w:eastAsia="Arial" w:hAnsi="Arial"/>
          <w:sz w:val="18"/>
          <w:szCs w:val="18"/>
          <w:color w:val="auto"/>
        </w:rPr>
        <w:t>. The limited perquisites provided during fiscal 2025 to our executive officers are described in "All Other Compensation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2025." We believe these perquisites are an important part of our overall compensation package and help us attract, retain and reward top</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executive talent. Specifically, we believe that these perquisites assist in promoting the financial security and health of our executive officers and encourage the use and promotion of our products.</w:t>
      </w:r>
    </w:p>
    <w:p>
      <w:pPr>
        <w:spacing w:after="0" w:line="72" w:lineRule="exact"/>
        <w:rPr>
          <w:sz w:val="20"/>
          <w:szCs w:val="20"/>
          <w:color w:val="auto"/>
        </w:rPr>
      </w:pPr>
    </w:p>
    <w:p>
      <w:pPr>
        <w:ind w:firstLine="388"/>
        <w:spacing w:after="0" w:line="264" w:lineRule="auto"/>
        <w:rPr>
          <w:sz w:val="20"/>
          <w:szCs w:val="20"/>
          <w:color w:val="auto"/>
        </w:rPr>
      </w:pPr>
      <w:r>
        <w:rPr>
          <w:rFonts w:ascii="Arial" w:cs="Arial" w:eastAsia="Arial" w:hAnsi="Arial"/>
          <w:sz w:val="18"/>
          <w:szCs w:val="18"/>
          <w:i w:val="1"/>
          <w:iCs w:val="1"/>
          <w:color w:val="auto"/>
        </w:rPr>
        <w:t>Charitable Giving</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support charitable organizations for our employees through our matching gift program of up to $3,000 per year per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4" w:name="page55"/>
    <w:bookmarkEnd w:id="54"/>
    <w:p>
      <w:pPr>
        <w:spacing w:after="0"/>
        <w:rPr>
          <w:sz w:val="20"/>
          <w:szCs w:val="20"/>
          <w:color w:val="auto"/>
        </w:rPr>
      </w:pPr>
      <w:r>
        <w:rPr>
          <w:rFonts w:ascii="Arial" w:cs="Arial" w:eastAsia="Arial" w:hAnsi="Arial"/>
          <w:sz w:val="20"/>
          <w:szCs w:val="20"/>
          <w:b w:val="1"/>
          <w:bCs w:val="1"/>
          <w:color w:val="C00000"/>
        </w:rPr>
        <w:t>Employment, Severance and Change in Control Arrangements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None of our executive officers have any employment or severance agreements or arrangements other than as provided for in our Change-in-</w:t>
      </w:r>
    </w:p>
    <w:p>
      <w:pPr>
        <w:spacing w:after="0" w:line="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Control (CIC) policy and other than certain change in control provisions in our equity plans. Accordingly, our executive officers do not have the right to cash severance or additional benefits in connection with a termination of employment except in connection with a change in control of</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our Company as described under "Potential Payments Upon Termination or Change in Control." Each executive officer is a party to our standard confidentiality, invention and non-compete agreement.</w:t>
      </w:r>
    </w:p>
    <w:p>
      <w:pPr>
        <w:spacing w:after="0" w:line="5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believe our CIC policy and other change in control arrangements are important because they provide retention incentives and additional monetary motivation to complete a transaction that the Board believes is in the best interests of our Company and stockholders. We believe it</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is in the best interests of our Company and our stockholders to assure that we will have the continued dedication of our executives, notwithstanding the possibility, threat or occurrence of a change in control. We also believe it is imperative to diminish any distraction of our</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executives by virtue of the personal uncertainties and risks, including personal financial risks, created by a pending or threatened change in control of the Company.</w:t>
      </w:r>
    </w:p>
    <w:p>
      <w:pPr>
        <w:spacing w:after="0" w:line="5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Our CIC policy incorporates a "double trigger" mechanism and provides for a severance payment for an executive officer if within three years after a change in control an executive officer's employment is terminated by us without just cause or the executive officer terminates his or her</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employment for good reason, or if such termination occurs at the request of a third party who had taken steps reasonably calculated to effect the change in control. Our CIC policy does not provide a "gross-up" for 280G excise taxes and, as a condition to the payment of any severance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payment, the executive officer must execute a release of claims against us.</w:t>
      </w:r>
    </w:p>
    <w:p>
      <w:pPr>
        <w:spacing w:after="0" w:line="84"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In addition to our CIC policy, we also have change in control provisions in our 2022 Plan and prior equity plans and individual award agreements that apply to our executives, as well as other employees, that provide for immediate vesting acceleration upon a change in control.</w:t>
      </w:r>
    </w:p>
    <w:p>
      <w:pPr>
        <w:spacing w:after="0" w:line="232" w:lineRule="auto"/>
        <w:rPr>
          <w:sz w:val="20"/>
          <w:szCs w:val="20"/>
          <w:color w:val="auto"/>
        </w:rPr>
      </w:pPr>
      <w:r>
        <w:rPr>
          <w:rFonts w:ascii="Arial" w:cs="Arial" w:eastAsia="Arial" w:hAnsi="Arial"/>
          <w:sz w:val="18"/>
          <w:szCs w:val="18"/>
          <w:color w:val="auto"/>
        </w:rPr>
        <w:t>More information regarding these provisions is also provided under "Potential Payments Upon Termination or Change in Control—Change in</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Control." Because the immediate vesting of stock options, restricted stock units and certain other awards is triggered by the change in control itself, and is not dependent upon a termination of employment within a certain protection period, these acceleration provisions are known as a</w:t>
      </w:r>
    </w:p>
    <w:p>
      <w:pPr>
        <w:spacing w:after="0" w:line="233" w:lineRule="auto"/>
        <w:rPr>
          <w:sz w:val="20"/>
          <w:szCs w:val="20"/>
          <w:color w:val="auto"/>
        </w:rPr>
      </w:pPr>
      <w:r>
        <w:rPr>
          <w:rFonts w:ascii="Arial" w:cs="Arial" w:eastAsia="Arial" w:hAnsi="Arial"/>
          <w:sz w:val="18"/>
          <w:szCs w:val="18"/>
          <w:color w:val="auto"/>
        </w:rPr>
        <w:t>"single trigger" change in control arrangements. We believe these "single trigger" change in control arrangements for equity awards provide</w:t>
      </w:r>
    </w:p>
    <w:p>
      <w:pPr>
        <w:spacing w:after="0" w:line="224" w:lineRule="auto"/>
        <w:rPr>
          <w:sz w:val="20"/>
          <w:szCs w:val="20"/>
          <w:color w:val="auto"/>
        </w:rPr>
      </w:pPr>
      <w:r>
        <w:rPr>
          <w:rFonts w:ascii="Arial" w:cs="Arial" w:eastAsia="Arial" w:hAnsi="Arial"/>
          <w:sz w:val="18"/>
          <w:szCs w:val="18"/>
          <w:color w:val="auto"/>
        </w:rPr>
        <w:t>important retention incentives during what can often be an uncertain time for employees and provide executives with additional monetary motivation to focus on and complete a transaction that our Board believes is in the best interests of our stockholders rather than seeking new</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employment opportunities. If an executive were to leave prior to the completion of the change in control, non-vested options or other awards held by the executive would terminate.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Committee reviews our change of control arrangements periodically to ensure that they remain appropriate.</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Stock Ownership Guidelines</w:t>
      </w:r>
    </w:p>
    <w:p>
      <w:pPr>
        <w:spacing w:after="0" w:line="97"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We maintain stock ownership guidelines to align the interests of our NEOs with those of our stockholders. Effective in January 2024, our stock ownership guidelines were amended to require that executive officers hold a number of shares as shown in the table below until the guideline</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multiple is met. Our previous guidelines did not have a holding requirement, but required executive officers to reach the specified number of shares within five years of the date of hire or promotion. In addition, the multiple for the Chairman and CEO was increased from 5x to 6x.</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1656715</wp:posOffset>
            </wp:positionH>
            <wp:positionV relativeFrom="paragraph">
              <wp:posOffset>-115570</wp:posOffset>
            </wp:positionV>
            <wp:extent cx="3837940" cy="3048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37940" cy="30480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p>
      <w:pPr>
        <w:spacing w:after="0" w:line="56"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FFFFFF"/>
        </w:rPr>
        <w:t>Chairman and CEO</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Other Executive Officers</w:t>
      </w:r>
    </w:p>
    <w:p>
      <w:pPr>
        <w:spacing w:after="0" w:line="67" w:lineRule="exact"/>
        <w:rPr>
          <w:sz w:val="20"/>
          <w:szCs w:val="20"/>
          <w:color w:val="auto"/>
        </w:rPr>
      </w:pPr>
    </w:p>
    <w:p>
      <w:pPr>
        <w:sectPr>
          <w:pgSz w:w="11900" w:h="16838" w:orient="portrait"/>
          <w:cols w:equalWidth="0" w:num="2">
            <w:col w:w="5360" w:space="720"/>
            <w:col w:w="5160"/>
          </w:cols>
          <w:pgMar w:left="320" w:top="1157" w:right="339" w:bottom="1440" w:gutter="0" w:footer="0" w:header="0"/>
          <w:type w:val="continuous"/>
        </w:sectPr>
      </w:pPr>
    </w:p>
    <w:p>
      <w:pPr>
        <w:ind w:left="3200"/>
        <w:spacing w:after="0"/>
        <w:rPr>
          <w:sz w:val="20"/>
          <w:szCs w:val="20"/>
          <w:color w:val="auto"/>
        </w:rPr>
      </w:pPr>
      <w:r>
        <w:rPr>
          <w:rFonts w:ascii="Arial" w:cs="Arial" w:eastAsia="Arial" w:hAnsi="Arial"/>
          <w:sz w:val="16"/>
          <w:szCs w:val="16"/>
          <w:color w:val="auto"/>
        </w:rPr>
        <w:t>6x annual base salary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3x annual base salary</w:t>
      </w:r>
    </w:p>
    <w:p>
      <w:pPr>
        <w:spacing w:after="0" w:line="200" w:lineRule="exact"/>
        <w:rPr>
          <w:sz w:val="20"/>
          <w:szCs w:val="20"/>
          <w:color w:val="auto"/>
        </w:rPr>
      </w:pPr>
    </w:p>
    <w:p>
      <w:pPr>
        <w:sectPr>
          <w:pgSz w:w="11900" w:h="16838" w:orient="portrait"/>
          <w:cols w:equalWidth="0" w:num="2">
            <w:col w:w="5500" w:space="720"/>
            <w:col w:w="5020"/>
          </w:cols>
          <w:pgMar w:left="320" w:top="1157" w:right="33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Anti-Hedging and Anti-Pledging</w:t>
      </w:r>
    </w:p>
    <w:p>
      <w:pPr>
        <w:spacing w:after="0" w:line="8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insider trading policy prohibits all officers, directors and employees of the Company from engaging in hedging or pledging of our securities, as described in more detail in "Executive Compensation—Anti-Hedging and Anti-Pledging Policies."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Tax Considerations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Code Section 162(m) imposes an annual deduction limit of $1 million on the amount of compensation paid to each "covered employee," which</w:t>
      </w:r>
    </w:p>
    <w:p>
      <w:pPr>
        <w:spacing w:after="0" w:line="2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includes our NEOs and certain other former NEOs. Compensation paid to our NEOs over this limit is nondeductible. While the Compensation &amp; Human Resources Committee considers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7"/>
          <w:szCs w:val="17"/>
          <w:color w:val="auto"/>
        </w:rPr>
        <w:t>deductibility as one of many factors in determining executive compensation, we will continue to structure our executive compensation program</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so that a significant portion of total executive compensation is linked to the performance of our Company even though amounts in excess of the Code Section 162(m) limit are not deductible.</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Risk Assessment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We determined that our compensation policies, practices and programs and related compensation governance structure work together to</w:t>
      </w:r>
    </w:p>
    <w:p>
      <w:pPr>
        <w:spacing w:after="0" w:line="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minimize exposure to excessive risk while appropriately pursuing growth, profitability and asset efficiency strategies and goals that emphasize stockholder value creation. In reaching such determination, we noted that: (i) base salaries for all office salaried employees are targeted within</w:t>
      </w:r>
    </w:p>
    <w:p>
      <w:pPr>
        <w:spacing w:after="0" w:line="233" w:lineRule="auto"/>
        <w:rPr>
          <w:sz w:val="20"/>
          <w:szCs w:val="20"/>
          <w:color w:val="auto"/>
        </w:rPr>
      </w:pPr>
      <w:r>
        <w:rPr>
          <w:rFonts w:ascii="Arial" w:cs="Arial" w:eastAsia="Arial" w:hAnsi="Arial"/>
          <w:sz w:val="18"/>
          <w:szCs w:val="18"/>
          <w:color w:val="auto"/>
        </w:rPr>
        <w:t>a competitive range of the market 50</w:t>
      </w:r>
      <w:r>
        <w:rPr>
          <w:rFonts w:ascii="Arial" w:cs="Arial" w:eastAsia="Arial" w:hAnsi="Arial"/>
          <w:sz w:val="10"/>
          <w:szCs w:val="10"/>
          <w:color w:val="auto"/>
        </w:rPr>
        <w:t>th</w:t>
      </w:r>
      <w:r>
        <w:rPr>
          <w:rFonts w:ascii="Arial" w:cs="Arial" w:eastAsia="Arial" w:hAnsi="Arial"/>
          <w:sz w:val="18"/>
          <w:szCs w:val="18"/>
          <w:color w:val="auto"/>
        </w:rPr>
        <w:t xml:space="preserve"> percentile, are not subject to performance risk and, for non-executive employees, constitute the largest</w:t>
      </w:r>
    </w:p>
    <w:p>
      <w:pPr>
        <w:jc w:val="both"/>
        <w:spacing w:after="0" w:line="224" w:lineRule="auto"/>
        <w:rPr>
          <w:sz w:val="20"/>
          <w:szCs w:val="20"/>
          <w:color w:val="auto"/>
        </w:rPr>
      </w:pPr>
      <w:r>
        <w:rPr>
          <w:rFonts w:ascii="Arial" w:cs="Arial" w:eastAsia="Arial" w:hAnsi="Arial"/>
          <w:sz w:val="18"/>
          <w:szCs w:val="18"/>
          <w:color w:val="auto"/>
        </w:rPr>
        <w:t>part of their total compensation; (ii) incentive or variable compensation awarded to our executive officers, which constitutes the largest part of their total compensation, is appropriately balanced between annual and long-term performance and cash and equity compensation, and</w:t>
      </w:r>
    </w:p>
    <w:p>
      <w:pPr>
        <w:spacing w:after="0" w:line="1"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utilizes performance measures and goals that are drivers of long-term success for our Company and our stockholders; and (iii) caps on performance-based awards are used.</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Clawback Policy and Provisions</w:t>
      </w:r>
    </w:p>
    <w:p>
      <w:pPr>
        <w:spacing w:after="0" w:line="8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maintain a robust clawback policy that not only conforms with the NYSE clawback rules that require the mandatory clawback of erroneously awarded compensation as mandated under the Dodd-Frank Wall Street Reform and Protection Act, but is much broader allowing for the clawback of incentive compensation, including time-based and performance-based equity-based compensation, upon the occurrence of certain additional events, including if a financial metric used to determine the vesting or payment of incentive compensation was calculated incorrectly, whether or not we are required to restate our financial statements, and without regard to whether such miscalculation was due to fraud or intentional misconduct or if an executive engages in egregious conduct that is substantially detrimental to the Company. In addition, our clawback policy applies not only to our current and former executive officers as required by the NYSE clawback rules, but also other employees at or above the senior managing director, general manager, or comparable level and such other employees who may from time to time be deemed subject to the policy by the Compensation &amp; Human Resources Committee.</w:t>
      </w:r>
    </w:p>
    <w:p>
      <w:pPr>
        <w:spacing w:after="0" w:line="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2022 Plan, prior equity plan and the related award agreements contain a clawback provision which provides that if, within one year after the termination of employment the participant is employed or retained by or renders services to a competitor, violates any confidentiality agreement or agreement governing the ownership or assignment of intellectual property rights or engages in any other conduct or act</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determined to be injurious, detrimental or prejudicial to any interest of our Company, all rights of such participant under the plan and any agreements evidencing an award then held by the participant will terminate and be forfeited and the Committee may require the executive to</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surrender and return to our Company any shares received, and/or to disgorge any profits or any other economic value made or realized by the participant during the period beginning one year prior to the participant's termination of employment or other service with our Company or any affiliate or subsidiary, in connection with any awards or any shares issued upon the exercise or vesting of any awards granted under such plan.</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Competitive Considerations and Use of Market Data</w:t>
      </w:r>
    </w:p>
    <w:p>
      <w:pPr>
        <w:spacing w:after="0" w:line="8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Since one of the objectives of our executive compensation program is to provide market competitive compensation opportunities, the Committee uses market data provided by Willis Towers Watson to help evaluate and make compensation decisions. Market data, which is</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size-adjusted, is provided by Willis Towers Watson through its executive compensation database, which includes roughly 550 participating companies. We believe that the market for our executive officer talent is not limited to the manufacturing industry; therefore, we do not focus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specifically on manufacturing companies within the database, nor do we identify a separate group of peer companies within the manufacturing</w:t>
      </w:r>
    </w:p>
    <w:p>
      <w:pPr>
        <w:spacing w:after="0" w:line="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industry for executive compensation purposes. The market data provided by Willis Towers Watson was in aggregate form and, therefore, individual data for participating companies in the survey was not considered when determining executive officer compensation in total or for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any individual officer or element.</w:t>
      </w:r>
    </w:p>
    <w:p>
      <w:pPr>
        <w:spacing w:after="0" w:line="84"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We typically target pay opportunities within a competitive range of the market 50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percentile for each element of compensation and in total; however, variance around the market 50</w:t>
      </w:r>
      <w:r>
        <w:rPr>
          <w:rFonts w:ascii="Arial" w:cs="Arial" w:eastAsia="Arial" w:hAnsi="Arial"/>
          <w:sz w:val="10"/>
          <w:szCs w:val="10"/>
          <w:color w:val="auto"/>
        </w:rPr>
        <w:t>th</w:t>
      </w:r>
      <w:r>
        <w:rPr>
          <w:rFonts w:ascii="Arial" w:cs="Arial" w:eastAsia="Arial" w:hAnsi="Arial"/>
          <w:sz w:val="18"/>
          <w:szCs w:val="18"/>
          <w:color w:val="auto"/>
        </w:rPr>
        <w:t xml:space="preserve"> percentile is dependent on a number of factors, including an executive's level of professional</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experience, the executive's duties and responsibilities, individual performance, future potential, tenure in the position, corporate and/or division performance, as applicable, internal pay comparisons, and outside market factors, including general economic and labor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6" w:name="page57"/>
    <w:bookmarkEnd w:id="56"/>
    <w:p>
      <w:pPr>
        <w:spacing w:after="0"/>
        <w:rPr>
          <w:sz w:val="20"/>
          <w:szCs w:val="20"/>
          <w:color w:val="auto"/>
        </w:rPr>
      </w:pPr>
      <w:r>
        <w:rPr>
          <w:rFonts w:ascii="Arial" w:cs="Arial" w:eastAsia="Arial" w:hAnsi="Arial"/>
          <w:sz w:val="20"/>
          <w:szCs w:val="20"/>
          <w:b w:val="1"/>
          <w:bCs w:val="1"/>
          <w:color w:val="C00000"/>
        </w:rPr>
        <w:t>How We Make Compensation Decisions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There are several elements to our executive compensation decision-making, which we believe allow us to most effectively implement our</w:t>
      </w:r>
    </w:p>
    <w:p>
      <w:pPr>
        <w:spacing w:after="0" w:line="9"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established compensation philosophy. The Committee, its independent external compensation consultant, and management all have a role in decision-making for executive compensation. The following table summarizes their roles and responsibilities.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960" w:type="dxa"/>
            <w:vAlign w:val="bottom"/>
            <w:tcBorders>
              <w:bottom w:val="single" w:sz="8" w:color="BFBFBF"/>
            </w:tcBorders>
            <w:shd w:val="clear" w:color="auto" w:fill="BF2115"/>
          </w:tcPr>
          <w:p>
            <w:pPr>
              <w:ind w:left="20"/>
              <w:spacing w:after="0"/>
              <w:rPr>
                <w:sz w:val="20"/>
                <w:szCs w:val="20"/>
                <w:color w:val="auto"/>
              </w:rPr>
            </w:pPr>
            <w:r>
              <w:rPr>
                <w:rFonts w:ascii="Arial" w:cs="Arial" w:eastAsia="Arial" w:hAnsi="Arial"/>
                <w:sz w:val="16"/>
                <w:szCs w:val="16"/>
                <w:b w:val="1"/>
                <w:bCs w:val="1"/>
                <w:color w:val="FFFFFF"/>
              </w:rPr>
              <w:t>Responsible Party</w:t>
            </w:r>
          </w:p>
        </w:tc>
        <w:tc>
          <w:tcPr>
            <w:tcW w:w="8280" w:type="dxa"/>
            <w:vAlign w:val="bottom"/>
            <w:gridSpan w:val="2"/>
            <w:shd w:val="clear" w:color="auto" w:fill="BF2115"/>
          </w:tcPr>
          <w:p>
            <w:pPr>
              <w:ind w:left="20"/>
              <w:spacing w:after="0"/>
              <w:rPr>
                <w:sz w:val="20"/>
                <w:szCs w:val="20"/>
                <w:color w:val="auto"/>
              </w:rPr>
            </w:pPr>
            <w:r>
              <w:rPr>
                <w:rFonts w:ascii="Arial" w:cs="Arial" w:eastAsia="Arial" w:hAnsi="Arial"/>
                <w:sz w:val="16"/>
                <w:szCs w:val="16"/>
                <w:b w:val="1"/>
                <w:bCs w:val="1"/>
                <w:color w:val="FFFFFF"/>
              </w:rPr>
              <w:t>Roles and Responsibilities</w:t>
            </w: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line="176" w:lineRule="exact"/>
              <w:rPr>
                <w:sz w:val="20"/>
                <w:szCs w:val="20"/>
                <w:color w:val="auto"/>
              </w:rPr>
            </w:pPr>
            <w:r>
              <w:rPr>
                <w:rFonts w:ascii="Arial" w:cs="Arial" w:eastAsia="Arial" w:hAnsi="Arial"/>
                <w:sz w:val="18"/>
                <w:szCs w:val="18"/>
                <w:color w:val="auto"/>
              </w:rPr>
              <w:t>Compensation &amp; Human Resources</w:t>
            </w:r>
          </w:p>
        </w:tc>
        <w:tc>
          <w:tcPr>
            <w:tcW w:w="120" w:type="dxa"/>
            <w:vAlign w:val="bottom"/>
          </w:tcPr>
          <w:p>
            <w:pPr>
              <w:ind w:left="20"/>
              <w:spacing w:after="0" w:line="177" w:lineRule="exact"/>
              <w:rPr>
                <w:sz w:val="20"/>
                <w:szCs w:val="20"/>
                <w:color w:val="auto"/>
              </w:rPr>
            </w:pPr>
            <w:r>
              <w:rPr>
                <w:rFonts w:ascii="Times New Roman" w:cs="Times New Roman" w:eastAsia="Times New Roman" w:hAnsi="Times New Roman"/>
                <w:sz w:val="16"/>
                <w:szCs w:val="16"/>
                <w:color w:val="auto"/>
              </w:rPr>
              <w:t>•</w:t>
            </w:r>
          </w:p>
        </w:tc>
        <w:tc>
          <w:tcPr>
            <w:tcW w:w="8160" w:type="dxa"/>
            <w:vAlign w:val="bottom"/>
          </w:tcPr>
          <w:p>
            <w:pPr>
              <w:ind w:left="60"/>
              <w:spacing w:after="0" w:line="176" w:lineRule="exact"/>
              <w:rPr>
                <w:sz w:val="20"/>
                <w:szCs w:val="20"/>
                <w:color w:val="auto"/>
              </w:rPr>
            </w:pPr>
            <w:r>
              <w:rPr>
                <w:rFonts w:ascii="Arial" w:cs="Arial" w:eastAsia="Arial" w:hAnsi="Arial"/>
                <w:sz w:val="18"/>
                <w:szCs w:val="18"/>
                <w:color w:val="auto"/>
              </w:rPr>
              <w:t>Oversees all aspects of our executive compensation program.</w:t>
            </w:r>
          </w:p>
        </w:tc>
        <w:tc>
          <w:tcPr>
            <w:tcW w:w="0" w:type="dxa"/>
            <w:vAlign w:val="bottom"/>
          </w:tcPr>
          <w:p>
            <w:pPr>
              <w:spacing w:after="0"/>
              <w:rPr>
                <w:sz w:val="1"/>
                <w:szCs w:val="1"/>
                <w:color w:val="auto"/>
              </w:rPr>
            </w:pPr>
          </w:p>
        </w:tc>
      </w:tr>
      <w:tr>
        <w:trPr>
          <w:trHeight w:val="190"/>
        </w:trPr>
        <w:tc>
          <w:tcPr>
            <w:tcW w:w="2960" w:type="dxa"/>
            <w:vAlign w:val="bottom"/>
          </w:tcPr>
          <w:p>
            <w:pPr>
              <w:ind w:left="20"/>
              <w:spacing w:after="0" w:line="190" w:lineRule="exact"/>
              <w:rPr>
                <w:sz w:val="20"/>
                <w:szCs w:val="20"/>
                <w:color w:val="auto"/>
              </w:rPr>
            </w:pPr>
            <w:r>
              <w:rPr>
                <w:rFonts w:ascii="Arial" w:cs="Arial" w:eastAsia="Arial" w:hAnsi="Arial"/>
                <w:sz w:val="18"/>
                <w:szCs w:val="18"/>
                <w:color w:val="auto"/>
              </w:rPr>
              <w:t>Committee</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160" w:type="dxa"/>
            <w:vAlign w:val="bottom"/>
          </w:tcPr>
          <w:p>
            <w:pPr>
              <w:ind w:left="60"/>
              <w:spacing w:after="0" w:line="190" w:lineRule="exact"/>
              <w:rPr>
                <w:sz w:val="20"/>
                <w:szCs w:val="20"/>
                <w:color w:val="auto"/>
              </w:rPr>
            </w:pPr>
            <w:r>
              <w:rPr>
                <w:rFonts w:ascii="Arial" w:cs="Arial" w:eastAsia="Arial" w:hAnsi="Arial"/>
                <w:sz w:val="18"/>
                <w:szCs w:val="18"/>
                <w:color w:val="auto"/>
              </w:rPr>
              <w:t>Annually reviews and approves our corporate goals and objectives relevant to Chairman and CEO</w:t>
            </w:r>
          </w:p>
        </w:tc>
        <w:tc>
          <w:tcPr>
            <w:tcW w:w="0" w:type="dxa"/>
            <w:vAlign w:val="bottom"/>
          </w:tcPr>
          <w:p>
            <w:pPr>
              <w:spacing w:after="0"/>
              <w:rPr>
                <w:sz w:val="1"/>
                <w:szCs w:val="1"/>
                <w:color w:val="auto"/>
              </w:rPr>
            </w:pPr>
          </w:p>
        </w:tc>
      </w:tr>
      <w:tr>
        <w:trPr>
          <w:trHeight w:val="197"/>
        </w:trPr>
        <w:tc>
          <w:tcPr>
            <w:tcW w:w="29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(Comprised solely of independent</w:t>
            </w:r>
          </w:p>
        </w:tc>
        <w:tc>
          <w:tcPr>
            <w:tcW w:w="120" w:type="dxa"/>
            <w:vAlign w:val="bottom"/>
          </w:tcPr>
          <w:p>
            <w:pPr>
              <w:spacing w:after="0"/>
              <w:rPr>
                <w:sz w:val="17"/>
                <w:szCs w:val="17"/>
                <w:color w:val="auto"/>
              </w:rPr>
            </w:pPr>
          </w:p>
        </w:tc>
        <w:tc>
          <w:tcPr>
            <w:tcW w:w="8160" w:type="dxa"/>
            <w:vAlign w:val="bottom"/>
          </w:tcPr>
          <w:p>
            <w:pPr>
              <w:ind w:left="60"/>
              <w:spacing w:after="0" w:line="196" w:lineRule="exact"/>
              <w:rPr>
                <w:sz w:val="20"/>
                <w:szCs w:val="20"/>
                <w:color w:val="auto"/>
              </w:rPr>
            </w:pPr>
            <w:r>
              <w:rPr>
                <w:rFonts w:ascii="Arial" w:cs="Arial" w:eastAsia="Arial" w:hAnsi="Arial"/>
                <w:sz w:val="18"/>
                <w:szCs w:val="18"/>
                <w:color w:val="auto"/>
              </w:rPr>
              <w:t>compensation.</w:t>
            </w:r>
          </w:p>
        </w:tc>
        <w:tc>
          <w:tcPr>
            <w:tcW w:w="0" w:type="dxa"/>
            <w:vAlign w:val="bottom"/>
          </w:tcPr>
          <w:p>
            <w:pPr>
              <w:spacing w:after="0"/>
              <w:rPr>
                <w:sz w:val="1"/>
                <w:szCs w:val="1"/>
                <w:color w:val="auto"/>
              </w:rPr>
            </w:pPr>
          </w:p>
        </w:tc>
      </w:tr>
      <w:tr>
        <w:trPr>
          <w:trHeight w:val="120"/>
        </w:trPr>
        <w:tc>
          <w:tcPr>
            <w:tcW w:w="2960" w:type="dxa"/>
            <w:vAlign w:val="bottom"/>
            <w:vMerge w:val="continue"/>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160" w:type="dxa"/>
            <w:vAlign w:val="bottom"/>
            <w:vMerge w:val="restart"/>
          </w:tcPr>
          <w:p>
            <w:pPr>
              <w:ind w:left="60"/>
              <w:spacing w:after="0"/>
              <w:rPr>
                <w:sz w:val="20"/>
                <w:szCs w:val="20"/>
                <w:color w:val="auto"/>
              </w:rPr>
            </w:pPr>
            <w:r>
              <w:rPr>
                <w:rFonts w:ascii="Arial" w:cs="Arial" w:eastAsia="Arial" w:hAnsi="Arial"/>
                <w:sz w:val="18"/>
                <w:szCs w:val="18"/>
                <w:color w:val="auto"/>
                <w:w w:val="98"/>
              </w:rPr>
              <w:t>Evaluates Chairman and CEO's performance in light of such goals and objectives, and determines and</w:t>
            </w: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line="177" w:lineRule="exact"/>
              <w:rPr>
                <w:sz w:val="20"/>
                <w:szCs w:val="20"/>
                <w:color w:val="auto"/>
              </w:rPr>
            </w:pPr>
            <w:r>
              <w:rPr>
                <w:rFonts w:ascii="Arial" w:cs="Arial" w:eastAsia="Arial" w:hAnsi="Arial"/>
                <w:sz w:val="18"/>
                <w:szCs w:val="18"/>
                <w:i w:val="1"/>
                <w:iCs w:val="1"/>
                <w:color w:val="auto"/>
              </w:rPr>
              <w:t>directors and reports to the Board of</w:t>
            </w:r>
          </w:p>
        </w:tc>
        <w:tc>
          <w:tcPr>
            <w:tcW w:w="120" w:type="dxa"/>
            <w:vAlign w:val="bottom"/>
            <w:vMerge w:val="continue"/>
          </w:tcPr>
          <w:p>
            <w:pPr>
              <w:spacing w:after="0"/>
              <w:rPr>
                <w:sz w:val="15"/>
                <w:szCs w:val="15"/>
                <w:color w:val="auto"/>
              </w:rPr>
            </w:pPr>
          </w:p>
        </w:tc>
        <w:tc>
          <w:tcPr>
            <w:tcW w:w="8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29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Directors)</w:t>
            </w:r>
          </w:p>
        </w:tc>
        <w:tc>
          <w:tcPr>
            <w:tcW w:w="120" w:type="dxa"/>
            <w:vAlign w:val="bottom"/>
          </w:tcPr>
          <w:p>
            <w:pPr>
              <w:spacing w:after="0"/>
              <w:rPr>
                <w:sz w:val="7"/>
                <w:szCs w:val="7"/>
                <w:color w:val="auto"/>
              </w:rPr>
            </w:pPr>
          </w:p>
        </w:tc>
        <w:tc>
          <w:tcPr>
            <w:tcW w:w="8160" w:type="dxa"/>
            <w:vAlign w:val="bottom"/>
          </w:tcPr>
          <w:p>
            <w:pPr>
              <w:ind w:left="60"/>
              <w:spacing w:after="0" w:line="90" w:lineRule="exact"/>
              <w:rPr>
                <w:sz w:val="20"/>
                <w:szCs w:val="20"/>
                <w:color w:val="auto"/>
              </w:rPr>
            </w:pPr>
            <w:r>
              <w:rPr>
                <w:rFonts w:ascii="Arial" w:cs="Arial" w:eastAsia="Arial" w:hAnsi="Arial"/>
                <w:sz w:val="10"/>
                <w:szCs w:val="10"/>
                <w:color w:val="auto"/>
              </w:rPr>
              <w:t>approves his compensation based on this evaluation, subject to ratification by the Board of Directors.</w:t>
            </w:r>
          </w:p>
        </w:tc>
        <w:tc>
          <w:tcPr>
            <w:tcW w:w="0" w:type="dxa"/>
            <w:vAlign w:val="bottom"/>
          </w:tcPr>
          <w:p>
            <w:pPr>
              <w:spacing w:after="0"/>
              <w:rPr>
                <w:sz w:val="1"/>
                <w:szCs w:val="1"/>
                <w:color w:val="auto"/>
              </w:rPr>
            </w:pPr>
          </w:p>
        </w:tc>
      </w:tr>
      <w:tr>
        <w:trPr>
          <w:trHeight w:val="166"/>
        </w:trPr>
        <w:tc>
          <w:tcPr>
            <w:tcW w:w="2960" w:type="dxa"/>
            <w:vAlign w:val="bottom"/>
            <w:vMerge w:val="continue"/>
          </w:tcPr>
          <w:p>
            <w:pPr>
              <w:spacing w:after="0"/>
              <w:rPr>
                <w:sz w:val="14"/>
                <w:szCs w:val="14"/>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160" w:type="dxa"/>
            <w:vAlign w:val="bottom"/>
            <w:vMerge w:val="restart"/>
          </w:tcPr>
          <w:p>
            <w:pPr>
              <w:ind w:left="60"/>
              <w:spacing w:after="0" w:line="201" w:lineRule="exact"/>
              <w:rPr>
                <w:sz w:val="20"/>
                <w:szCs w:val="20"/>
                <w:color w:val="auto"/>
              </w:rPr>
            </w:pPr>
            <w:r>
              <w:rPr>
                <w:rFonts w:ascii="Arial" w:cs="Arial" w:eastAsia="Arial" w:hAnsi="Arial"/>
                <w:sz w:val="18"/>
                <w:szCs w:val="18"/>
                <w:color w:val="auto"/>
                <w:w w:val="98"/>
              </w:rPr>
              <w:t>Reviews and approves all executive officer compensation, including base salary, annual cash incentive</w:t>
            </w:r>
          </w:p>
        </w:tc>
        <w:tc>
          <w:tcPr>
            <w:tcW w:w="0" w:type="dxa"/>
            <w:vAlign w:val="bottom"/>
          </w:tcPr>
          <w:p>
            <w:pPr>
              <w:spacing w:after="0"/>
              <w:rPr>
                <w:sz w:val="1"/>
                <w:szCs w:val="1"/>
                <w:color w:val="auto"/>
              </w:rPr>
            </w:pPr>
          </w:p>
        </w:tc>
      </w:tr>
      <w:tr>
        <w:trPr>
          <w:trHeight w:val="34"/>
        </w:trPr>
        <w:tc>
          <w:tcPr>
            <w:tcW w:w="296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8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60" w:type="dxa"/>
            <w:vAlign w:val="bottom"/>
          </w:tcPr>
          <w:p>
            <w:pPr>
              <w:ind w:left="60"/>
              <w:spacing w:after="0" w:line="201" w:lineRule="exact"/>
              <w:rPr>
                <w:sz w:val="20"/>
                <w:szCs w:val="20"/>
                <w:color w:val="auto"/>
              </w:rPr>
            </w:pPr>
            <w:r>
              <w:rPr>
                <w:rFonts w:ascii="Arial" w:cs="Arial" w:eastAsia="Arial" w:hAnsi="Arial"/>
                <w:sz w:val="18"/>
                <w:szCs w:val="18"/>
                <w:color w:val="auto"/>
              </w:rPr>
              <w:t>awards, long-term incentive awards and their payouts.</w:t>
            </w:r>
          </w:p>
        </w:tc>
        <w:tc>
          <w:tcPr>
            <w:tcW w:w="0" w:type="dxa"/>
            <w:vAlign w:val="bottom"/>
          </w:tcPr>
          <w:p>
            <w:pPr>
              <w:spacing w:after="0"/>
              <w:rPr>
                <w:sz w:val="1"/>
                <w:szCs w:val="1"/>
                <w:color w:val="auto"/>
              </w:rPr>
            </w:pPr>
          </w:p>
        </w:tc>
      </w:tr>
      <w:tr>
        <w:trPr>
          <w:trHeight w:val="187"/>
        </w:trPr>
        <w:tc>
          <w:tcPr>
            <w:tcW w:w="296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160" w:type="dxa"/>
            <w:vAlign w:val="bottom"/>
          </w:tcPr>
          <w:p>
            <w:pPr>
              <w:ind w:left="60"/>
              <w:spacing w:after="0" w:line="187" w:lineRule="exact"/>
              <w:rPr>
                <w:sz w:val="20"/>
                <w:szCs w:val="20"/>
                <w:color w:val="auto"/>
              </w:rPr>
            </w:pPr>
            <w:r>
              <w:rPr>
                <w:rFonts w:ascii="Arial" w:cs="Arial" w:eastAsia="Arial" w:hAnsi="Arial"/>
                <w:sz w:val="18"/>
                <w:szCs w:val="18"/>
                <w:color w:val="auto"/>
              </w:rPr>
              <w:t>Oversees our equity and incentive compensation plans and reviews and approves equity awards and</w:t>
            </w:r>
          </w:p>
        </w:tc>
        <w:tc>
          <w:tcPr>
            <w:tcW w:w="0" w:type="dxa"/>
            <w:vAlign w:val="bottom"/>
          </w:tcPr>
          <w:p>
            <w:pPr>
              <w:spacing w:after="0"/>
              <w:rPr>
                <w:sz w:val="1"/>
                <w:szCs w:val="1"/>
                <w:color w:val="auto"/>
              </w:rPr>
            </w:pPr>
          </w:p>
        </w:tc>
      </w:tr>
      <w:tr>
        <w:trPr>
          <w:trHeight w:val="200"/>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60" w:type="dxa"/>
            <w:vAlign w:val="bottom"/>
          </w:tcPr>
          <w:p>
            <w:pPr>
              <w:ind w:left="60"/>
              <w:spacing w:after="0" w:line="201" w:lineRule="exact"/>
              <w:rPr>
                <w:sz w:val="20"/>
                <w:szCs w:val="20"/>
                <w:color w:val="auto"/>
              </w:rPr>
            </w:pPr>
            <w:r>
              <w:rPr>
                <w:rFonts w:ascii="Arial" w:cs="Arial" w:eastAsia="Arial" w:hAnsi="Arial"/>
                <w:sz w:val="18"/>
                <w:szCs w:val="18"/>
                <w:color w:val="auto"/>
              </w:rPr>
              <w:t>executive incentive payouts.</w:t>
            </w:r>
          </w:p>
        </w:tc>
        <w:tc>
          <w:tcPr>
            <w:tcW w:w="0" w:type="dxa"/>
            <w:vAlign w:val="bottom"/>
          </w:tcPr>
          <w:p>
            <w:pPr>
              <w:spacing w:after="0"/>
              <w:rPr>
                <w:sz w:val="1"/>
                <w:szCs w:val="1"/>
                <w:color w:val="auto"/>
              </w:rPr>
            </w:pPr>
          </w:p>
        </w:tc>
      </w:tr>
      <w:tr>
        <w:trPr>
          <w:trHeight w:val="200"/>
        </w:trPr>
        <w:tc>
          <w:tcPr>
            <w:tcW w:w="296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160" w:type="dxa"/>
            <w:vAlign w:val="bottom"/>
          </w:tcPr>
          <w:p>
            <w:pPr>
              <w:ind w:left="60"/>
              <w:spacing w:after="0" w:line="201" w:lineRule="exact"/>
              <w:rPr>
                <w:sz w:val="20"/>
                <w:szCs w:val="20"/>
                <w:color w:val="auto"/>
              </w:rPr>
            </w:pPr>
            <w:r>
              <w:rPr>
                <w:rFonts w:ascii="Arial" w:cs="Arial" w:eastAsia="Arial" w:hAnsi="Arial"/>
                <w:sz w:val="18"/>
                <w:szCs w:val="18"/>
                <w:color w:val="auto"/>
              </w:rPr>
              <w:t>Reviews our incentive compensation arrangements to confirm that incentive pay does not encourage</w:t>
            </w:r>
          </w:p>
        </w:tc>
        <w:tc>
          <w:tcPr>
            <w:tcW w:w="0" w:type="dxa"/>
            <w:vAlign w:val="bottom"/>
          </w:tcPr>
          <w:p>
            <w:pPr>
              <w:spacing w:after="0"/>
              <w:rPr>
                <w:sz w:val="1"/>
                <w:szCs w:val="1"/>
                <w:color w:val="auto"/>
              </w:rPr>
            </w:pPr>
          </w:p>
        </w:tc>
      </w:tr>
      <w:tr>
        <w:trPr>
          <w:trHeight w:val="187"/>
        </w:trPr>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160" w:type="dxa"/>
            <w:vAlign w:val="bottom"/>
          </w:tcPr>
          <w:p>
            <w:pPr>
              <w:ind w:left="60"/>
              <w:spacing w:after="0" w:line="187" w:lineRule="exact"/>
              <w:rPr>
                <w:sz w:val="20"/>
                <w:szCs w:val="20"/>
                <w:color w:val="auto"/>
              </w:rPr>
            </w:pPr>
            <w:r>
              <w:rPr>
                <w:rFonts w:ascii="Arial" w:cs="Arial" w:eastAsia="Arial" w:hAnsi="Arial"/>
                <w:sz w:val="18"/>
                <w:szCs w:val="18"/>
                <w:color w:val="auto"/>
              </w:rPr>
              <w:t>unnecessary risk taking.</w:t>
            </w:r>
          </w:p>
        </w:tc>
        <w:tc>
          <w:tcPr>
            <w:tcW w:w="0" w:type="dxa"/>
            <w:vAlign w:val="bottom"/>
          </w:tcPr>
          <w:p>
            <w:pPr>
              <w:spacing w:after="0"/>
              <w:rPr>
                <w:sz w:val="1"/>
                <w:szCs w:val="1"/>
                <w:color w:val="auto"/>
              </w:rPr>
            </w:pPr>
          </w:p>
        </w:tc>
      </w:tr>
      <w:tr>
        <w:trPr>
          <w:trHeight w:val="200"/>
        </w:trPr>
        <w:tc>
          <w:tcPr>
            <w:tcW w:w="296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160" w:type="dxa"/>
            <w:vAlign w:val="bottom"/>
          </w:tcPr>
          <w:p>
            <w:pPr>
              <w:ind w:left="60"/>
              <w:spacing w:after="0" w:line="201" w:lineRule="exact"/>
              <w:rPr>
                <w:sz w:val="20"/>
                <w:szCs w:val="20"/>
                <w:color w:val="auto"/>
              </w:rPr>
            </w:pPr>
            <w:r>
              <w:rPr>
                <w:rFonts w:ascii="Arial" w:cs="Arial" w:eastAsia="Arial" w:hAnsi="Arial"/>
                <w:sz w:val="18"/>
                <w:szCs w:val="18"/>
                <w:color w:val="auto"/>
              </w:rPr>
              <w:t>Evaluates market competitiveness reviews of each executive officer's compensation (in total and by</w:t>
            </w:r>
          </w:p>
        </w:tc>
        <w:tc>
          <w:tcPr>
            <w:tcW w:w="0" w:type="dxa"/>
            <w:vAlign w:val="bottom"/>
          </w:tcPr>
          <w:p>
            <w:pPr>
              <w:spacing w:after="0"/>
              <w:rPr>
                <w:sz w:val="1"/>
                <w:szCs w:val="1"/>
                <w:color w:val="auto"/>
              </w:rPr>
            </w:pPr>
          </w:p>
        </w:tc>
      </w:tr>
      <w:tr>
        <w:trPr>
          <w:trHeight w:val="200"/>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60" w:type="dxa"/>
            <w:vAlign w:val="bottom"/>
          </w:tcPr>
          <w:p>
            <w:pPr>
              <w:ind w:left="60"/>
              <w:spacing w:after="0" w:line="201" w:lineRule="exact"/>
              <w:rPr>
                <w:sz w:val="20"/>
                <w:szCs w:val="20"/>
                <w:color w:val="auto"/>
              </w:rPr>
            </w:pPr>
            <w:r>
              <w:rPr>
                <w:rFonts w:ascii="Arial" w:cs="Arial" w:eastAsia="Arial" w:hAnsi="Arial"/>
                <w:sz w:val="18"/>
                <w:szCs w:val="18"/>
                <w:color w:val="auto"/>
              </w:rPr>
              <w:t>each individual element).</w:t>
            </w:r>
          </w:p>
        </w:tc>
        <w:tc>
          <w:tcPr>
            <w:tcW w:w="0" w:type="dxa"/>
            <w:vAlign w:val="bottom"/>
          </w:tcPr>
          <w:p>
            <w:pPr>
              <w:spacing w:after="0"/>
              <w:rPr>
                <w:sz w:val="1"/>
                <w:szCs w:val="1"/>
                <w:color w:val="auto"/>
              </w:rPr>
            </w:pPr>
          </w:p>
        </w:tc>
      </w:tr>
      <w:tr>
        <w:trPr>
          <w:trHeight w:val="187"/>
        </w:trPr>
        <w:tc>
          <w:tcPr>
            <w:tcW w:w="296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160" w:type="dxa"/>
            <w:vAlign w:val="bottom"/>
          </w:tcPr>
          <w:p>
            <w:pPr>
              <w:ind w:left="60"/>
              <w:spacing w:after="0" w:line="187" w:lineRule="exact"/>
              <w:rPr>
                <w:sz w:val="20"/>
                <w:szCs w:val="20"/>
                <w:color w:val="auto"/>
              </w:rPr>
            </w:pPr>
            <w:r>
              <w:rPr>
                <w:rFonts w:ascii="Arial" w:cs="Arial" w:eastAsia="Arial" w:hAnsi="Arial"/>
                <w:sz w:val="18"/>
                <w:szCs w:val="18"/>
                <w:color w:val="auto"/>
              </w:rPr>
              <w:t>Evaluates proposed changes to our executive compensation program.</w:t>
            </w:r>
          </w:p>
        </w:tc>
        <w:tc>
          <w:tcPr>
            <w:tcW w:w="0" w:type="dxa"/>
            <w:vAlign w:val="bottom"/>
          </w:tcPr>
          <w:p>
            <w:pPr>
              <w:spacing w:after="0"/>
              <w:rPr>
                <w:sz w:val="1"/>
                <w:szCs w:val="1"/>
                <w:color w:val="auto"/>
              </w:rPr>
            </w:pPr>
          </w:p>
        </w:tc>
      </w:tr>
      <w:tr>
        <w:trPr>
          <w:trHeight w:val="200"/>
        </w:trPr>
        <w:tc>
          <w:tcPr>
            <w:tcW w:w="296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160" w:type="dxa"/>
            <w:vAlign w:val="bottom"/>
          </w:tcPr>
          <w:p>
            <w:pPr>
              <w:ind w:left="60"/>
              <w:spacing w:after="0" w:line="201" w:lineRule="exact"/>
              <w:rPr>
                <w:sz w:val="20"/>
                <w:szCs w:val="20"/>
                <w:color w:val="auto"/>
              </w:rPr>
            </w:pPr>
            <w:r>
              <w:rPr>
                <w:rFonts w:ascii="Arial" w:cs="Arial" w:eastAsia="Arial" w:hAnsi="Arial"/>
                <w:sz w:val="18"/>
                <w:szCs w:val="18"/>
                <w:color w:val="auto"/>
              </w:rPr>
              <w:t>Has sole authority to hire consultants, approve their fees and determine the nature and scope of their</w:t>
            </w:r>
          </w:p>
        </w:tc>
        <w:tc>
          <w:tcPr>
            <w:tcW w:w="0" w:type="dxa"/>
            <w:vAlign w:val="bottom"/>
          </w:tcPr>
          <w:p>
            <w:pPr>
              <w:spacing w:after="0"/>
              <w:rPr>
                <w:sz w:val="1"/>
                <w:szCs w:val="1"/>
                <w:color w:val="auto"/>
              </w:rPr>
            </w:pPr>
          </w:p>
        </w:tc>
      </w:tr>
      <w:tr>
        <w:trPr>
          <w:trHeight w:val="233"/>
        </w:trPr>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160" w:type="dxa"/>
            <w:vAlign w:val="bottom"/>
          </w:tcPr>
          <w:p>
            <w:pPr>
              <w:ind w:left="60"/>
              <w:spacing w:after="0"/>
              <w:rPr>
                <w:sz w:val="20"/>
                <w:szCs w:val="20"/>
                <w:color w:val="auto"/>
              </w:rPr>
            </w:pPr>
            <w:r>
              <w:rPr>
                <w:rFonts w:ascii="Arial" w:cs="Arial" w:eastAsia="Arial" w:hAnsi="Arial"/>
                <w:sz w:val="18"/>
                <w:szCs w:val="18"/>
                <w:color w:val="auto"/>
              </w:rPr>
              <w:t>work.</w:t>
            </w:r>
          </w:p>
        </w:tc>
        <w:tc>
          <w:tcPr>
            <w:tcW w:w="0" w:type="dxa"/>
            <w:vAlign w:val="bottom"/>
          </w:tcPr>
          <w:p>
            <w:pPr>
              <w:spacing w:after="0"/>
              <w:rPr>
                <w:sz w:val="1"/>
                <w:szCs w:val="1"/>
                <w:color w:val="auto"/>
              </w:rPr>
            </w:pPr>
          </w:p>
        </w:tc>
      </w:tr>
      <w:tr>
        <w:trPr>
          <w:trHeight w:val="24"/>
        </w:trPr>
        <w:tc>
          <w:tcPr>
            <w:tcW w:w="3080" w:type="dxa"/>
            <w:vAlign w:val="bottom"/>
            <w:tcBorders>
              <w:bottom w:val="single" w:sz="8" w:color="BFBFBF"/>
            </w:tcBorders>
            <w:gridSpan w:val="2"/>
          </w:tcPr>
          <w:p>
            <w:pPr>
              <w:spacing w:after="0"/>
              <w:rPr>
                <w:sz w:val="2"/>
                <w:szCs w:val="2"/>
                <w:color w:val="auto"/>
              </w:rPr>
            </w:pPr>
          </w:p>
        </w:tc>
        <w:tc>
          <w:tcPr>
            <w:tcW w:w="8160" w:type="dxa"/>
            <w:vAlign w:val="bottom"/>
            <w:tcBorders>
              <w:bottom w:val="single" w:sz="8" w:color="BFBFBF"/>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8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 xml:space="preserve">Independent External Compensation </w:t>
            </w:r>
            <w:r>
              <w:rPr>
                <w:rFonts w:ascii="Times New Roman" w:cs="Times New Roman" w:eastAsia="Times New Roman" w:hAnsi="Times New Roman"/>
                <w:sz w:val="16"/>
                <w:szCs w:val="16"/>
                <w:color w:val="auto"/>
              </w:rPr>
              <w:t>•</w:t>
            </w:r>
          </w:p>
        </w:tc>
        <w:tc>
          <w:tcPr>
            <w:tcW w:w="8160" w:type="dxa"/>
            <w:vAlign w:val="bottom"/>
          </w:tcPr>
          <w:p>
            <w:pPr>
              <w:ind w:left="60"/>
              <w:spacing w:after="0" w:line="190" w:lineRule="exact"/>
              <w:rPr>
                <w:sz w:val="20"/>
                <w:szCs w:val="20"/>
                <w:color w:val="auto"/>
              </w:rPr>
            </w:pPr>
            <w:r>
              <w:rPr>
                <w:rFonts w:ascii="Arial" w:cs="Arial" w:eastAsia="Arial" w:hAnsi="Arial"/>
                <w:sz w:val="18"/>
                <w:szCs w:val="18"/>
                <w:color w:val="auto"/>
              </w:rPr>
              <w:t>Provides advice and guidance on the appropriateness and competitiveness of our executive</w:t>
            </w:r>
          </w:p>
        </w:tc>
        <w:tc>
          <w:tcPr>
            <w:tcW w:w="0" w:type="dxa"/>
            <w:vAlign w:val="bottom"/>
          </w:tcPr>
          <w:p>
            <w:pPr>
              <w:spacing w:after="0"/>
              <w:rPr>
                <w:sz w:val="1"/>
                <w:szCs w:val="1"/>
                <w:color w:val="auto"/>
              </w:rPr>
            </w:pPr>
          </w:p>
        </w:tc>
      </w:tr>
      <w:tr>
        <w:trPr>
          <w:trHeight w:val="187"/>
        </w:trPr>
        <w:tc>
          <w:tcPr>
            <w:tcW w:w="2960" w:type="dxa"/>
            <w:vAlign w:val="bottom"/>
          </w:tcPr>
          <w:p>
            <w:pPr>
              <w:ind w:left="20"/>
              <w:spacing w:after="0" w:line="187" w:lineRule="exact"/>
              <w:rPr>
                <w:sz w:val="20"/>
                <w:szCs w:val="20"/>
                <w:color w:val="auto"/>
              </w:rPr>
            </w:pPr>
            <w:r>
              <w:rPr>
                <w:rFonts w:ascii="Arial" w:cs="Arial" w:eastAsia="Arial" w:hAnsi="Arial"/>
                <w:sz w:val="18"/>
                <w:szCs w:val="18"/>
                <w:color w:val="auto"/>
              </w:rPr>
              <w:t>Consultant</w:t>
            </w:r>
          </w:p>
        </w:tc>
        <w:tc>
          <w:tcPr>
            <w:tcW w:w="120" w:type="dxa"/>
            <w:vAlign w:val="bottom"/>
          </w:tcPr>
          <w:p>
            <w:pPr>
              <w:spacing w:after="0"/>
              <w:rPr>
                <w:sz w:val="16"/>
                <w:szCs w:val="16"/>
                <w:color w:val="auto"/>
              </w:rPr>
            </w:pPr>
          </w:p>
        </w:tc>
        <w:tc>
          <w:tcPr>
            <w:tcW w:w="8160" w:type="dxa"/>
            <w:vAlign w:val="bottom"/>
          </w:tcPr>
          <w:p>
            <w:pPr>
              <w:ind w:left="60"/>
              <w:spacing w:after="0" w:line="187" w:lineRule="exact"/>
              <w:rPr>
                <w:sz w:val="20"/>
                <w:szCs w:val="20"/>
                <w:color w:val="auto"/>
              </w:rPr>
            </w:pPr>
            <w:r>
              <w:rPr>
                <w:rFonts w:ascii="Arial" w:cs="Arial" w:eastAsia="Arial" w:hAnsi="Arial"/>
                <w:sz w:val="18"/>
                <w:szCs w:val="18"/>
                <w:color w:val="auto"/>
              </w:rPr>
              <w:t>compensation program relative to our performance and market practice.</w:t>
            </w:r>
          </w:p>
        </w:tc>
        <w:tc>
          <w:tcPr>
            <w:tcW w:w="0" w:type="dxa"/>
            <w:vAlign w:val="bottom"/>
          </w:tcPr>
          <w:p>
            <w:pPr>
              <w:spacing w:after="0"/>
              <w:rPr>
                <w:sz w:val="1"/>
                <w:szCs w:val="1"/>
                <w:color w:val="auto"/>
              </w:rPr>
            </w:pPr>
          </w:p>
        </w:tc>
      </w:tr>
      <w:tr>
        <w:trPr>
          <w:trHeight w:val="200"/>
        </w:trPr>
        <w:tc>
          <w:tcPr>
            <w:tcW w:w="29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(Willis Towers Watson)</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160" w:type="dxa"/>
            <w:vAlign w:val="bottom"/>
          </w:tcPr>
          <w:p>
            <w:pPr>
              <w:ind w:left="60"/>
              <w:spacing w:after="0" w:line="201" w:lineRule="exact"/>
              <w:rPr>
                <w:sz w:val="20"/>
                <w:szCs w:val="20"/>
                <w:color w:val="auto"/>
              </w:rPr>
            </w:pPr>
            <w:r>
              <w:rPr>
                <w:rFonts w:ascii="Arial" w:cs="Arial" w:eastAsia="Arial" w:hAnsi="Arial"/>
                <w:sz w:val="18"/>
                <w:szCs w:val="18"/>
                <w:color w:val="auto"/>
              </w:rPr>
              <w:t>Reviews total compensation strategy and pay levels for executives.</w:t>
            </w:r>
          </w:p>
        </w:tc>
        <w:tc>
          <w:tcPr>
            <w:tcW w:w="0" w:type="dxa"/>
            <w:vAlign w:val="bottom"/>
          </w:tcPr>
          <w:p>
            <w:pPr>
              <w:spacing w:after="0"/>
              <w:rPr>
                <w:sz w:val="1"/>
                <w:szCs w:val="1"/>
                <w:color w:val="auto"/>
              </w:rPr>
            </w:pPr>
          </w:p>
        </w:tc>
      </w:tr>
      <w:tr>
        <w:trPr>
          <w:trHeight w:val="140"/>
        </w:trPr>
        <w:tc>
          <w:tcPr>
            <w:tcW w:w="2960" w:type="dxa"/>
            <w:vAlign w:val="bottom"/>
            <w:vMerge w:val="continue"/>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160" w:type="dxa"/>
            <w:vAlign w:val="bottom"/>
            <w:vMerge w:val="restart"/>
          </w:tcPr>
          <w:p>
            <w:pPr>
              <w:ind w:left="60"/>
              <w:spacing w:after="0" w:line="201" w:lineRule="exact"/>
              <w:rPr>
                <w:sz w:val="20"/>
                <w:szCs w:val="20"/>
                <w:color w:val="auto"/>
              </w:rPr>
            </w:pPr>
            <w:r>
              <w:rPr>
                <w:rFonts w:ascii="Arial" w:cs="Arial" w:eastAsia="Arial" w:hAnsi="Arial"/>
                <w:sz w:val="18"/>
                <w:szCs w:val="18"/>
                <w:color w:val="auto"/>
              </w:rPr>
              <w:t>Examines our executive compensation program to ensure that each element supports our business</w:t>
            </w:r>
          </w:p>
        </w:tc>
        <w:tc>
          <w:tcPr>
            <w:tcW w:w="0" w:type="dxa"/>
            <w:vAlign w:val="bottom"/>
          </w:tcPr>
          <w:p>
            <w:pPr>
              <w:spacing w:after="0"/>
              <w:rPr>
                <w:sz w:val="1"/>
                <w:szCs w:val="1"/>
                <w:color w:val="auto"/>
              </w:rPr>
            </w:pPr>
          </w:p>
        </w:tc>
      </w:tr>
      <w:tr>
        <w:trPr>
          <w:trHeight w:val="61"/>
        </w:trPr>
        <w:tc>
          <w:tcPr>
            <w:tcW w:w="29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960" w:type="dxa"/>
            <w:vAlign w:val="bottom"/>
          </w:tcPr>
          <w:p>
            <w:pPr>
              <w:ind w:left="20"/>
              <w:spacing w:after="0" w:line="190" w:lineRule="exact"/>
              <w:rPr>
                <w:sz w:val="20"/>
                <w:szCs w:val="20"/>
                <w:color w:val="auto"/>
              </w:rPr>
            </w:pPr>
            <w:r>
              <w:rPr>
                <w:rFonts w:ascii="Arial" w:cs="Arial" w:eastAsia="Arial" w:hAnsi="Arial"/>
                <w:sz w:val="18"/>
                <w:szCs w:val="18"/>
                <w:i w:val="1"/>
                <w:iCs w:val="1"/>
                <w:color w:val="auto"/>
              </w:rPr>
              <w:t>(Independent under NYSE listing</w:t>
            </w:r>
          </w:p>
        </w:tc>
        <w:tc>
          <w:tcPr>
            <w:tcW w:w="120" w:type="dxa"/>
            <w:vAlign w:val="bottom"/>
          </w:tcPr>
          <w:p>
            <w:pPr>
              <w:spacing w:after="0"/>
              <w:rPr>
                <w:sz w:val="16"/>
                <w:szCs w:val="16"/>
                <w:color w:val="auto"/>
              </w:rPr>
            </w:pPr>
          </w:p>
        </w:tc>
        <w:tc>
          <w:tcPr>
            <w:tcW w:w="8160" w:type="dxa"/>
            <w:vAlign w:val="bottom"/>
          </w:tcPr>
          <w:p>
            <w:pPr>
              <w:ind w:left="60"/>
              <w:spacing w:after="0" w:line="190" w:lineRule="exact"/>
              <w:rPr>
                <w:sz w:val="20"/>
                <w:szCs w:val="20"/>
                <w:color w:val="auto"/>
              </w:rPr>
            </w:pPr>
            <w:r>
              <w:rPr>
                <w:rFonts w:ascii="Arial" w:cs="Arial" w:eastAsia="Arial" w:hAnsi="Arial"/>
                <w:sz w:val="18"/>
                <w:szCs w:val="18"/>
                <w:color w:val="auto"/>
              </w:rPr>
              <w:t>strategy.</w:t>
            </w:r>
          </w:p>
        </w:tc>
        <w:tc>
          <w:tcPr>
            <w:tcW w:w="0" w:type="dxa"/>
            <w:vAlign w:val="bottom"/>
          </w:tcPr>
          <w:p>
            <w:pPr>
              <w:spacing w:after="0"/>
              <w:rPr>
                <w:sz w:val="1"/>
                <w:szCs w:val="1"/>
                <w:color w:val="auto"/>
              </w:rPr>
            </w:pPr>
          </w:p>
        </w:tc>
      </w:tr>
      <w:tr>
        <w:trPr>
          <w:trHeight w:val="200"/>
        </w:trPr>
        <w:tc>
          <w:tcPr>
            <w:tcW w:w="2960" w:type="dxa"/>
            <w:vAlign w:val="bottom"/>
          </w:tcPr>
          <w:p>
            <w:pPr>
              <w:ind w:left="20"/>
              <w:spacing w:after="0" w:line="201" w:lineRule="exact"/>
              <w:rPr>
                <w:sz w:val="20"/>
                <w:szCs w:val="20"/>
                <w:color w:val="auto"/>
              </w:rPr>
            </w:pPr>
            <w:r>
              <w:rPr>
                <w:rFonts w:ascii="Arial" w:cs="Arial" w:eastAsia="Arial" w:hAnsi="Arial"/>
                <w:sz w:val="18"/>
                <w:szCs w:val="18"/>
                <w:i w:val="1"/>
                <w:iCs w:val="1"/>
                <w:color w:val="auto"/>
              </w:rPr>
              <w:t>standards and reports to the</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160" w:type="dxa"/>
            <w:vAlign w:val="bottom"/>
          </w:tcPr>
          <w:p>
            <w:pPr>
              <w:ind w:left="60"/>
              <w:spacing w:after="0" w:line="201" w:lineRule="exact"/>
              <w:rPr>
                <w:sz w:val="20"/>
                <w:szCs w:val="20"/>
                <w:color w:val="auto"/>
              </w:rPr>
            </w:pPr>
            <w:r>
              <w:rPr>
                <w:rFonts w:ascii="Arial" w:cs="Arial" w:eastAsia="Arial" w:hAnsi="Arial"/>
                <w:sz w:val="18"/>
                <w:szCs w:val="18"/>
                <w:color w:val="auto"/>
              </w:rPr>
              <w:t>Assists in gathering competitive market data.</w:t>
            </w:r>
          </w:p>
        </w:tc>
        <w:tc>
          <w:tcPr>
            <w:tcW w:w="0" w:type="dxa"/>
            <w:vAlign w:val="bottom"/>
          </w:tcPr>
          <w:p>
            <w:pPr>
              <w:spacing w:after="0"/>
              <w:rPr>
                <w:sz w:val="1"/>
                <w:szCs w:val="1"/>
                <w:color w:val="auto"/>
              </w:rPr>
            </w:pPr>
          </w:p>
        </w:tc>
      </w:tr>
      <w:tr>
        <w:trPr>
          <w:trHeight w:val="197"/>
        </w:trPr>
        <w:tc>
          <w:tcPr>
            <w:tcW w:w="2960" w:type="dxa"/>
            <w:vAlign w:val="bottom"/>
          </w:tcPr>
          <w:p>
            <w:pPr>
              <w:ind w:left="20"/>
              <w:spacing w:after="0" w:line="196" w:lineRule="exact"/>
              <w:rPr>
                <w:sz w:val="20"/>
                <w:szCs w:val="20"/>
                <w:color w:val="auto"/>
              </w:rPr>
            </w:pPr>
            <w:r>
              <w:rPr>
                <w:rFonts w:ascii="Arial" w:cs="Arial" w:eastAsia="Arial" w:hAnsi="Arial"/>
                <w:sz w:val="18"/>
                <w:szCs w:val="18"/>
                <w:i w:val="1"/>
                <w:iCs w:val="1"/>
                <w:color w:val="auto"/>
              </w:rPr>
              <w:t>Compensation &amp; Human Resources</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160" w:type="dxa"/>
            <w:vAlign w:val="bottom"/>
          </w:tcPr>
          <w:p>
            <w:pPr>
              <w:ind w:left="60"/>
              <w:spacing w:after="0" w:line="196" w:lineRule="exact"/>
              <w:rPr>
                <w:sz w:val="20"/>
                <w:szCs w:val="20"/>
                <w:color w:val="auto"/>
              </w:rPr>
            </w:pPr>
            <w:r>
              <w:rPr>
                <w:rFonts w:ascii="Arial" w:cs="Arial" w:eastAsia="Arial" w:hAnsi="Arial"/>
                <w:sz w:val="18"/>
                <w:szCs w:val="18"/>
                <w:color w:val="auto"/>
              </w:rPr>
              <w:t>Provides advice with respect to our incentive plans, performance measures and equity compensation</w:t>
            </w:r>
          </w:p>
        </w:tc>
        <w:tc>
          <w:tcPr>
            <w:tcW w:w="0" w:type="dxa"/>
            <w:vAlign w:val="bottom"/>
          </w:tcPr>
          <w:p>
            <w:pPr>
              <w:spacing w:after="0"/>
              <w:rPr>
                <w:sz w:val="1"/>
                <w:szCs w:val="1"/>
                <w:color w:val="auto"/>
              </w:rPr>
            </w:pPr>
          </w:p>
        </w:tc>
      </w:tr>
      <w:tr>
        <w:trPr>
          <w:trHeight w:val="190"/>
        </w:trPr>
        <w:tc>
          <w:tcPr>
            <w:tcW w:w="2960" w:type="dxa"/>
            <w:vAlign w:val="bottom"/>
          </w:tcPr>
          <w:p>
            <w:pPr>
              <w:ind w:left="20"/>
              <w:spacing w:after="0" w:line="190" w:lineRule="exact"/>
              <w:rPr>
                <w:sz w:val="20"/>
                <w:szCs w:val="20"/>
                <w:color w:val="auto"/>
              </w:rPr>
            </w:pPr>
            <w:r>
              <w:rPr>
                <w:rFonts w:ascii="Arial" w:cs="Arial" w:eastAsia="Arial" w:hAnsi="Arial"/>
                <w:sz w:val="18"/>
                <w:szCs w:val="18"/>
                <w:i w:val="1"/>
                <w:iCs w:val="1"/>
                <w:color w:val="auto"/>
              </w:rPr>
              <w:t>Committee)</w:t>
            </w:r>
          </w:p>
        </w:tc>
        <w:tc>
          <w:tcPr>
            <w:tcW w:w="120" w:type="dxa"/>
            <w:vAlign w:val="bottom"/>
          </w:tcPr>
          <w:p>
            <w:pPr>
              <w:spacing w:after="0"/>
              <w:rPr>
                <w:sz w:val="16"/>
                <w:szCs w:val="16"/>
                <w:color w:val="auto"/>
              </w:rPr>
            </w:pPr>
          </w:p>
        </w:tc>
        <w:tc>
          <w:tcPr>
            <w:tcW w:w="8160" w:type="dxa"/>
            <w:vAlign w:val="bottom"/>
          </w:tcPr>
          <w:p>
            <w:pPr>
              <w:ind w:left="60"/>
              <w:spacing w:after="0" w:line="190" w:lineRule="exact"/>
              <w:rPr>
                <w:sz w:val="20"/>
                <w:szCs w:val="20"/>
                <w:color w:val="auto"/>
              </w:rPr>
            </w:pPr>
            <w:r>
              <w:rPr>
                <w:rFonts w:ascii="Arial" w:cs="Arial" w:eastAsia="Arial" w:hAnsi="Arial"/>
                <w:sz w:val="18"/>
                <w:szCs w:val="18"/>
                <w:color w:val="auto"/>
              </w:rPr>
              <w:t>mix.</w:t>
            </w: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160" w:type="dxa"/>
            <w:vAlign w:val="bottom"/>
          </w:tcPr>
          <w:p>
            <w:pPr>
              <w:ind w:left="60"/>
              <w:spacing w:after="0" w:line="196" w:lineRule="exact"/>
              <w:rPr>
                <w:sz w:val="20"/>
                <w:szCs w:val="20"/>
                <w:color w:val="auto"/>
              </w:rPr>
            </w:pPr>
            <w:r>
              <w:rPr>
                <w:rFonts w:ascii="Arial" w:cs="Arial" w:eastAsia="Arial" w:hAnsi="Arial"/>
                <w:sz w:val="18"/>
                <w:szCs w:val="18"/>
                <w:color w:val="auto"/>
              </w:rPr>
              <w:t>Assesses risk as it related to our incentive plans.</w:t>
            </w:r>
          </w:p>
        </w:tc>
        <w:tc>
          <w:tcPr>
            <w:tcW w:w="0" w:type="dxa"/>
            <w:vAlign w:val="bottom"/>
          </w:tcPr>
          <w:p>
            <w:pPr>
              <w:spacing w:after="0"/>
              <w:rPr>
                <w:sz w:val="1"/>
                <w:szCs w:val="1"/>
                <w:color w:val="auto"/>
              </w:rPr>
            </w:pPr>
          </w:p>
        </w:tc>
      </w:tr>
      <w:tr>
        <w:trPr>
          <w:trHeight w:val="200"/>
        </w:trPr>
        <w:tc>
          <w:tcPr>
            <w:tcW w:w="296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160" w:type="dxa"/>
            <w:vAlign w:val="bottom"/>
          </w:tcPr>
          <w:p>
            <w:pPr>
              <w:ind w:left="60"/>
              <w:spacing w:after="0" w:line="201" w:lineRule="exact"/>
              <w:rPr>
                <w:sz w:val="20"/>
                <w:szCs w:val="20"/>
                <w:color w:val="auto"/>
              </w:rPr>
            </w:pPr>
            <w:r>
              <w:rPr>
                <w:rFonts w:ascii="Arial" w:cs="Arial" w:eastAsia="Arial" w:hAnsi="Arial"/>
                <w:sz w:val="18"/>
                <w:szCs w:val="18"/>
                <w:color w:val="auto"/>
              </w:rPr>
              <w:t>Reviews structure and competitiveness of our non-employee director compensation program.</w:t>
            </w:r>
          </w:p>
        </w:tc>
        <w:tc>
          <w:tcPr>
            <w:tcW w:w="0" w:type="dxa"/>
            <w:vAlign w:val="bottom"/>
          </w:tcPr>
          <w:p>
            <w:pPr>
              <w:spacing w:after="0"/>
              <w:rPr>
                <w:sz w:val="1"/>
                <w:szCs w:val="1"/>
                <w:color w:val="auto"/>
              </w:rPr>
            </w:pPr>
          </w:p>
        </w:tc>
      </w:tr>
      <w:tr>
        <w:trPr>
          <w:trHeight w:val="233"/>
        </w:trPr>
        <w:tc>
          <w:tcPr>
            <w:tcW w:w="296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160" w:type="dxa"/>
            <w:vAlign w:val="bottom"/>
          </w:tcPr>
          <w:p>
            <w:pPr>
              <w:ind w:left="60"/>
              <w:spacing w:after="0"/>
              <w:rPr>
                <w:sz w:val="20"/>
                <w:szCs w:val="20"/>
                <w:color w:val="auto"/>
              </w:rPr>
            </w:pPr>
            <w:r>
              <w:rPr>
                <w:rFonts w:ascii="Arial" w:cs="Arial" w:eastAsia="Arial" w:hAnsi="Arial"/>
                <w:sz w:val="18"/>
                <w:szCs w:val="18"/>
                <w:color w:val="auto"/>
              </w:rPr>
              <w:t>Attends Compensation &amp; Human Resources Committee meetings.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1342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Management</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(Chairman and CEO, Vice President,</w:t>
      </w:r>
    </w:p>
    <w:p>
      <w:pPr>
        <w:spacing w:after="0" w:line="7" w:lineRule="exact"/>
        <w:rPr>
          <w:sz w:val="20"/>
          <w:szCs w:val="20"/>
          <w:color w:val="auto"/>
        </w:rPr>
      </w:pPr>
    </w:p>
    <w:p>
      <w:pPr>
        <w:ind w:left="20" w:right="240"/>
        <w:spacing w:after="0" w:line="258" w:lineRule="auto"/>
        <w:rPr>
          <w:sz w:val="20"/>
          <w:szCs w:val="20"/>
          <w:color w:val="auto"/>
        </w:rPr>
      </w:pPr>
      <w:r>
        <w:rPr>
          <w:rFonts w:ascii="Arial" w:cs="Arial" w:eastAsia="Arial" w:hAnsi="Arial"/>
          <w:sz w:val="17"/>
          <w:szCs w:val="17"/>
          <w:i w:val="1"/>
          <w:iCs w:val="1"/>
          <w:color w:val="auto"/>
        </w:rPr>
        <w:t>Human Resources and Managing Director, Total Rewards and Employee Services)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153" w:right="300" w:hanging="153"/>
        <w:spacing w:after="0" w:line="233" w:lineRule="auto"/>
        <w:tabs>
          <w:tab w:leader="none" w:pos="143"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8"/>
          <w:szCs w:val="18"/>
          <w:color w:val="auto"/>
        </w:rPr>
        <w:t>Provides compensation information to Compensation &amp; Human Resources Committee and external compensation consultant to assist them in making and recommending compensation.</w:t>
      </w:r>
    </w:p>
    <w:p>
      <w:pPr>
        <w:spacing w:after="0" w:line="1" w:lineRule="exact"/>
        <w:rPr>
          <w:rFonts w:ascii="Times New Roman" w:cs="Times New Roman" w:eastAsia="Times New Roman" w:hAnsi="Times New Roman"/>
          <w:sz w:val="16"/>
          <w:szCs w:val="16"/>
          <w:color w:val="auto"/>
        </w:rPr>
      </w:pPr>
    </w:p>
    <w:p>
      <w:pPr>
        <w:ind w:left="153" w:right="840" w:hanging="153"/>
        <w:spacing w:after="0" w:line="245" w:lineRule="auto"/>
        <w:tabs>
          <w:tab w:leader="none" w:pos="143" w:val="left"/>
        </w:tabs>
        <w:numPr>
          <w:ilvl w:val="0"/>
          <w:numId w:val="57"/>
        </w:numPr>
        <w:rPr>
          <w:rFonts w:ascii="Times New Roman" w:cs="Times New Roman" w:eastAsia="Times New Roman" w:hAnsi="Times New Roman"/>
          <w:sz w:val="15"/>
          <w:szCs w:val="15"/>
          <w:color w:val="auto"/>
        </w:rPr>
      </w:pPr>
      <w:r>
        <w:rPr>
          <w:rFonts w:ascii="Arial" w:cs="Arial" w:eastAsia="Arial" w:hAnsi="Arial"/>
          <w:sz w:val="17"/>
          <w:szCs w:val="17"/>
          <w:color w:val="auto"/>
        </w:rPr>
        <w:t>Confers with the Compensation &amp; Human Resources Committee and external compensation consultant concerning design and development of compensation and benefit plans.</w:t>
      </w:r>
    </w:p>
    <w:p>
      <w:pPr>
        <w:spacing w:after="0" w:line="1" w:lineRule="exact"/>
        <w:rPr>
          <w:rFonts w:ascii="Times New Roman" w:cs="Times New Roman" w:eastAsia="Times New Roman" w:hAnsi="Times New Roman"/>
          <w:sz w:val="15"/>
          <w:szCs w:val="15"/>
          <w:color w:val="auto"/>
        </w:rPr>
      </w:pPr>
    </w:p>
    <w:p>
      <w:pPr>
        <w:ind w:left="153" w:right="320" w:hanging="153"/>
        <w:spacing w:after="0" w:line="224" w:lineRule="auto"/>
        <w:tabs>
          <w:tab w:leader="none" w:pos="143"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8"/>
          <w:szCs w:val="18"/>
          <w:color w:val="auto"/>
        </w:rPr>
        <w:t>Provides analysis and recommendations on executive officer compensation to the Compensation &amp; Human Resources Committee.</w:t>
      </w:r>
    </w:p>
    <w:p>
      <w:pPr>
        <w:ind w:left="153" w:hanging="153"/>
        <w:spacing w:after="0" w:line="232" w:lineRule="auto"/>
        <w:tabs>
          <w:tab w:leader="none" w:pos="153"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8"/>
          <w:szCs w:val="18"/>
          <w:color w:val="auto"/>
        </w:rPr>
        <w:t>Reviews performance of executive officers.</w:t>
      </w:r>
    </w:p>
    <w:p>
      <w:pPr>
        <w:ind w:left="153" w:hanging="153"/>
        <w:spacing w:after="0"/>
        <w:tabs>
          <w:tab w:leader="none" w:pos="153"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8"/>
          <w:szCs w:val="18"/>
          <w:color w:val="auto"/>
        </w:rPr>
        <w:t>Provides no input or recommendations with respect to their own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13335</wp:posOffset>
            </wp:positionV>
            <wp:extent cx="71342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67"/>
            <w:col w:w="8253"/>
          </w:cols>
          <w:pgMar w:left="320" w:top="115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20"/>
          <w:szCs w:val="20"/>
          <w:b w:val="1"/>
          <w:bCs w:val="1"/>
          <w:color w:val="C00000"/>
        </w:rPr>
        <w:t>Compensation &amp; Human Resources Committee Report</w:t>
      </w:r>
    </w:p>
    <w:p>
      <w:pPr>
        <w:spacing w:after="0" w:line="1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Compensation &amp; Human Resources Committee has reviewed and discussed the foregoing "Compensation Discussion and Analysis" with management and, based on such review and discussions, recommended to the Board that the "Compensation Discussion and Analysis" be included in this proxy statement and incorporated by reference into our Annual Report on Form 10-K for the fiscal year ended October 31, 2025.</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C00000"/>
        </w:rPr>
        <w:t>Compensation &amp; Human Resources Committee: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James C. O'Rourke (Chair)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Eric P. Hansotia</w:t>
      </w:r>
    </w:p>
    <w:p>
      <w:pPr>
        <w:jc w:val="center"/>
        <w:spacing w:after="0" w:line="232" w:lineRule="auto"/>
        <w:rPr>
          <w:sz w:val="20"/>
          <w:szCs w:val="20"/>
          <w:color w:val="auto"/>
        </w:rPr>
      </w:pPr>
      <w:r>
        <w:rPr>
          <w:rFonts w:ascii="Arial" w:cs="Arial" w:eastAsia="Arial" w:hAnsi="Arial"/>
          <w:sz w:val="18"/>
          <w:szCs w:val="18"/>
          <w:color w:val="auto"/>
        </w:rPr>
        <w:t>D. Christian Koch</w:t>
      </w:r>
    </w:p>
    <w:p>
      <w:pPr>
        <w:jc w:val="center"/>
        <w:spacing w:after="0"/>
        <w:rPr>
          <w:sz w:val="20"/>
          <w:szCs w:val="20"/>
          <w:color w:val="auto"/>
        </w:rPr>
      </w:pPr>
      <w:r>
        <w:rPr>
          <w:rFonts w:ascii="Arial" w:cs="Arial" w:eastAsia="Arial" w:hAnsi="Arial"/>
          <w:sz w:val="18"/>
          <w:szCs w:val="18"/>
          <w:color w:val="auto"/>
        </w:rPr>
        <w:t>Joyce A. Mullen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8" w:name="page59"/>
    <w:bookmarkEnd w:id="58"/>
    <w:p>
      <w:pPr>
        <w:jc w:val="center"/>
        <w:ind w:right="220"/>
        <w:spacing w:after="0"/>
        <w:rPr>
          <w:sz w:val="20"/>
          <w:szCs w:val="20"/>
          <w:color w:val="auto"/>
        </w:rPr>
      </w:pPr>
      <w:r>
        <w:rPr>
          <w:rFonts w:ascii="Arial" w:cs="Arial" w:eastAsia="Arial" w:hAnsi="Arial"/>
          <w:sz w:val="21"/>
          <w:szCs w:val="21"/>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6998335" cy="1866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8335" cy="1866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Summary Compensation Table</w:t>
      </w:r>
    </w:p>
    <w:p>
      <w:pPr>
        <w:spacing w:after="0" w:line="97"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The following table summarizes compensation for each of the last three fiscal years awarded to, earned by or paid to individuals who served as our principal executive officer and principal financial officer during fiscal 2025, and the other three most highly compensated executive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officers during fiscal 2025. We collectively refer to these officers as our “named executive officers,” or NEOs.</w:t>
      </w:r>
    </w:p>
    <w:p>
      <w:pPr>
        <w:spacing w:after="0" w:line="21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Amounts in this Summary Compensation Table are not reduced to reflect any elections to defer receipt of base salary, annual cash incentive award payouts or performance share award payouts. Elections to defer these forms of compensation are described in more detail under “Nonqualified Deferred Compensation for Fiscal 2025.” Earnings on nonqualified deferred compensation are not on a basis that is considered to be above-market or preferential. The “Compensation Discussion and Analysis” provides additional information about compensation paid to our NEOs.</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2440" w:type="dxa"/>
            <w:vAlign w:val="bottom"/>
            <w:shd w:val="clear" w:color="auto" w:fill="BF2115"/>
          </w:tcPr>
          <w:p>
            <w:pPr>
              <w:spacing w:after="0"/>
              <w:rPr>
                <w:sz w:val="16"/>
                <w:szCs w:val="16"/>
                <w:color w:val="auto"/>
              </w:rPr>
            </w:pPr>
          </w:p>
        </w:tc>
        <w:tc>
          <w:tcPr>
            <w:tcW w:w="680" w:type="dxa"/>
            <w:vAlign w:val="bottom"/>
            <w:shd w:val="clear" w:color="auto" w:fill="BF2115"/>
          </w:tcPr>
          <w:p>
            <w:pPr>
              <w:spacing w:after="0"/>
              <w:rPr>
                <w:sz w:val="16"/>
                <w:szCs w:val="16"/>
                <w:color w:val="auto"/>
              </w:rPr>
            </w:pPr>
          </w:p>
        </w:tc>
        <w:tc>
          <w:tcPr>
            <w:tcW w:w="100" w:type="dxa"/>
            <w:vAlign w:val="bottom"/>
            <w:shd w:val="clear" w:color="auto" w:fill="BF2115"/>
          </w:tcPr>
          <w:p>
            <w:pPr>
              <w:spacing w:after="0"/>
              <w:rPr>
                <w:sz w:val="16"/>
                <w:szCs w:val="16"/>
                <w:color w:val="auto"/>
              </w:rPr>
            </w:pPr>
          </w:p>
        </w:tc>
        <w:tc>
          <w:tcPr>
            <w:tcW w:w="1000" w:type="dxa"/>
            <w:vAlign w:val="bottom"/>
            <w:shd w:val="clear" w:color="auto" w:fill="BF2115"/>
          </w:tcPr>
          <w:p>
            <w:pPr>
              <w:spacing w:after="0"/>
              <w:rPr>
                <w:sz w:val="16"/>
                <w:szCs w:val="16"/>
                <w:color w:val="auto"/>
              </w:rPr>
            </w:pPr>
          </w:p>
        </w:tc>
        <w:tc>
          <w:tcPr>
            <w:tcW w:w="840" w:type="dxa"/>
            <w:vAlign w:val="bottom"/>
            <w:shd w:val="clear" w:color="auto" w:fill="BF2115"/>
          </w:tcPr>
          <w:p>
            <w:pPr>
              <w:spacing w:after="0"/>
              <w:rPr>
                <w:sz w:val="16"/>
                <w:szCs w:val="16"/>
                <w:color w:val="auto"/>
              </w:rPr>
            </w:pPr>
          </w:p>
        </w:tc>
        <w:tc>
          <w:tcPr>
            <w:tcW w:w="1060" w:type="dxa"/>
            <w:vAlign w:val="bottom"/>
            <w:shd w:val="clear" w:color="auto" w:fill="BF2115"/>
          </w:tcPr>
          <w:p>
            <w:pPr>
              <w:spacing w:after="0"/>
              <w:rPr>
                <w:sz w:val="16"/>
                <w:szCs w:val="16"/>
                <w:color w:val="auto"/>
              </w:rPr>
            </w:pPr>
          </w:p>
        </w:tc>
        <w:tc>
          <w:tcPr>
            <w:tcW w:w="1000" w:type="dxa"/>
            <w:vAlign w:val="bottom"/>
            <w:shd w:val="clear" w:color="auto" w:fill="BF2115"/>
          </w:tcPr>
          <w:p>
            <w:pPr>
              <w:spacing w:after="0"/>
              <w:rPr>
                <w:sz w:val="16"/>
                <w:szCs w:val="16"/>
                <w:color w:val="auto"/>
              </w:rPr>
            </w:pPr>
          </w:p>
        </w:tc>
        <w:tc>
          <w:tcPr>
            <w:tcW w:w="1540" w:type="dxa"/>
            <w:vAlign w:val="bottom"/>
            <w:shd w:val="clear" w:color="auto" w:fill="BF2115"/>
          </w:tcPr>
          <w:p>
            <w:pPr>
              <w:jc w:val="center"/>
              <w:ind w:right="115"/>
              <w:spacing w:after="0"/>
              <w:rPr>
                <w:sz w:val="20"/>
                <w:szCs w:val="20"/>
                <w:color w:val="auto"/>
              </w:rPr>
            </w:pPr>
            <w:r>
              <w:rPr>
                <w:rFonts w:ascii="Arial" w:cs="Arial" w:eastAsia="Arial" w:hAnsi="Arial"/>
                <w:sz w:val="14"/>
                <w:szCs w:val="14"/>
                <w:b w:val="1"/>
                <w:bCs w:val="1"/>
                <w:color w:val="FFFFFF"/>
              </w:rPr>
              <w:t>Non-Equity</w:t>
            </w:r>
          </w:p>
        </w:tc>
        <w:tc>
          <w:tcPr>
            <w:tcW w:w="1560" w:type="dxa"/>
            <w:vAlign w:val="bottom"/>
            <w:shd w:val="clear" w:color="auto" w:fill="BF2115"/>
          </w:tcPr>
          <w:p>
            <w:pPr>
              <w:spacing w:after="0"/>
              <w:rPr>
                <w:sz w:val="16"/>
                <w:szCs w:val="16"/>
                <w:color w:val="auto"/>
              </w:rPr>
            </w:pPr>
          </w:p>
        </w:tc>
        <w:tc>
          <w:tcPr>
            <w:tcW w:w="800" w:type="dxa"/>
            <w:vAlign w:val="bottom"/>
            <w:shd w:val="clear" w:color="auto" w:fill="BF2115"/>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440" w:type="dxa"/>
            <w:vAlign w:val="bottom"/>
            <w:shd w:val="clear" w:color="auto" w:fill="BF2115"/>
          </w:tcPr>
          <w:p>
            <w:pPr>
              <w:spacing w:after="0"/>
              <w:rPr>
                <w:sz w:val="13"/>
                <w:szCs w:val="13"/>
                <w:color w:val="auto"/>
              </w:rPr>
            </w:pPr>
          </w:p>
        </w:tc>
        <w:tc>
          <w:tcPr>
            <w:tcW w:w="680" w:type="dxa"/>
            <w:vAlign w:val="bottom"/>
            <w:shd w:val="clear" w:color="auto" w:fill="BF2115"/>
          </w:tcPr>
          <w:p>
            <w:pPr>
              <w:spacing w:after="0"/>
              <w:rPr>
                <w:sz w:val="13"/>
                <w:szCs w:val="13"/>
                <w:color w:val="auto"/>
              </w:rPr>
            </w:pPr>
          </w:p>
        </w:tc>
        <w:tc>
          <w:tcPr>
            <w:tcW w:w="100" w:type="dxa"/>
            <w:vAlign w:val="bottom"/>
            <w:shd w:val="clear" w:color="auto" w:fill="BF2115"/>
          </w:tcPr>
          <w:p>
            <w:pPr>
              <w:spacing w:after="0"/>
              <w:rPr>
                <w:sz w:val="13"/>
                <w:szCs w:val="13"/>
                <w:color w:val="auto"/>
              </w:rPr>
            </w:pPr>
          </w:p>
        </w:tc>
        <w:tc>
          <w:tcPr>
            <w:tcW w:w="1000" w:type="dxa"/>
            <w:vAlign w:val="bottom"/>
            <w:shd w:val="clear" w:color="auto" w:fill="BF2115"/>
          </w:tcPr>
          <w:p>
            <w:pPr>
              <w:spacing w:after="0"/>
              <w:rPr>
                <w:sz w:val="13"/>
                <w:szCs w:val="13"/>
                <w:color w:val="auto"/>
              </w:rPr>
            </w:pPr>
          </w:p>
        </w:tc>
        <w:tc>
          <w:tcPr>
            <w:tcW w:w="840" w:type="dxa"/>
            <w:vAlign w:val="bottom"/>
            <w:shd w:val="clear" w:color="auto" w:fill="BF2115"/>
          </w:tcPr>
          <w:p>
            <w:pPr>
              <w:spacing w:after="0"/>
              <w:rPr>
                <w:sz w:val="13"/>
                <w:szCs w:val="13"/>
                <w:color w:val="auto"/>
              </w:rPr>
            </w:pPr>
          </w:p>
        </w:tc>
        <w:tc>
          <w:tcPr>
            <w:tcW w:w="1060" w:type="dxa"/>
            <w:vAlign w:val="bottom"/>
            <w:shd w:val="clear" w:color="auto" w:fill="BF2115"/>
          </w:tcPr>
          <w:p>
            <w:pPr>
              <w:jc w:val="center"/>
              <w:ind w:right="16"/>
              <w:spacing w:after="0" w:line="158" w:lineRule="exact"/>
              <w:rPr>
                <w:sz w:val="20"/>
                <w:szCs w:val="20"/>
                <w:color w:val="auto"/>
              </w:rPr>
            </w:pPr>
            <w:r>
              <w:rPr>
                <w:rFonts w:ascii="Arial" w:cs="Arial" w:eastAsia="Arial" w:hAnsi="Arial"/>
                <w:sz w:val="14"/>
                <w:szCs w:val="14"/>
                <w:b w:val="1"/>
                <w:bCs w:val="1"/>
                <w:color w:val="FFFFFF"/>
                <w:w w:val="99"/>
              </w:rPr>
              <w:t>Stock</w:t>
            </w:r>
          </w:p>
        </w:tc>
        <w:tc>
          <w:tcPr>
            <w:tcW w:w="1000" w:type="dxa"/>
            <w:vAlign w:val="bottom"/>
            <w:shd w:val="clear" w:color="auto" w:fill="BF2115"/>
          </w:tcPr>
          <w:p>
            <w:pPr>
              <w:jc w:val="center"/>
              <w:ind w:right="116"/>
              <w:spacing w:after="0" w:line="158" w:lineRule="exact"/>
              <w:rPr>
                <w:sz w:val="20"/>
                <w:szCs w:val="20"/>
                <w:color w:val="auto"/>
              </w:rPr>
            </w:pPr>
            <w:r>
              <w:rPr>
                <w:rFonts w:ascii="Arial" w:cs="Arial" w:eastAsia="Arial" w:hAnsi="Arial"/>
                <w:sz w:val="14"/>
                <w:szCs w:val="14"/>
                <w:b w:val="1"/>
                <w:bCs w:val="1"/>
                <w:color w:val="FFFFFF"/>
              </w:rPr>
              <w:t>Option</w:t>
            </w:r>
          </w:p>
        </w:tc>
        <w:tc>
          <w:tcPr>
            <w:tcW w:w="1540" w:type="dxa"/>
            <w:vAlign w:val="bottom"/>
            <w:shd w:val="clear" w:color="auto" w:fill="BF2115"/>
          </w:tcPr>
          <w:p>
            <w:pPr>
              <w:jc w:val="center"/>
              <w:ind w:right="115"/>
              <w:spacing w:after="0" w:line="158" w:lineRule="exact"/>
              <w:rPr>
                <w:sz w:val="20"/>
                <w:szCs w:val="20"/>
                <w:color w:val="auto"/>
              </w:rPr>
            </w:pPr>
            <w:r>
              <w:rPr>
                <w:rFonts w:ascii="Arial" w:cs="Arial" w:eastAsia="Arial" w:hAnsi="Arial"/>
                <w:sz w:val="14"/>
                <w:szCs w:val="14"/>
                <w:b w:val="1"/>
                <w:bCs w:val="1"/>
                <w:color w:val="FFFFFF"/>
              </w:rPr>
              <w:t>Incentive Plan</w:t>
            </w:r>
          </w:p>
        </w:tc>
        <w:tc>
          <w:tcPr>
            <w:tcW w:w="1560" w:type="dxa"/>
            <w:vAlign w:val="bottom"/>
            <w:shd w:val="clear" w:color="auto" w:fill="BF2115"/>
          </w:tcPr>
          <w:p>
            <w:pPr>
              <w:jc w:val="center"/>
              <w:ind w:right="176"/>
              <w:spacing w:after="0" w:line="158" w:lineRule="exact"/>
              <w:rPr>
                <w:sz w:val="20"/>
                <w:szCs w:val="20"/>
                <w:color w:val="auto"/>
              </w:rPr>
            </w:pPr>
            <w:r>
              <w:rPr>
                <w:rFonts w:ascii="Arial" w:cs="Arial" w:eastAsia="Arial" w:hAnsi="Arial"/>
                <w:sz w:val="14"/>
                <w:szCs w:val="14"/>
                <w:b w:val="1"/>
                <w:bCs w:val="1"/>
                <w:color w:val="FFFFFF"/>
              </w:rPr>
              <w:t>All Other</w:t>
            </w:r>
          </w:p>
        </w:tc>
        <w:tc>
          <w:tcPr>
            <w:tcW w:w="800" w:type="dxa"/>
            <w:vAlign w:val="bottom"/>
            <w:shd w:val="clear" w:color="auto" w:fill="BF2115"/>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4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Name and</w:t>
            </w:r>
          </w:p>
        </w:tc>
        <w:tc>
          <w:tcPr>
            <w:tcW w:w="6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Fiscal</w:t>
            </w:r>
          </w:p>
        </w:tc>
        <w:tc>
          <w:tcPr>
            <w:tcW w:w="100" w:type="dxa"/>
            <w:vAlign w:val="bottom"/>
            <w:shd w:val="clear" w:color="auto" w:fill="BF2115"/>
          </w:tcPr>
          <w:p>
            <w:pPr>
              <w:spacing w:after="0"/>
              <w:rPr>
                <w:sz w:val="15"/>
                <w:szCs w:val="15"/>
                <w:color w:val="auto"/>
              </w:rPr>
            </w:pPr>
          </w:p>
        </w:tc>
        <w:tc>
          <w:tcPr>
            <w:tcW w:w="1000" w:type="dxa"/>
            <w:vAlign w:val="bottom"/>
            <w:shd w:val="clear" w:color="auto" w:fill="BF2115"/>
          </w:tcPr>
          <w:p>
            <w:pPr>
              <w:jc w:val="right"/>
              <w:ind w:right="255"/>
              <w:spacing w:after="0" w:line="176" w:lineRule="exact"/>
              <w:rPr>
                <w:sz w:val="20"/>
                <w:szCs w:val="20"/>
                <w:color w:val="auto"/>
              </w:rPr>
            </w:pPr>
            <w:r>
              <w:rPr>
                <w:rFonts w:ascii="Arial" w:cs="Arial" w:eastAsia="Arial" w:hAnsi="Arial"/>
                <w:sz w:val="14"/>
                <w:szCs w:val="14"/>
                <w:b w:val="1"/>
                <w:bCs w:val="1"/>
                <w:color w:val="FFFFFF"/>
              </w:rPr>
              <w:t>Salary</w:t>
            </w:r>
            <w:r>
              <w:rPr>
                <w:rFonts w:ascii="Arial" w:cs="Arial" w:eastAsia="Arial" w:hAnsi="Arial"/>
                <w:sz w:val="18"/>
                <w:szCs w:val="18"/>
                <w:b w:val="1"/>
                <w:bCs w:val="1"/>
                <w:color w:val="FFFFFF"/>
                <w:vertAlign w:val="superscript"/>
              </w:rPr>
              <w:t>1</w:t>
            </w:r>
          </w:p>
        </w:tc>
        <w:tc>
          <w:tcPr>
            <w:tcW w:w="840" w:type="dxa"/>
            <w:vAlign w:val="bottom"/>
            <w:shd w:val="clear" w:color="auto" w:fill="BF2115"/>
          </w:tcPr>
          <w:p>
            <w:pPr>
              <w:ind w:left="140"/>
              <w:spacing w:after="0" w:line="176" w:lineRule="exact"/>
              <w:rPr>
                <w:sz w:val="20"/>
                <w:szCs w:val="20"/>
                <w:color w:val="auto"/>
              </w:rPr>
            </w:pPr>
            <w:r>
              <w:rPr>
                <w:rFonts w:ascii="Arial" w:cs="Arial" w:eastAsia="Arial" w:hAnsi="Arial"/>
                <w:sz w:val="14"/>
                <w:szCs w:val="14"/>
                <w:b w:val="1"/>
                <w:bCs w:val="1"/>
                <w:color w:val="FFFFFF"/>
              </w:rPr>
              <w:t>Bonus</w:t>
            </w:r>
            <w:r>
              <w:rPr>
                <w:rFonts w:ascii="Arial" w:cs="Arial" w:eastAsia="Arial" w:hAnsi="Arial"/>
                <w:sz w:val="18"/>
                <w:szCs w:val="18"/>
                <w:b w:val="1"/>
                <w:bCs w:val="1"/>
                <w:color w:val="FFFFFF"/>
                <w:vertAlign w:val="superscript"/>
              </w:rPr>
              <w:t>2</w:t>
            </w:r>
          </w:p>
        </w:tc>
        <w:tc>
          <w:tcPr>
            <w:tcW w:w="1060" w:type="dxa"/>
            <w:vAlign w:val="bottom"/>
            <w:shd w:val="clear" w:color="auto" w:fill="BF2115"/>
          </w:tcPr>
          <w:p>
            <w:pPr>
              <w:jc w:val="center"/>
              <w:ind w:right="16"/>
              <w:spacing w:after="0" w:line="176"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18"/>
                <w:szCs w:val="18"/>
                <w:b w:val="1"/>
                <w:bCs w:val="1"/>
                <w:color w:val="FFFFFF"/>
                <w:vertAlign w:val="superscript"/>
              </w:rPr>
              <w:t>3</w:t>
            </w:r>
          </w:p>
        </w:tc>
        <w:tc>
          <w:tcPr>
            <w:tcW w:w="1000" w:type="dxa"/>
            <w:vAlign w:val="bottom"/>
            <w:shd w:val="clear" w:color="auto" w:fill="BF2115"/>
          </w:tcPr>
          <w:p>
            <w:pPr>
              <w:jc w:val="center"/>
              <w:ind w:right="96"/>
              <w:spacing w:after="0" w:line="176" w:lineRule="exact"/>
              <w:rPr>
                <w:sz w:val="20"/>
                <w:szCs w:val="20"/>
                <w:color w:val="auto"/>
              </w:rPr>
            </w:pPr>
            <w:r>
              <w:rPr>
                <w:rFonts w:ascii="Arial" w:cs="Arial" w:eastAsia="Arial" w:hAnsi="Arial"/>
                <w:sz w:val="14"/>
                <w:szCs w:val="14"/>
                <w:b w:val="1"/>
                <w:bCs w:val="1"/>
                <w:color w:val="FFFFFF"/>
                <w:w w:val="97"/>
              </w:rPr>
              <w:t>Awards</w:t>
            </w:r>
            <w:r>
              <w:rPr>
                <w:rFonts w:ascii="Arial" w:cs="Arial" w:eastAsia="Arial" w:hAnsi="Arial"/>
                <w:sz w:val="18"/>
                <w:szCs w:val="18"/>
                <w:b w:val="1"/>
                <w:bCs w:val="1"/>
                <w:color w:val="FFFFFF"/>
                <w:w w:val="97"/>
                <w:vertAlign w:val="superscript"/>
              </w:rPr>
              <w:t>4</w:t>
            </w:r>
          </w:p>
        </w:tc>
        <w:tc>
          <w:tcPr>
            <w:tcW w:w="1540" w:type="dxa"/>
            <w:vAlign w:val="bottom"/>
            <w:shd w:val="clear" w:color="auto" w:fill="BF2115"/>
          </w:tcPr>
          <w:p>
            <w:pPr>
              <w:jc w:val="center"/>
              <w:ind w:right="115"/>
              <w:spacing w:after="0"/>
              <w:rPr>
                <w:sz w:val="20"/>
                <w:szCs w:val="20"/>
                <w:color w:val="auto"/>
              </w:rPr>
            </w:pPr>
            <w:r>
              <w:rPr>
                <w:rFonts w:ascii="Arial" w:cs="Arial" w:eastAsia="Arial" w:hAnsi="Arial"/>
                <w:sz w:val="14"/>
                <w:szCs w:val="14"/>
                <w:b w:val="1"/>
                <w:bCs w:val="1"/>
                <w:color w:val="FFFFFF"/>
              </w:rPr>
              <w:t>Compensation</w:t>
            </w:r>
            <w:r>
              <w:rPr>
                <w:rFonts w:ascii="Arial" w:cs="Arial" w:eastAsia="Arial" w:hAnsi="Arial"/>
                <w:sz w:val="9"/>
                <w:szCs w:val="9"/>
                <w:b w:val="1"/>
                <w:bCs w:val="1"/>
                <w:color w:val="FFFFFF"/>
              </w:rPr>
              <w:t>5</w:t>
            </w:r>
          </w:p>
        </w:tc>
        <w:tc>
          <w:tcPr>
            <w:tcW w:w="1560" w:type="dxa"/>
            <w:vAlign w:val="bottom"/>
            <w:shd w:val="clear" w:color="auto" w:fill="BF2115"/>
          </w:tcPr>
          <w:p>
            <w:pPr>
              <w:jc w:val="center"/>
              <w:ind w:right="176"/>
              <w:spacing w:after="0" w:line="176" w:lineRule="exact"/>
              <w:rPr>
                <w:sz w:val="20"/>
                <w:szCs w:val="20"/>
                <w:color w:val="auto"/>
              </w:rPr>
            </w:pPr>
            <w:r>
              <w:rPr>
                <w:rFonts w:ascii="Arial" w:cs="Arial" w:eastAsia="Arial" w:hAnsi="Arial"/>
                <w:sz w:val="14"/>
                <w:szCs w:val="14"/>
                <w:b w:val="1"/>
                <w:bCs w:val="1"/>
                <w:color w:val="FFFFFF"/>
              </w:rPr>
              <w:t>Compensation</w:t>
            </w:r>
            <w:r>
              <w:rPr>
                <w:rFonts w:ascii="Arial" w:cs="Arial" w:eastAsia="Arial" w:hAnsi="Arial"/>
                <w:sz w:val="18"/>
                <w:szCs w:val="18"/>
                <w:b w:val="1"/>
                <w:bCs w:val="1"/>
                <w:color w:val="FFFFFF"/>
                <w:vertAlign w:val="superscript"/>
              </w:rPr>
              <w:t>6</w:t>
            </w:r>
          </w:p>
        </w:tc>
        <w:tc>
          <w:tcPr>
            <w:tcW w:w="800" w:type="dxa"/>
            <w:vAlign w:val="bottom"/>
            <w:shd w:val="clear" w:color="auto" w:fill="BF2115"/>
          </w:tcPr>
          <w:p>
            <w:pPr>
              <w:jc w:val="right"/>
              <w:ind w:right="216"/>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09"/>
        </w:trPr>
        <w:tc>
          <w:tcPr>
            <w:tcW w:w="244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Principal Position</w:t>
            </w:r>
          </w:p>
        </w:tc>
        <w:tc>
          <w:tcPr>
            <w:tcW w:w="6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8"/>
              </w:rPr>
              <w:t>Year</w:t>
            </w:r>
          </w:p>
        </w:tc>
        <w:tc>
          <w:tcPr>
            <w:tcW w:w="1100" w:type="dxa"/>
            <w:vAlign w:val="bottom"/>
            <w:gridSpan w:val="2"/>
            <w:shd w:val="clear" w:color="auto" w:fill="BF2115"/>
          </w:tcPr>
          <w:p>
            <w:pPr>
              <w:jc w:val="right"/>
              <w:ind w:right="415"/>
              <w:spacing w:after="0"/>
              <w:rPr>
                <w:sz w:val="20"/>
                <w:szCs w:val="20"/>
                <w:color w:val="auto"/>
              </w:rPr>
            </w:pPr>
            <w:r>
              <w:rPr>
                <w:rFonts w:ascii="Arial" w:cs="Arial" w:eastAsia="Arial" w:hAnsi="Arial"/>
                <w:sz w:val="14"/>
                <w:szCs w:val="14"/>
                <w:b w:val="1"/>
                <w:bCs w:val="1"/>
                <w:color w:val="FFFFFF"/>
              </w:rPr>
              <w:t>($)</w:t>
            </w:r>
          </w:p>
        </w:tc>
        <w:tc>
          <w:tcPr>
            <w:tcW w:w="8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t>
            </w:r>
          </w:p>
        </w:tc>
        <w:tc>
          <w:tcPr>
            <w:tcW w:w="1060" w:type="dxa"/>
            <w:vAlign w:val="bottom"/>
            <w:shd w:val="clear" w:color="auto" w:fill="BF2115"/>
          </w:tcPr>
          <w:p>
            <w:pPr>
              <w:jc w:val="center"/>
              <w:ind w:right="16"/>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BF2115"/>
          </w:tcPr>
          <w:p>
            <w:pPr>
              <w:jc w:val="center"/>
              <w:ind w:right="96"/>
              <w:spacing w:after="0"/>
              <w:rPr>
                <w:sz w:val="20"/>
                <w:szCs w:val="20"/>
                <w:color w:val="auto"/>
              </w:rPr>
            </w:pPr>
            <w:r>
              <w:rPr>
                <w:rFonts w:ascii="Arial" w:cs="Arial" w:eastAsia="Arial" w:hAnsi="Arial"/>
                <w:sz w:val="14"/>
                <w:szCs w:val="14"/>
                <w:b w:val="1"/>
                <w:bCs w:val="1"/>
                <w:color w:val="FFFFFF"/>
                <w:w w:val="93"/>
              </w:rPr>
              <w:t>($)</w:t>
            </w:r>
          </w:p>
        </w:tc>
        <w:tc>
          <w:tcPr>
            <w:tcW w:w="1540" w:type="dxa"/>
            <w:vAlign w:val="bottom"/>
            <w:shd w:val="clear" w:color="auto" w:fill="BF2115"/>
          </w:tcPr>
          <w:p>
            <w:pPr>
              <w:jc w:val="center"/>
              <w:ind w:right="115"/>
              <w:spacing w:after="0"/>
              <w:rPr>
                <w:sz w:val="20"/>
                <w:szCs w:val="20"/>
                <w:color w:val="auto"/>
              </w:rPr>
            </w:pPr>
            <w:r>
              <w:rPr>
                <w:rFonts w:ascii="Arial" w:cs="Arial" w:eastAsia="Arial" w:hAnsi="Arial"/>
                <w:sz w:val="14"/>
                <w:szCs w:val="14"/>
                <w:b w:val="1"/>
                <w:bCs w:val="1"/>
                <w:color w:val="FFFFFF"/>
                <w:w w:val="93"/>
              </w:rPr>
              <w:t>($)</w:t>
            </w:r>
          </w:p>
        </w:tc>
        <w:tc>
          <w:tcPr>
            <w:tcW w:w="1560" w:type="dxa"/>
            <w:vAlign w:val="bottom"/>
            <w:shd w:val="clear" w:color="auto" w:fill="BF2115"/>
          </w:tcPr>
          <w:p>
            <w:pPr>
              <w:jc w:val="center"/>
              <w:ind w:right="156"/>
              <w:spacing w:after="0"/>
              <w:rPr>
                <w:sz w:val="20"/>
                <w:szCs w:val="20"/>
                <w:color w:val="auto"/>
              </w:rPr>
            </w:pPr>
            <w:r>
              <w:rPr>
                <w:rFonts w:ascii="Arial" w:cs="Arial" w:eastAsia="Arial" w:hAnsi="Arial"/>
                <w:sz w:val="14"/>
                <w:szCs w:val="14"/>
                <w:b w:val="1"/>
                <w:bCs w:val="1"/>
                <w:color w:val="FFFFFF"/>
              </w:rPr>
              <w:t>($)</w:t>
            </w:r>
          </w:p>
        </w:tc>
        <w:tc>
          <w:tcPr>
            <w:tcW w:w="800" w:type="dxa"/>
            <w:vAlign w:val="bottom"/>
            <w:shd w:val="clear" w:color="auto" w:fill="BF2115"/>
          </w:tcPr>
          <w:p>
            <w:pPr>
              <w:jc w:val="right"/>
              <w:ind w:right="276"/>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74"/>
        </w:trPr>
        <w:tc>
          <w:tcPr>
            <w:tcW w:w="2440" w:type="dxa"/>
            <w:vAlign w:val="bottom"/>
          </w:tcPr>
          <w:p>
            <w:pPr>
              <w:ind w:left="20"/>
              <w:spacing w:after="0"/>
              <w:rPr>
                <w:sz w:val="20"/>
                <w:szCs w:val="20"/>
                <w:color w:val="auto"/>
              </w:rPr>
            </w:pPr>
            <w:r>
              <w:rPr>
                <w:rFonts w:ascii="Arial" w:cs="Arial" w:eastAsia="Arial" w:hAnsi="Arial"/>
                <w:sz w:val="13"/>
                <w:szCs w:val="13"/>
                <w:color w:val="auto"/>
              </w:rPr>
              <w:t>Richard M. Olson,</w:t>
            </w:r>
          </w:p>
        </w:tc>
        <w:tc>
          <w:tcPr>
            <w:tcW w:w="680" w:type="dxa"/>
            <w:vAlign w:val="bottom"/>
          </w:tcPr>
          <w:p>
            <w:pPr>
              <w:jc w:val="center"/>
              <w:spacing w:after="0"/>
              <w:rPr>
                <w:sz w:val="20"/>
                <w:szCs w:val="20"/>
                <w:color w:val="auto"/>
              </w:rPr>
            </w:pPr>
            <w:r>
              <w:rPr>
                <w:rFonts w:ascii="Arial" w:cs="Arial" w:eastAsia="Arial" w:hAnsi="Arial"/>
                <w:sz w:val="12"/>
                <w:szCs w:val="12"/>
                <w:color w:val="auto"/>
                <w:w w:val="97"/>
              </w:rPr>
              <w:t>2025</w:t>
            </w:r>
          </w:p>
        </w:tc>
        <w:tc>
          <w:tcPr>
            <w:tcW w:w="1100" w:type="dxa"/>
            <w:vAlign w:val="bottom"/>
            <w:gridSpan w:val="2"/>
          </w:tcPr>
          <w:p>
            <w:pPr>
              <w:jc w:val="right"/>
              <w:ind w:right="75"/>
              <w:spacing w:after="0"/>
              <w:rPr>
                <w:sz w:val="20"/>
                <w:szCs w:val="20"/>
                <w:color w:val="auto"/>
              </w:rPr>
            </w:pPr>
            <w:r>
              <w:rPr>
                <w:rFonts w:ascii="Arial" w:cs="Arial" w:eastAsia="Arial" w:hAnsi="Arial"/>
                <w:sz w:val="12"/>
                <w:szCs w:val="12"/>
                <w:color w:val="auto"/>
              </w:rPr>
              <w:t>1,239,816</w:t>
            </w:r>
          </w:p>
        </w:tc>
        <w:tc>
          <w:tcPr>
            <w:tcW w:w="840" w:type="dxa"/>
            <w:vAlign w:val="bottom"/>
          </w:tcPr>
          <w:p>
            <w:pPr>
              <w:jc w:val="center"/>
              <w:ind w:right="16"/>
              <w:spacing w:after="0"/>
              <w:rPr>
                <w:sz w:val="20"/>
                <w:szCs w:val="20"/>
                <w:color w:val="auto"/>
              </w:rPr>
            </w:pPr>
            <w:r>
              <w:rPr>
                <w:rFonts w:ascii="Arial" w:cs="Arial" w:eastAsia="Arial" w:hAnsi="Arial"/>
                <w:sz w:val="12"/>
                <w:szCs w:val="12"/>
                <w:color w:val="auto"/>
              </w:rPr>
              <w:t>0</w:t>
            </w:r>
          </w:p>
        </w:tc>
        <w:tc>
          <w:tcPr>
            <w:tcW w:w="1060" w:type="dxa"/>
            <w:vAlign w:val="bottom"/>
          </w:tcPr>
          <w:p>
            <w:pPr>
              <w:jc w:val="right"/>
              <w:ind w:right="76"/>
              <w:spacing w:after="0"/>
              <w:rPr>
                <w:sz w:val="20"/>
                <w:szCs w:val="20"/>
                <w:color w:val="auto"/>
              </w:rPr>
            </w:pPr>
            <w:r>
              <w:rPr>
                <w:rFonts w:ascii="Arial" w:cs="Arial" w:eastAsia="Arial" w:hAnsi="Arial"/>
                <w:sz w:val="12"/>
                <w:szCs w:val="12"/>
                <w:color w:val="auto"/>
              </w:rPr>
              <w:t>3,300,642</w:t>
            </w:r>
          </w:p>
        </w:tc>
        <w:tc>
          <w:tcPr>
            <w:tcW w:w="1000" w:type="dxa"/>
            <w:vAlign w:val="bottom"/>
          </w:tcPr>
          <w:p>
            <w:pPr>
              <w:jc w:val="right"/>
              <w:ind w:right="96"/>
              <w:spacing w:after="0"/>
              <w:rPr>
                <w:sz w:val="20"/>
                <w:szCs w:val="20"/>
                <w:color w:val="auto"/>
              </w:rPr>
            </w:pPr>
            <w:r>
              <w:rPr>
                <w:rFonts w:ascii="Arial" w:cs="Arial" w:eastAsia="Arial" w:hAnsi="Arial"/>
                <w:sz w:val="12"/>
                <w:szCs w:val="12"/>
                <w:color w:val="auto"/>
              </w:rPr>
              <w:t>2,326,224</w:t>
            </w:r>
          </w:p>
        </w:tc>
        <w:tc>
          <w:tcPr>
            <w:tcW w:w="1540" w:type="dxa"/>
            <w:vAlign w:val="bottom"/>
          </w:tcPr>
          <w:p>
            <w:pPr>
              <w:jc w:val="right"/>
              <w:ind w:right="95"/>
              <w:spacing w:after="0"/>
              <w:rPr>
                <w:sz w:val="20"/>
                <w:szCs w:val="20"/>
                <w:color w:val="auto"/>
              </w:rPr>
            </w:pPr>
            <w:r>
              <w:rPr>
                <w:rFonts w:ascii="Arial" w:cs="Arial" w:eastAsia="Arial" w:hAnsi="Arial"/>
                <w:sz w:val="12"/>
                <w:szCs w:val="12"/>
                <w:color w:val="auto"/>
              </w:rPr>
              <w:t>1,315,197</w:t>
            </w:r>
          </w:p>
        </w:tc>
        <w:tc>
          <w:tcPr>
            <w:tcW w:w="1560" w:type="dxa"/>
            <w:vAlign w:val="bottom"/>
          </w:tcPr>
          <w:p>
            <w:pPr>
              <w:jc w:val="right"/>
              <w:ind w:right="136"/>
              <w:spacing w:after="0"/>
              <w:rPr>
                <w:sz w:val="20"/>
                <w:szCs w:val="20"/>
                <w:color w:val="auto"/>
              </w:rPr>
            </w:pPr>
            <w:r>
              <w:rPr>
                <w:rFonts w:ascii="Arial" w:cs="Arial" w:eastAsia="Arial" w:hAnsi="Arial"/>
                <w:sz w:val="12"/>
                <w:szCs w:val="12"/>
                <w:color w:val="auto"/>
              </w:rPr>
              <w:t>254,599</w:t>
            </w:r>
          </w:p>
        </w:tc>
        <w:tc>
          <w:tcPr>
            <w:tcW w:w="800" w:type="dxa"/>
            <w:vAlign w:val="bottom"/>
          </w:tcPr>
          <w:p>
            <w:pPr>
              <w:jc w:val="right"/>
              <w:spacing w:after="0"/>
              <w:rPr>
                <w:sz w:val="20"/>
                <w:szCs w:val="20"/>
                <w:color w:val="auto"/>
              </w:rPr>
            </w:pPr>
            <w:r>
              <w:rPr>
                <w:rFonts w:ascii="Arial" w:cs="Arial" w:eastAsia="Arial" w:hAnsi="Arial"/>
                <w:sz w:val="12"/>
                <w:szCs w:val="12"/>
                <w:color w:val="auto"/>
              </w:rPr>
              <w:t>8,436,478</w:t>
            </w:r>
          </w:p>
        </w:tc>
        <w:tc>
          <w:tcPr>
            <w:tcW w:w="0" w:type="dxa"/>
            <w:vAlign w:val="bottom"/>
          </w:tcPr>
          <w:p>
            <w:pPr>
              <w:spacing w:after="0"/>
              <w:rPr>
                <w:sz w:val="1"/>
                <w:szCs w:val="1"/>
                <w:color w:val="auto"/>
              </w:rPr>
            </w:pPr>
          </w:p>
        </w:tc>
      </w:tr>
      <w:tr>
        <w:trPr>
          <w:trHeight w:val="173"/>
        </w:trPr>
        <w:tc>
          <w:tcPr>
            <w:tcW w:w="2440" w:type="dxa"/>
            <w:vAlign w:val="bottom"/>
          </w:tcPr>
          <w:p>
            <w:pPr>
              <w:ind w:left="100"/>
              <w:spacing w:after="0"/>
              <w:rPr>
                <w:sz w:val="20"/>
                <w:szCs w:val="20"/>
                <w:color w:val="auto"/>
              </w:rPr>
            </w:pPr>
            <w:r>
              <w:rPr>
                <w:rFonts w:ascii="Arial" w:cs="Arial" w:eastAsia="Arial" w:hAnsi="Arial"/>
                <w:sz w:val="13"/>
                <w:szCs w:val="13"/>
                <w:color w:val="auto"/>
              </w:rPr>
              <w:t>Chairman of the Board</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7"/>
              </w:rPr>
              <w:t>2024</w:t>
            </w:r>
          </w:p>
        </w:tc>
        <w:tc>
          <w:tcPr>
            <w:tcW w:w="1100" w:type="dxa"/>
            <w:vAlign w:val="bottom"/>
            <w:gridSpan w:val="2"/>
            <w:vMerge w:val="restart"/>
          </w:tcPr>
          <w:p>
            <w:pPr>
              <w:jc w:val="right"/>
              <w:ind w:right="75"/>
              <w:spacing w:after="0"/>
              <w:rPr>
                <w:sz w:val="20"/>
                <w:szCs w:val="20"/>
                <w:color w:val="auto"/>
              </w:rPr>
            </w:pPr>
            <w:r>
              <w:rPr>
                <w:rFonts w:ascii="Arial" w:cs="Arial" w:eastAsia="Arial" w:hAnsi="Arial"/>
                <w:sz w:val="12"/>
                <w:szCs w:val="12"/>
                <w:color w:val="auto"/>
              </w:rPr>
              <w:t>1,174,609</w:t>
            </w:r>
          </w:p>
        </w:tc>
        <w:tc>
          <w:tcPr>
            <w:tcW w:w="840" w:type="dxa"/>
            <w:vAlign w:val="bottom"/>
            <w:vMerge w:val="restart"/>
          </w:tcPr>
          <w:p>
            <w:pPr>
              <w:jc w:val="center"/>
              <w:ind w:right="16"/>
              <w:spacing w:after="0"/>
              <w:rPr>
                <w:sz w:val="20"/>
                <w:szCs w:val="20"/>
                <w:color w:val="auto"/>
              </w:rPr>
            </w:pPr>
            <w:r>
              <w:rPr>
                <w:rFonts w:ascii="Arial" w:cs="Arial" w:eastAsia="Arial" w:hAnsi="Arial"/>
                <w:sz w:val="12"/>
                <w:szCs w:val="12"/>
                <w:color w:val="auto"/>
              </w:rPr>
              <w:t>0</w:t>
            </w:r>
          </w:p>
        </w:tc>
        <w:tc>
          <w:tcPr>
            <w:tcW w:w="1060" w:type="dxa"/>
            <w:vAlign w:val="bottom"/>
            <w:vMerge w:val="restart"/>
          </w:tcPr>
          <w:p>
            <w:pPr>
              <w:jc w:val="right"/>
              <w:ind w:right="76"/>
              <w:spacing w:after="0"/>
              <w:rPr>
                <w:sz w:val="20"/>
                <w:szCs w:val="20"/>
                <w:color w:val="auto"/>
              </w:rPr>
            </w:pPr>
            <w:r>
              <w:rPr>
                <w:rFonts w:ascii="Arial" w:cs="Arial" w:eastAsia="Arial" w:hAnsi="Arial"/>
                <w:sz w:val="12"/>
                <w:szCs w:val="12"/>
                <w:color w:val="auto"/>
              </w:rPr>
              <w:t>3,207,120</w:t>
            </w:r>
          </w:p>
        </w:tc>
        <w:tc>
          <w:tcPr>
            <w:tcW w:w="1000" w:type="dxa"/>
            <w:vAlign w:val="bottom"/>
            <w:vMerge w:val="restart"/>
          </w:tcPr>
          <w:p>
            <w:pPr>
              <w:jc w:val="right"/>
              <w:ind w:right="96"/>
              <w:spacing w:after="0"/>
              <w:rPr>
                <w:sz w:val="20"/>
                <w:szCs w:val="20"/>
                <w:color w:val="auto"/>
              </w:rPr>
            </w:pPr>
            <w:r>
              <w:rPr>
                <w:rFonts w:ascii="Arial" w:cs="Arial" w:eastAsia="Arial" w:hAnsi="Arial"/>
                <w:sz w:val="12"/>
                <w:szCs w:val="12"/>
                <w:color w:val="auto"/>
              </w:rPr>
              <w:t>3,162,586</w:t>
            </w:r>
          </w:p>
        </w:tc>
        <w:tc>
          <w:tcPr>
            <w:tcW w:w="1540" w:type="dxa"/>
            <w:vAlign w:val="bottom"/>
            <w:vMerge w:val="restart"/>
          </w:tcPr>
          <w:p>
            <w:pPr>
              <w:jc w:val="right"/>
              <w:ind w:right="95"/>
              <w:spacing w:after="0"/>
              <w:rPr>
                <w:sz w:val="20"/>
                <w:szCs w:val="20"/>
                <w:color w:val="auto"/>
              </w:rPr>
            </w:pPr>
            <w:r>
              <w:rPr>
                <w:rFonts w:ascii="Arial" w:cs="Arial" w:eastAsia="Arial" w:hAnsi="Arial"/>
                <w:sz w:val="12"/>
                <w:szCs w:val="12"/>
                <w:color w:val="auto"/>
              </w:rPr>
              <w:t>604,994</w:t>
            </w:r>
          </w:p>
        </w:tc>
        <w:tc>
          <w:tcPr>
            <w:tcW w:w="1560" w:type="dxa"/>
            <w:vAlign w:val="bottom"/>
            <w:vMerge w:val="restart"/>
          </w:tcPr>
          <w:p>
            <w:pPr>
              <w:jc w:val="right"/>
              <w:ind w:right="136"/>
              <w:spacing w:after="0"/>
              <w:rPr>
                <w:sz w:val="20"/>
                <w:szCs w:val="20"/>
                <w:color w:val="auto"/>
              </w:rPr>
            </w:pPr>
            <w:r>
              <w:rPr>
                <w:rFonts w:ascii="Arial" w:cs="Arial" w:eastAsia="Arial" w:hAnsi="Arial"/>
                <w:sz w:val="12"/>
                <w:szCs w:val="12"/>
                <w:color w:val="auto"/>
              </w:rPr>
              <w:t>129,130</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8,278,439</w:t>
            </w:r>
          </w:p>
        </w:tc>
        <w:tc>
          <w:tcPr>
            <w:tcW w:w="0" w:type="dxa"/>
            <w:vAlign w:val="bottom"/>
          </w:tcPr>
          <w:p>
            <w:pPr>
              <w:spacing w:after="0"/>
              <w:rPr>
                <w:sz w:val="1"/>
                <w:szCs w:val="1"/>
                <w:color w:val="auto"/>
              </w:rPr>
            </w:pPr>
          </w:p>
        </w:tc>
      </w:tr>
      <w:tr>
        <w:trPr>
          <w:trHeight w:val="53"/>
        </w:trPr>
        <w:tc>
          <w:tcPr>
            <w:tcW w:w="2440" w:type="dxa"/>
            <w:vAlign w:val="bottom"/>
            <w:vMerge w:val="restart"/>
          </w:tcPr>
          <w:p>
            <w:pPr>
              <w:ind w:left="100"/>
              <w:spacing w:after="0"/>
              <w:rPr>
                <w:sz w:val="20"/>
                <w:szCs w:val="20"/>
                <w:color w:val="auto"/>
              </w:rPr>
            </w:pPr>
            <w:r>
              <w:rPr>
                <w:rFonts w:ascii="Arial" w:cs="Arial" w:eastAsia="Arial" w:hAnsi="Arial"/>
                <w:sz w:val="13"/>
                <w:szCs w:val="13"/>
                <w:color w:val="auto"/>
              </w:rPr>
              <w:t>and Chief Executive Officer</w:t>
            </w:r>
          </w:p>
        </w:tc>
        <w:tc>
          <w:tcPr>
            <w:tcW w:w="680" w:type="dxa"/>
            <w:vAlign w:val="bottom"/>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156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440" w:type="dxa"/>
            <w:vAlign w:val="bottom"/>
            <w:vMerge w:val="continue"/>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7"/>
              </w:rPr>
              <w:t>2023</w:t>
            </w:r>
          </w:p>
        </w:tc>
        <w:tc>
          <w:tcPr>
            <w:tcW w:w="1100" w:type="dxa"/>
            <w:vAlign w:val="bottom"/>
            <w:gridSpan w:val="2"/>
            <w:vMerge w:val="restart"/>
          </w:tcPr>
          <w:p>
            <w:pPr>
              <w:jc w:val="right"/>
              <w:ind w:right="75"/>
              <w:spacing w:after="0"/>
              <w:rPr>
                <w:sz w:val="20"/>
                <w:szCs w:val="20"/>
                <w:color w:val="auto"/>
              </w:rPr>
            </w:pPr>
            <w:r>
              <w:rPr>
                <w:rFonts w:ascii="Arial" w:cs="Arial" w:eastAsia="Arial" w:hAnsi="Arial"/>
                <w:sz w:val="12"/>
                <w:szCs w:val="12"/>
                <w:color w:val="auto"/>
              </w:rPr>
              <w:t>1,129,958</w:t>
            </w:r>
          </w:p>
        </w:tc>
        <w:tc>
          <w:tcPr>
            <w:tcW w:w="840" w:type="dxa"/>
            <w:vAlign w:val="bottom"/>
            <w:vMerge w:val="restart"/>
          </w:tcPr>
          <w:p>
            <w:pPr>
              <w:jc w:val="center"/>
              <w:ind w:right="16"/>
              <w:spacing w:after="0"/>
              <w:rPr>
                <w:sz w:val="20"/>
                <w:szCs w:val="20"/>
                <w:color w:val="auto"/>
              </w:rPr>
            </w:pPr>
            <w:r>
              <w:rPr>
                <w:rFonts w:ascii="Arial" w:cs="Arial" w:eastAsia="Arial" w:hAnsi="Arial"/>
                <w:sz w:val="12"/>
                <w:szCs w:val="12"/>
                <w:color w:val="auto"/>
              </w:rPr>
              <w:t>0</w:t>
            </w:r>
          </w:p>
        </w:tc>
        <w:tc>
          <w:tcPr>
            <w:tcW w:w="1060" w:type="dxa"/>
            <w:vAlign w:val="bottom"/>
            <w:vMerge w:val="restart"/>
          </w:tcPr>
          <w:p>
            <w:pPr>
              <w:jc w:val="right"/>
              <w:ind w:right="76"/>
              <w:spacing w:after="0"/>
              <w:rPr>
                <w:sz w:val="20"/>
                <w:szCs w:val="20"/>
                <w:color w:val="auto"/>
              </w:rPr>
            </w:pPr>
            <w:r>
              <w:rPr>
                <w:rFonts w:ascii="Arial" w:cs="Arial" w:eastAsia="Arial" w:hAnsi="Arial"/>
                <w:sz w:val="12"/>
                <w:szCs w:val="12"/>
                <w:color w:val="auto"/>
              </w:rPr>
              <w:t>3,599,694</w:t>
            </w:r>
          </w:p>
        </w:tc>
        <w:tc>
          <w:tcPr>
            <w:tcW w:w="1000" w:type="dxa"/>
            <w:vAlign w:val="bottom"/>
            <w:vMerge w:val="restart"/>
          </w:tcPr>
          <w:p>
            <w:pPr>
              <w:jc w:val="right"/>
              <w:ind w:right="96"/>
              <w:spacing w:after="0"/>
              <w:rPr>
                <w:sz w:val="20"/>
                <w:szCs w:val="20"/>
                <w:color w:val="auto"/>
              </w:rPr>
            </w:pPr>
            <w:r>
              <w:rPr>
                <w:rFonts w:ascii="Arial" w:cs="Arial" w:eastAsia="Arial" w:hAnsi="Arial"/>
                <w:sz w:val="12"/>
                <w:szCs w:val="12"/>
                <w:color w:val="auto"/>
              </w:rPr>
              <w:t>3,692,052</w:t>
            </w:r>
          </w:p>
        </w:tc>
        <w:tc>
          <w:tcPr>
            <w:tcW w:w="1540" w:type="dxa"/>
            <w:vAlign w:val="bottom"/>
            <w:vMerge w:val="restart"/>
          </w:tcPr>
          <w:p>
            <w:pPr>
              <w:jc w:val="right"/>
              <w:ind w:right="95"/>
              <w:spacing w:after="0"/>
              <w:rPr>
                <w:sz w:val="20"/>
                <w:szCs w:val="20"/>
                <w:color w:val="auto"/>
              </w:rPr>
            </w:pPr>
            <w:r>
              <w:rPr>
                <w:rFonts w:ascii="Arial" w:cs="Arial" w:eastAsia="Arial" w:hAnsi="Arial"/>
                <w:sz w:val="12"/>
                <w:szCs w:val="12"/>
                <w:color w:val="auto"/>
              </w:rPr>
              <w:t>425,260</w:t>
            </w:r>
          </w:p>
        </w:tc>
        <w:tc>
          <w:tcPr>
            <w:tcW w:w="1560" w:type="dxa"/>
            <w:vAlign w:val="bottom"/>
            <w:vMerge w:val="restart"/>
          </w:tcPr>
          <w:p>
            <w:pPr>
              <w:jc w:val="right"/>
              <w:ind w:right="136"/>
              <w:spacing w:after="0"/>
              <w:rPr>
                <w:sz w:val="20"/>
                <w:szCs w:val="20"/>
                <w:color w:val="auto"/>
              </w:rPr>
            </w:pPr>
            <w:r>
              <w:rPr>
                <w:rFonts w:ascii="Arial" w:cs="Arial" w:eastAsia="Arial" w:hAnsi="Arial"/>
                <w:sz w:val="12"/>
                <w:szCs w:val="12"/>
                <w:color w:val="auto"/>
              </w:rPr>
              <w:t>178,847</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9,025,811</w:t>
            </w:r>
          </w:p>
        </w:tc>
        <w:tc>
          <w:tcPr>
            <w:tcW w:w="0" w:type="dxa"/>
            <w:vAlign w:val="bottom"/>
          </w:tcPr>
          <w:p>
            <w:pPr>
              <w:spacing w:after="0"/>
              <w:rPr>
                <w:sz w:val="1"/>
                <w:szCs w:val="1"/>
                <w:color w:val="auto"/>
              </w:rPr>
            </w:pPr>
          </w:p>
        </w:tc>
      </w:tr>
      <w:tr>
        <w:trPr>
          <w:trHeight w:val="91"/>
        </w:trPr>
        <w:tc>
          <w:tcPr>
            <w:tcW w:w="24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5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Angela C. Drake,</w:t>
            </w:r>
          </w:p>
        </w:tc>
        <w:tc>
          <w:tcPr>
            <w:tcW w:w="6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7"/>
              </w:rPr>
              <w:t>2025</w:t>
            </w:r>
          </w:p>
        </w:tc>
        <w:tc>
          <w:tcPr>
            <w:tcW w:w="1100" w:type="dxa"/>
            <w:vAlign w:val="bottom"/>
            <w:gridSpan w:val="2"/>
            <w:shd w:val="clear" w:color="auto" w:fill="DBDBDB"/>
          </w:tcPr>
          <w:p>
            <w:pPr>
              <w:jc w:val="right"/>
              <w:ind w:right="75"/>
              <w:spacing w:after="0"/>
              <w:rPr>
                <w:sz w:val="20"/>
                <w:szCs w:val="20"/>
                <w:color w:val="auto"/>
              </w:rPr>
            </w:pPr>
            <w:r>
              <w:rPr>
                <w:rFonts w:ascii="Arial" w:cs="Arial" w:eastAsia="Arial" w:hAnsi="Arial"/>
                <w:sz w:val="12"/>
                <w:szCs w:val="12"/>
                <w:color w:val="auto"/>
              </w:rPr>
              <w:t>612,605</w:t>
            </w:r>
          </w:p>
        </w:tc>
        <w:tc>
          <w:tcPr>
            <w:tcW w:w="840" w:type="dxa"/>
            <w:vAlign w:val="bottom"/>
            <w:shd w:val="clear" w:color="auto" w:fill="DBDBDB"/>
          </w:tcPr>
          <w:p>
            <w:pPr>
              <w:jc w:val="center"/>
              <w:ind w:right="16"/>
              <w:spacing w:after="0"/>
              <w:rPr>
                <w:sz w:val="20"/>
                <w:szCs w:val="20"/>
                <w:color w:val="auto"/>
              </w:rPr>
            </w:pPr>
            <w:r>
              <w:rPr>
                <w:rFonts w:ascii="Arial" w:cs="Arial" w:eastAsia="Arial" w:hAnsi="Arial"/>
                <w:sz w:val="12"/>
                <w:szCs w:val="12"/>
                <w:color w:val="auto"/>
              </w:rPr>
              <w:t>0</w:t>
            </w:r>
          </w:p>
        </w:tc>
        <w:tc>
          <w:tcPr>
            <w:tcW w:w="1060" w:type="dxa"/>
            <w:vAlign w:val="bottom"/>
            <w:shd w:val="clear" w:color="auto" w:fill="DBDBDB"/>
          </w:tcPr>
          <w:p>
            <w:pPr>
              <w:jc w:val="right"/>
              <w:ind w:right="76"/>
              <w:spacing w:after="0"/>
              <w:rPr>
                <w:sz w:val="20"/>
                <w:szCs w:val="20"/>
                <w:color w:val="auto"/>
              </w:rPr>
            </w:pPr>
            <w:r>
              <w:rPr>
                <w:rFonts w:ascii="Arial" w:cs="Arial" w:eastAsia="Arial" w:hAnsi="Arial"/>
                <w:sz w:val="12"/>
                <w:szCs w:val="12"/>
                <w:color w:val="auto"/>
              </w:rPr>
              <w:t>839,157</w:t>
            </w:r>
          </w:p>
        </w:tc>
        <w:tc>
          <w:tcPr>
            <w:tcW w:w="1000" w:type="dxa"/>
            <w:vAlign w:val="bottom"/>
            <w:shd w:val="clear" w:color="auto" w:fill="DBDBDB"/>
          </w:tcPr>
          <w:p>
            <w:pPr>
              <w:jc w:val="right"/>
              <w:ind w:right="96"/>
              <w:spacing w:after="0"/>
              <w:rPr>
                <w:sz w:val="20"/>
                <w:szCs w:val="20"/>
                <w:color w:val="auto"/>
              </w:rPr>
            </w:pPr>
            <w:r>
              <w:rPr>
                <w:rFonts w:ascii="Arial" w:cs="Arial" w:eastAsia="Arial" w:hAnsi="Arial"/>
                <w:sz w:val="12"/>
                <w:szCs w:val="12"/>
                <w:color w:val="auto"/>
              </w:rPr>
              <w:t>591,406</w:t>
            </w:r>
          </w:p>
        </w:tc>
        <w:tc>
          <w:tcPr>
            <w:tcW w:w="1540" w:type="dxa"/>
            <w:vAlign w:val="bottom"/>
            <w:shd w:val="clear" w:color="auto" w:fill="DBDBDB"/>
          </w:tcPr>
          <w:p>
            <w:pPr>
              <w:jc w:val="right"/>
              <w:ind w:right="95"/>
              <w:spacing w:after="0"/>
              <w:rPr>
                <w:sz w:val="20"/>
                <w:szCs w:val="20"/>
                <w:color w:val="auto"/>
              </w:rPr>
            </w:pPr>
            <w:r>
              <w:rPr>
                <w:rFonts w:ascii="Arial" w:cs="Arial" w:eastAsia="Arial" w:hAnsi="Arial"/>
                <w:sz w:val="12"/>
                <w:szCs w:val="12"/>
                <w:color w:val="auto"/>
              </w:rPr>
              <w:t>349,920</w:t>
            </w:r>
          </w:p>
        </w:tc>
        <w:tc>
          <w:tcPr>
            <w:tcW w:w="1560" w:type="dxa"/>
            <w:vAlign w:val="bottom"/>
            <w:shd w:val="clear" w:color="auto" w:fill="DBDBDB"/>
          </w:tcPr>
          <w:p>
            <w:pPr>
              <w:jc w:val="right"/>
              <w:ind w:right="136"/>
              <w:spacing w:after="0"/>
              <w:rPr>
                <w:sz w:val="20"/>
                <w:szCs w:val="20"/>
                <w:color w:val="auto"/>
              </w:rPr>
            </w:pPr>
            <w:r>
              <w:rPr>
                <w:rFonts w:ascii="Arial" w:cs="Arial" w:eastAsia="Arial" w:hAnsi="Arial"/>
                <w:sz w:val="12"/>
                <w:szCs w:val="12"/>
                <w:color w:val="auto"/>
              </w:rPr>
              <w:t>102,048</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2,495,136</w:t>
            </w:r>
          </w:p>
        </w:tc>
        <w:tc>
          <w:tcPr>
            <w:tcW w:w="0" w:type="dxa"/>
            <w:vAlign w:val="bottom"/>
          </w:tcPr>
          <w:p>
            <w:pPr>
              <w:spacing w:after="0"/>
              <w:rPr>
                <w:sz w:val="1"/>
                <w:szCs w:val="1"/>
                <w:color w:val="auto"/>
              </w:rPr>
            </w:pPr>
          </w:p>
        </w:tc>
      </w:tr>
      <w:tr>
        <w:trPr>
          <w:trHeight w:val="160"/>
        </w:trPr>
        <w:tc>
          <w:tcPr>
            <w:tcW w:w="24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Vice President</w:t>
            </w:r>
          </w:p>
        </w:tc>
        <w:tc>
          <w:tcPr>
            <w:tcW w:w="680" w:type="dxa"/>
            <w:vAlign w:val="bottom"/>
            <w:vMerge w:val="restart"/>
            <w:shd w:val="clear" w:color="auto" w:fill="DBDBDB"/>
          </w:tcPr>
          <w:p>
            <w:pPr>
              <w:jc w:val="center"/>
              <w:spacing w:after="0"/>
              <w:rPr>
                <w:sz w:val="20"/>
                <w:szCs w:val="20"/>
                <w:color w:val="auto"/>
              </w:rPr>
            </w:pPr>
            <w:r>
              <w:rPr>
                <w:rFonts w:ascii="Arial" w:cs="Arial" w:eastAsia="Arial" w:hAnsi="Arial"/>
                <w:sz w:val="12"/>
                <w:szCs w:val="12"/>
                <w:color w:val="auto"/>
                <w:w w:val="97"/>
              </w:rPr>
              <w:t>2024</w:t>
            </w:r>
          </w:p>
        </w:tc>
        <w:tc>
          <w:tcPr>
            <w:tcW w:w="10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ind w:right="75"/>
              <w:spacing w:after="0"/>
              <w:rPr>
                <w:sz w:val="20"/>
                <w:szCs w:val="20"/>
                <w:color w:val="auto"/>
              </w:rPr>
            </w:pPr>
            <w:r>
              <w:rPr>
                <w:rFonts w:ascii="Arial" w:cs="Arial" w:eastAsia="Arial" w:hAnsi="Arial"/>
                <w:sz w:val="12"/>
                <w:szCs w:val="12"/>
                <w:color w:val="auto"/>
              </w:rPr>
              <w:t>579,813</w:t>
            </w:r>
          </w:p>
        </w:tc>
        <w:tc>
          <w:tcPr>
            <w:tcW w:w="840" w:type="dxa"/>
            <w:vAlign w:val="bottom"/>
            <w:vMerge w:val="restart"/>
            <w:shd w:val="clear" w:color="auto" w:fill="DBDBDB"/>
          </w:tcPr>
          <w:p>
            <w:pPr>
              <w:jc w:val="center"/>
              <w:ind w:right="16"/>
              <w:spacing w:after="0"/>
              <w:rPr>
                <w:sz w:val="20"/>
                <w:szCs w:val="20"/>
                <w:color w:val="auto"/>
              </w:rPr>
            </w:pPr>
            <w:r>
              <w:rPr>
                <w:rFonts w:ascii="Arial" w:cs="Arial" w:eastAsia="Arial" w:hAnsi="Arial"/>
                <w:sz w:val="12"/>
                <w:szCs w:val="12"/>
                <w:color w:val="auto"/>
              </w:rPr>
              <w:t>0</w:t>
            </w:r>
          </w:p>
        </w:tc>
        <w:tc>
          <w:tcPr>
            <w:tcW w:w="1060" w:type="dxa"/>
            <w:vAlign w:val="bottom"/>
            <w:vMerge w:val="restart"/>
            <w:shd w:val="clear" w:color="auto" w:fill="DBDBDB"/>
          </w:tcPr>
          <w:p>
            <w:pPr>
              <w:jc w:val="right"/>
              <w:ind w:right="76"/>
              <w:spacing w:after="0"/>
              <w:rPr>
                <w:sz w:val="20"/>
                <w:szCs w:val="20"/>
                <w:color w:val="auto"/>
              </w:rPr>
            </w:pPr>
            <w:r>
              <w:rPr>
                <w:rFonts w:ascii="Arial" w:cs="Arial" w:eastAsia="Arial" w:hAnsi="Arial"/>
                <w:sz w:val="12"/>
                <w:szCs w:val="12"/>
                <w:color w:val="auto"/>
              </w:rPr>
              <w:t>747,000</w:t>
            </w:r>
          </w:p>
        </w:tc>
        <w:tc>
          <w:tcPr>
            <w:tcW w:w="1000" w:type="dxa"/>
            <w:vAlign w:val="bottom"/>
            <w:vMerge w:val="restart"/>
            <w:shd w:val="clear" w:color="auto" w:fill="DBDBDB"/>
          </w:tcPr>
          <w:p>
            <w:pPr>
              <w:jc w:val="right"/>
              <w:ind w:right="96"/>
              <w:spacing w:after="0"/>
              <w:rPr>
                <w:sz w:val="20"/>
                <w:szCs w:val="20"/>
                <w:color w:val="auto"/>
              </w:rPr>
            </w:pPr>
            <w:r>
              <w:rPr>
                <w:rFonts w:ascii="Arial" w:cs="Arial" w:eastAsia="Arial" w:hAnsi="Arial"/>
                <w:sz w:val="12"/>
                <w:szCs w:val="12"/>
                <w:color w:val="auto"/>
              </w:rPr>
              <w:t>736,792</w:t>
            </w:r>
          </w:p>
        </w:tc>
        <w:tc>
          <w:tcPr>
            <w:tcW w:w="1540" w:type="dxa"/>
            <w:vAlign w:val="bottom"/>
            <w:vMerge w:val="restart"/>
            <w:shd w:val="clear" w:color="auto" w:fill="DBDBDB"/>
          </w:tcPr>
          <w:p>
            <w:pPr>
              <w:jc w:val="right"/>
              <w:ind w:right="95"/>
              <w:spacing w:after="0"/>
              <w:rPr>
                <w:sz w:val="20"/>
                <w:szCs w:val="20"/>
                <w:color w:val="auto"/>
              </w:rPr>
            </w:pPr>
            <w:r>
              <w:rPr>
                <w:rFonts w:ascii="Arial" w:cs="Arial" w:eastAsia="Arial" w:hAnsi="Arial"/>
                <w:sz w:val="12"/>
                <w:szCs w:val="12"/>
                <w:color w:val="auto"/>
              </w:rPr>
              <w:t>160,805</w:t>
            </w:r>
          </w:p>
        </w:tc>
        <w:tc>
          <w:tcPr>
            <w:tcW w:w="1560" w:type="dxa"/>
            <w:vAlign w:val="bottom"/>
            <w:vMerge w:val="restart"/>
            <w:shd w:val="clear" w:color="auto" w:fill="DBDBDB"/>
          </w:tcPr>
          <w:p>
            <w:pPr>
              <w:jc w:val="right"/>
              <w:ind w:right="136"/>
              <w:spacing w:after="0"/>
              <w:rPr>
                <w:sz w:val="20"/>
                <w:szCs w:val="20"/>
                <w:color w:val="auto"/>
              </w:rPr>
            </w:pPr>
            <w:r>
              <w:rPr>
                <w:rFonts w:ascii="Arial" w:cs="Arial" w:eastAsia="Arial" w:hAnsi="Arial"/>
                <w:sz w:val="12"/>
                <w:szCs w:val="12"/>
                <w:color w:val="auto"/>
              </w:rPr>
              <w:t>68,113</w:t>
            </w: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2,292,523</w:t>
            </w:r>
          </w:p>
        </w:tc>
        <w:tc>
          <w:tcPr>
            <w:tcW w:w="0" w:type="dxa"/>
            <w:vAlign w:val="bottom"/>
          </w:tcPr>
          <w:p>
            <w:pPr>
              <w:spacing w:after="0"/>
              <w:rPr>
                <w:sz w:val="1"/>
                <w:szCs w:val="1"/>
                <w:color w:val="auto"/>
              </w:rPr>
            </w:pPr>
          </w:p>
        </w:tc>
      </w:tr>
      <w:tr>
        <w:trPr>
          <w:trHeight w:val="79"/>
        </w:trPr>
        <w:tc>
          <w:tcPr>
            <w:tcW w:w="2440" w:type="dxa"/>
            <w:vAlign w:val="bottom"/>
            <w:vMerge w:val="restart"/>
            <w:shd w:val="clear" w:color="auto" w:fill="DBDBDB"/>
          </w:tcPr>
          <w:p>
            <w:pPr>
              <w:ind w:left="100"/>
              <w:spacing w:after="0"/>
              <w:rPr>
                <w:sz w:val="20"/>
                <w:szCs w:val="20"/>
                <w:color w:val="auto"/>
              </w:rPr>
            </w:pPr>
            <w:r>
              <w:rPr>
                <w:rFonts w:ascii="Arial" w:cs="Arial" w:eastAsia="Arial" w:hAnsi="Arial"/>
                <w:sz w:val="13"/>
                <w:szCs w:val="13"/>
                <w:color w:val="auto"/>
              </w:rPr>
              <w:t>and Chief Financial Officer</w:t>
            </w:r>
          </w:p>
        </w:tc>
        <w:tc>
          <w:tcPr>
            <w:tcW w:w="680" w:type="dxa"/>
            <w:vAlign w:val="bottom"/>
            <w:vMerge w:val="continue"/>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1000" w:type="dxa"/>
            <w:vAlign w:val="bottom"/>
            <w:vMerge w:val="continue"/>
            <w:shd w:val="clear" w:color="auto" w:fill="DBDBDB"/>
          </w:tcPr>
          <w:p>
            <w:pPr>
              <w:spacing w:after="0"/>
              <w:rPr>
                <w:sz w:val="6"/>
                <w:szCs w:val="6"/>
                <w:color w:val="auto"/>
              </w:rPr>
            </w:pPr>
          </w:p>
        </w:tc>
        <w:tc>
          <w:tcPr>
            <w:tcW w:w="840" w:type="dxa"/>
            <w:vAlign w:val="bottom"/>
            <w:vMerge w:val="continue"/>
            <w:shd w:val="clear" w:color="auto" w:fill="DBDBDB"/>
          </w:tcPr>
          <w:p>
            <w:pPr>
              <w:spacing w:after="0"/>
              <w:rPr>
                <w:sz w:val="6"/>
                <w:szCs w:val="6"/>
                <w:color w:val="auto"/>
              </w:rPr>
            </w:pPr>
          </w:p>
        </w:tc>
        <w:tc>
          <w:tcPr>
            <w:tcW w:w="1060" w:type="dxa"/>
            <w:vAlign w:val="bottom"/>
            <w:vMerge w:val="continue"/>
            <w:shd w:val="clear" w:color="auto" w:fill="DBDBDB"/>
          </w:tcPr>
          <w:p>
            <w:pPr>
              <w:spacing w:after="0"/>
              <w:rPr>
                <w:sz w:val="6"/>
                <w:szCs w:val="6"/>
                <w:color w:val="auto"/>
              </w:rPr>
            </w:pPr>
          </w:p>
        </w:tc>
        <w:tc>
          <w:tcPr>
            <w:tcW w:w="1000" w:type="dxa"/>
            <w:vAlign w:val="bottom"/>
            <w:vMerge w:val="continue"/>
            <w:shd w:val="clear" w:color="auto" w:fill="DBDBDB"/>
          </w:tcPr>
          <w:p>
            <w:pPr>
              <w:spacing w:after="0"/>
              <w:rPr>
                <w:sz w:val="6"/>
                <w:szCs w:val="6"/>
                <w:color w:val="auto"/>
              </w:rPr>
            </w:pPr>
          </w:p>
        </w:tc>
        <w:tc>
          <w:tcPr>
            <w:tcW w:w="1540" w:type="dxa"/>
            <w:vAlign w:val="bottom"/>
            <w:vMerge w:val="continue"/>
            <w:shd w:val="clear" w:color="auto" w:fill="DBDBDB"/>
          </w:tcPr>
          <w:p>
            <w:pPr>
              <w:spacing w:after="0"/>
              <w:rPr>
                <w:sz w:val="6"/>
                <w:szCs w:val="6"/>
                <w:color w:val="auto"/>
              </w:rPr>
            </w:pPr>
          </w:p>
        </w:tc>
        <w:tc>
          <w:tcPr>
            <w:tcW w:w="1560" w:type="dxa"/>
            <w:vAlign w:val="bottom"/>
            <w:vMerge w:val="continue"/>
            <w:shd w:val="clear" w:color="auto" w:fill="DBDBDB"/>
          </w:tcPr>
          <w:p>
            <w:pPr>
              <w:spacing w:after="0"/>
              <w:rPr>
                <w:sz w:val="6"/>
                <w:szCs w:val="6"/>
                <w:color w:val="auto"/>
              </w:rPr>
            </w:pPr>
          </w:p>
        </w:tc>
        <w:tc>
          <w:tcPr>
            <w:tcW w:w="800" w:type="dxa"/>
            <w:vAlign w:val="bottom"/>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440" w:type="dxa"/>
            <w:vAlign w:val="bottom"/>
            <w:vMerge w:val="continue"/>
            <w:shd w:val="clear" w:color="auto" w:fill="DBDBDB"/>
          </w:tcPr>
          <w:p>
            <w:pPr>
              <w:spacing w:after="0"/>
              <w:rPr>
                <w:sz w:val="8"/>
                <w:szCs w:val="8"/>
                <w:color w:val="auto"/>
              </w:rPr>
            </w:pPr>
          </w:p>
        </w:tc>
        <w:tc>
          <w:tcPr>
            <w:tcW w:w="680" w:type="dxa"/>
            <w:vAlign w:val="bottom"/>
            <w:vMerge w:val="restart"/>
            <w:shd w:val="clear" w:color="auto" w:fill="DBDBDB"/>
          </w:tcPr>
          <w:p>
            <w:pPr>
              <w:jc w:val="center"/>
              <w:spacing w:after="0"/>
              <w:rPr>
                <w:sz w:val="20"/>
                <w:szCs w:val="20"/>
                <w:color w:val="auto"/>
              </w:rPr>
            </w:pPr>
            <w:r>
              <w:rPr>
                <w:rFonts w:ascii="Arial" w:cs="Arial" w:eastAsia="Arial" w:hAnsi="Arial"/>
                <w:sz w:val="12"/>
                <w:szCs w:val="12"/>
                <w:color w:val="auto"/>
                <w:w w:val="97"/>
              </w:rPr>
              <w:t>2023</w:t>
            </w:r>
          </w:p>
        </w:tc>
        <w:tc>
          <w:tcPr>
            <w:tcW w:w="100" w:type="dxa"/>
            <w:vAlign w:val="bottom"/>
            <w:shd w:val="clear" w:color="auto" w:fill="DBDBDB"/>
          </w:tcPr>
          <w:p>
            <w:pPr>
              <w:spacing w:after="0"/>
              <w:rPr>
                <w:sz w:val="8"/>
                <w:szCs w:val="8"/>
                <w:color w:val="auto"/>
              </w:rPr>
            </w:pPr>
          </w:p>
        </w:tc>
        <w:tc>
          <w:tcPr>
            <w:tcW w:w="1000" w:type="dxa"/>
            <w:vAlign w:val="bottom"/>
            <w:vMerge w:val="restart"/>
            <w:shd w:val="clear" w:color="auto" w:fill="DBDBDB"/>
          </w:tcPr>
          <w:p>
            <w:pPr>
              <w:jc w:val="right"/>
              <w:ind w:right="75"/>
              <w:spacing w:after="0"/>
              <w:rPr>
                <w:sz w:val="20"/>
                <w:szCs w:val="20"/>
                <w:color w:val="auto"/>
              </w:rPr>
            </w:pPr>
            <w:r>
              <w:rPr>
                <w:rFonts w:ascii="Arial" w:cs="Arial" w:eastAsia="Arial" w:hAnsi="Arial"/>
                <w:sz w:val="12"/>
                <w:szCs w:val="12"/>
                <w:color w:val="auto"/>
              </w:rPr>
              <w:t>510,777</w:t>
            </w:r>
          </w:p>
        </w:tc>
        <w:tc>
          <w:tcPr>
            <w:tcW w:w="840" w:type="dxa"/>
            <w:vAlign w:val="bottom"/>
            <w:vMerge w:val="restart"/>
            <w:shd w:val="clear" w:color="auto" w:fill="DBDBDB"/>
          </w:tcPr>
          <w:p>
            <w:pPr>
              <w:jc w:val="center"/>
              <w:ind w:right="16"/>
              <w:spacing w:after="0"/>
              <w:rPr>
                <w:sz w:val="20"/>
                <w:szCs w:val="20"/>
                <w:color w:val="auto"/>
              </w:rPr>
            </w:pPr>
            <w:r>
              <w:rPr>
                <w:rFonts w:ascii="Arial" w:cs="Arial" w:eastAsia="Arial" w:hAnsi="Arial"/>
                <w:sz w:val="12"/>
                <w:szCs w:val="12"/>
                <w:color w:val="auto"/>
              </w:rPr>
              <w:t>0</w:t>
            </w:r>
          </w:p>
        </w:tc>
        <w:tc>
          <w:tcPr>
            <w:tcW w:w="1060" w:type="dxa"/>
            <w:vAlign w:val="bottom"/>
            <w:vMerge w:val="restart"/>
            <w:shd w:val="clear" w:color="auto" w:fill="DBDBDB"/>
          </w:tcPr>
          <w:p>
            <w:pPr>
              <w:jc w:val="right"/>
              <w:ind w:right="76"/>
              <w:spacing w:after="0"/>
              <w:rPr>
                <w:sz w:val="20"/>
                <w:szCs w:val="20"/>
                <w:color w:val="auto"/>
              </w:rPr>
            </w:pPr>
            <w:r>
              <w:rPr>
                <w:rFonts w:ascii="Arial" w:cs="Arial" w:eastAsia="Arial" w:hAnsi="Arial"/>
                <w:sz w:val="12"/>
                <w:szCs w:val="12"/>
                <w:color w:val="auto"/>
              </w:rPr>
              <w:t>1,063,014</w:t>
            </w:r>
          </w:p>
        </w:tc>
        <w:tc>
          <w:tcPr>
            <w:tcW w:w="1000" w:type="dxa"/>
            <w:vAlign w:val="bottom"/>
            <w:vMerge w:val="restart"/>
            <w:shd w:val="clear" w:color="auto" w:fill="DBDBDB"/>
          </w:tcPr>
          <w:p>
            <w:pPr>
              <w:jc w:val="right"/>
              <w:ind w:right="96"/>
              <w:spacing w:after="0"/>
              <w:rPr>
                <w:sz w:val="20"/>
                <w:szCs w:val="20"/>
                <w:color w:val="auto"/>
              </w:rPr>
            </w:pPr>
            <w:r>
              <w:rPr>
                <w:rFonts w:ascii="Arial" w:cs="Arial" w:eastAsia="Arial" w:hAnsi="Arial"/>
                <w:sz w:val="12"/>
                <w:szCs w:val="12"/>
                <w:color w:val="auto"/>
              </w:rPr>
              <w:t>223,146</w:t>
            </w:r>
          </w:p>
        </w:tc>
        <w:tc>
          <w:tcPr>
            <w:tcW w:w="1540" w:type="dxa"/>
            <w:vAlign w:val="bottom"/>
            <w:vMerge w:val="restart"/>
            <w:shd w:val="clear" w:color="auto" w:fill="DBDBDB"/>
          </w:tcPr>
          <w:p>
            <w:pPr>
              <w:jc w:val="right"/>
              <w:ind w:right="95"/>
              <w:spacing w:after="0"/>
              <w:rPr>
                <w:sz w:val="20"/>
                <w:szCs w:val="20"/>
                <w:color w:val="auto"/>
              </w:rPr>
            </w:pPr>
            <w:r>
              <w:rPr>
                <w:rFonts w:ascii="Arial" w:cs="Arial" w:eastAsia="Arial" w:hAnsi="Arial"/>
                <w:sz w:val="12"/>
                <w:szCs w:val="12"/>
                <w:color w:val="auto"/>
              </w:rPr>
              <w:t>91,957</w:t>
            </w:r>
          </w:p>
        </w:tc>
        <w:tc>
          <w:tcPr>
            <w:tcW w:w="1560" w:type="dxa"/>
            <w:vAlign w:val="bottom"/>
            <w:vMerge w:val="restart"/>
            <w:shd w:val="clear" w:color="auto" w:fill="DBDBDB"/>
          </w:tcPr>
          <w:p>
            <w:pPr>
              <w:jc w:val="right"/>
              <w:ind w:right="136"/>
              <w:spacing w:after="0"/>
              <w:rPr>
                <w:sz w:val="20"/>
                <w:szCs w:val="20"/>
                <w:color w:val="auto"/>
              </w:rPr>
            </w:pPr>
            <w:r>
              <w:rPr>
                <w:rFonts w:ascii="Arial" w:cs="Arial" w:eastAsia="Arial" w:hAnsi="Arial"/>
                <w:sz w:val="12"/>
                <w:szCs w:val="12"/>
                <w:color w:val="auto"/>
              </w:rPr>
              <w:t>75,810</w:t>
            </w: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1,964,704</w:t>
            </w:r>
          </w:p>
        </w:tc>
        <w:tc>
          <w:tcPr>
            <w:tcW w:w="0" w:type="dxa"/>
            <w:vAlign w:val="bottom"/>
          </w:tcPr>
          <w:p>
            <w:pPr>
              <w:spacing w:after="0"/>
              <w:rPr>
                <w:sz w:val="1"/>
                <w:szCs w:val="1"/>
                <w:color w:val="auto"/>
              </w:rPr>
            </w:pPr>
          </w:p>
        </w:tc>
      </w:tr>
      <w:tr>
        <w:trPr>
          <w:trHeight w:val="125"/>
        </w:trPr>
        <w:tc>
          <w:tcPr>
            <w:tcW w:w="2440" w:type="dxa"/>
            <w:vAlign w:val="bottom"/>
            <w:tcBorders>
              <w:bottom w:val="single" w:sz="8" w:color="DBDBDB"/>
            </w:tcBorders>
            <w:shd w:val="clear" w:color="auto" w:fill="DBDBDB"/>
          </w:tcPr>
          <w:p>
            <w:pPr>
              <w:spacing w:after="0"/>
              <w:rPr>
                <w:sz w:val="10"/>
                <w:szCs w:val="10"/>
                <w:color w:val="auto"/>
              </w:rPr>
            </w:pPr>
          </w:p>
        </w:tc>
        <w:tc>
          <w:tcPr>
            <w:tcW w:w="680" w:type="dxa"/>
            <w:vAlign w:val="bottom"/>
            <w:tcBorders>
              <w:bottom w:val="single" w:sz="8" w:color="DBDBDB"/>
            </w:tcBorders>
            <w:vMerge w:val="continue"/>
            <w:shd w:val="clear" w:color="auto" w:fill="DBDBDB"/>
          </w:tcPr>
          <w:p>
            <w:pPr>
              <w:spacing w:after="0"/>
              <w:rPr>
                <w:sz w:val="10"/>
                <w:szCs w:val="10"/>
                <w:color w:val="auto"/>
              </w:rPr>
            </w:pPr>
          </w:p>
        </w:tc>
        <w:tc>
          <w:tcPr>
            <w:tcW w:w="100" w:type="dxa"/>
            <w:vAlign w:val="bottom"/>
            <w:tcBorders>
              <w:bottom w:val="single" w:sz="8" w:color="DBDBDB"/>
            </w:tcBorders>
            <w:shd w:val="clear" w:color="auto" w:fill="DBDBDB"/>
          </w:tcPr>
          <w:p>
            <w:pPr>
              <w:spacing w:after="0"/>
              <w:rPr>
                <w:sz w:val="10"/>
                <w:szCs w:val="10"/>
                <w:color w:val="auto"/>
              </w:rPr>
            </w:pPr>
          </w:p>
        </w:tc>
        <w:tc>
          <w:tcPr>
            <w:tcW w:w="1000" w:type="dxa"/>
            <w:vAlign w:val="bottom"/>
            <w:tcBorders>
              <w:bottom w:val="single" w:sz="8" w:color="DBDBDB"/>
            </w:tcBorders>
            <w:vMerge w:val="continue"/>
            <w:shd w:val="clear" w:color="auto" w:fill="DBDBDB"/>
          </w:tcPr>
          <w:p>
            <w:pPr>
              <w:spacing w:after="0"/>
              <w:rPr>
                <w:sz w:val="10"/>
                <w:szCs w:val="10"/>
                <w:color w:val="auto"/>
              </w:rPr>
            </w:pPr>
          </w:p>
        </w:tc>
        <w:tc>
          <w:tcPr>
            <w:tcW w:w="840" w:type="dxa"/>
            <w:vAlign w:val="bottom"/>
            <w:tcBorders>
              <w:bottom w:val="single" w:sz="8" w:color="DBDBDB"/>
            </w:tcBorders>
            <w:vMerge w:val="continue"/>
            <w:shd w:val="clear" w:color="auto" w:fill="DBDBDB"/>
          </w:tcPr>
          <w:p>
            <w:pPr>
              <w:spacing w:after="0"/>
              <w:rPr>
                <w:sz w:val="10"/>
                <w:szCs w:val="10"/>
                <w:color w:val="auto"/>
              </w:rPr>
            </w:pPr>
          </w:p>
        </w:tc>
        <w:tc>
          <w:tcPr>
            <w:tcW w:w="1060" w:type="dxa"/>
            <w:vAlign w:val="bottom"/>
            <w:tcBorders>
              <w:bottom w:val="single" w:sz="8" w:color="DBDBDB"/>
            </w:tcBorders>
            <w:vMerge w:val="continue"/>
            <w:shd w:val="clear" w:color="auto" w:fill="DBDBDB"/>
          </w:tcPr>
          <w:p>
            <w:pPr>
              <w:spacing w:after="0"/>
              <w:rPr>
                <w:sz w:val="10"/>
                <w:szCs w:val="10"/>
                <w:color w:val="auto"/>
              </w:rPr>
            </w:pPr>
          </w:p>
        </w:tc>
        <w:tc>
          <w:tcPr>
            <w:tcW w:w="1000" w:type="dxa"/>
            <w:vAlign w:val="bottom"/>
            <w:tcBorders>
              <w:bottom w:val="single" w:sz="8" w:color="DBDBDB"/>
            </w:tcBorders>
            <w:vMerge w:val="continue"/>
            <w:shd w:val="clear" w:color="auto" w:fill="DBDBDB"/>
          </w:tcPr>
          <w:p>
            <w:pPr>
              <w:spacing w:after="0"/>
              <w:rPr>
                <w:sz w:val="10"/>
                <w:szCs w:val="10"/>
                <w:color w:val="auto"/>
              </w:rPr>
            </w:pPr>
          </w:p>
        </w:tc>
        <w:tc>
          <w:tcPr>
            <w:tcW w:w="1540" w:type="dxa"/>
            <w:vAlign w:val="bottom"/>
            <w:tcBorders>
              <w:bottom w:val="single" w:sz="8" w:color="DBDBDB"/>
            </w:tcBorders>
            <w:vMerge w:val="continue"/>
            <w:shd w:val="clear" w:color="auto" w:fill="DBDBDB"/>
          </w:tcPr>
          <w:p>
            <w:pPr>
              <w:spacing w:after="0"/>
              <w:rPr>
                <w:sz w:val="10"/>
                <w:szCs w:val="10"/>
                <w:color w:val="auto"/>
              </w:rPr>
            </w:pPr>
          </w:p>
        </w:tc>
        <w:tc>
          <w:tcPr>
            <w:tcW w:w="1560" w:type="dxa"/>
            <w:vAlign w:val="bottom"/>
            <w:tcBorders>
              <w:bottom w:val="single" w:sz="8" w:color="DBDBDB"/>
            </w:tcBorders>
            <w:vMerge w:val="continue"/>
            <w:shd w:val="clear" w:color="auto" w:fill="DBDBDB"/>
          </w:tcPr>
          <w:p>
            <w:pPr>
              <w:spacing w:after="0"/>
              <w:rPr>
                <w:sz w:val="10"/>
                <w:szCs w:val="10"/>
                <w:color w:val="auto"/>
              </w:rPr>
            </w:pPr>
          </w:p>
        </w:tc>
        <w:tc>
          <w:tcPr>
            <w:tcW w:w="800" w:type="dxa"/>
            <w:vAlign w:val="bottom"/>
            <w:tcBorders>
              <w:bottom w:val="single" w:sz="8" w:color="DBDBDB"/>
            </w:tcBorders>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440" w:type="dxa"/>
            <w:vAlign w:val="bottom"/>
          </w:tcPr>
          <w:p>
            <w:pPr>
              <w:ind w:left="20"/>
              <w:spacing w:after="0"/>
              <w:rPr>
                <w:sz w:val="20"/>
                <w:szCs w:val="20"/>
                <w:color w:val="auto"/>
              </w:rPr>
            </w:pPr>
            <w:r>
              <w:rPr>
                <w:rFonts w:ascii="Arial" w:cs="Arial" w:eastAsia="Arial" w:hAnsi="Arial"/>
                <w:sz w:val="13"/>
                <w:szCs w:val="13"/>
                <w:color w:val="auto"/>
              </w:rPr>
              <w:t>Edric C. Funk,</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440" w:type="dxa"/>
            <w:vAlign w:val="bottom"/>
          </w:tcPr>
          <w:p>
            <w:pPr>
              <w:ind w:left="100"/>
              <w:spacing w:after="0"/>
              <w:rPr>
                <w:sz w:val="20"/>
                <w:szCs w:val="20"/>
                <w:color w:val="auto"/>
              </w:rPr>
            </w:pPr>
            <w:r>
              <w:rPr>
                <w:rFonts w:ascii="Arial" w:cs="Arial" w:eastAsia="Arial" w:hAnsi="Arial"/>
                <w:sz w:val="13"/>
                <w:szCs w:val="13"/>
                <w:color w:val="auto"/>
              </w:rPr>
              <w:t>President</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440" w:type="dxa"/>
            <w:vAlign w:val="bottom"/>
          </w:tcPr>
          <w:p>
            <w:pPr>
              <w:ind w:left="100"/>
              <w:spacing w:after="0" w:line="194" w:lineRule="exact"/>
              <w:rPr>
                <w:sz w:val="20"/>
                <w:szCs w:val="20"/>
                <w:color w:val="auto"/>
              </w:rPr>
            </w:pPr>
            <w:r>
              <w:rPr>
                <w:rFonts w:ascii="Arial" w:cs="Arial" w:eastAsia="Arial" w:hAnsi="Arial"/>
                <w:sz w:val="13"/>
                <w:szCs w:val="13"/>
                <w:color w:val="auto"/>
              </w:rPr>
              <w:t>and Chief Operating Officer</w:t>
            </w:r>
            <w:r>
              <w:rPr>
                <w:rFonts w:ascii="Arial" w:cs="Arial" w:eastAsia="Arial" w:hAnsi="Arial"/>
                <w:sz w:val="17"/>
                <w:szCs w:val="17"/>
                <w:color w:val="auto"/>
                <w:vertAlign w:val="superscript"/>
              </w:rPr>
              <w:t>7</w:t>
            </w:r>
          </w:p>
        </w:tc>
        <w:tc>
          <w:tcPr>
            <w:tcW w:w="680" w:type="dxa"/>
            <w:vAlign w:val="bottom"/>
          </w:tcPr>
          <w:p>
            <w:pPr>
              <w:jc w:val="center"/>
              <w:spacing w:after="0"/>
              <w:rPr>
                <w:sz w:val="20"/>
                <w:szCs w:val="20"/>
                <w:color w:val="auto"/>
              </w:rPr>
            </w:pPr>
            <w:r>
              <w:rPr>
                <w:rFonts w:ascii="Arial" w:cs="Arial" w:eastAsia="Arial" w:hAnsi="Arial"/>
                <w:sz w:val="12"/>
                <w:szCs w:val="12"/>
                <w:color w:val="auto"/>
                <w:w w:val="97"/>
              </w:rPr>
              <w:t>2025</w:t>
            </w:r>
          </w:p>
        </w:tc>
        <w:tc>
          <w:tcPr>
            <w:tcW w:w="1100" w:type="dxa"/>
            <w:vAlign w:val="bottom"/>
            <w:gridSpan w:val="2"/>
          </w:tcPr>
          <w:p>
            <w:pPr>
              <w:jc w:val="right"/>
              <w:ind w:right="75"/>
              <w:spacing w:after="0"/>
              <w:rPr>
                <w:sz w:val="20"/>
                <w:szCs w:val="20"/>
                <w:color w:val="auto"/>
              </w:rPr>
            </w:pPr>
            <w:r>
              <w:rPr>
                <w:rFonts w:ascii="Arial" w:cs="Arial" w:eastAsia="Arial" w:hAnsi="Arial"/>
                <w:sz w:val="12"/>
                <w:szCs w:val="12"/>
                <w:color w:val="auto"/>
              </w:rPr>
              <w:t>515,970</w:t>
            </w:r>
          </w:p>
        </w:tc>
        <w:tc>
          <w:tcPr>
            <w:tcW w:w="840" w:type="dxa"/>
            <w:vAlign w:val="bottom"/>
          </w:tcPr>
          <w:p>
            <w:pPr>
              <w:jc w:val="center"/>
              <w:ind w:right="16"/>
              <w:spacing w:after="0"/>
              <w:rPr>
                <w:sz w:val="20"/>
                <w:szCs w:val="20"/>
                <w:color w:val="auto"/>
              </w:rPr>
            </w:pPr>
            <w:r>
              <w:rPr>
                <w:rFonts w:ascii="Arial" w:cs="Arial" w:eastAsia="Arial" w:hAnsi="Arial"/>
                <w:sz w:val="12"/>
                <w:szCs w:val="12"/>
                <w:color w:val="auto"/>
              </w:rPr>
              <w:t>0</w:t>
            </w:r>
          </w:p>
        </w:tc>
        <w:tc>
          <w:tcPr>
            <w:tcW w:w="1060" w:type="dxa"/>
            <w:vAlign w:val="bottom"/>
          </w:tcPr>
          <w:p>
            <w:pPr>
              <w:jc w:val="right"/>
              <w:ind w:right="76"/>
              <w:spacing w:after="0"/>
              <w:rPr>
                <w:sz w:val="20"/>
                <w:szCs w:val="20"/>
                <w:color w:val="auto"/>
              </w:rPr>
            </w:pPr>
            <w:r>
              <w:rPr>
                <w:rFonts w:ascii="Arial" w:cs="Arial" w:eastAsia="Arial" w:hAnsi="Arial"/>
                <w:sz w:val="12"/>
                <w:szCs w:val="12"/>
                <w:color w:val="auto"/>
              </w:rPr>
              <w:t>2,059,347</w:t>
            </w:r>
          </w:p>
        </w:tc>
        <w:tc>
          <w:tcPr>
            <w:tcW w:w="1000" w:type="dxa"/>
            <w:vAlign w:val="bottom"/>
          </w:tcPr>
          <w:p>
            <w:pPr>
              <w:jc w:val="right"/>
              <w:ind w:right="96"/>
              <w:spacing w:after="0"/>
              <w:rPr>
                <w:sz w:val="20"/>
                <w:szCs w:val="20"/>
                <w:color w:val="auto"/>
              </w:rPr>
            </w:pPr>
            <w:r>
              <w:rPr>
                <w:rFonts w:ascii="Arial" w:cs="Arial" w:eastAsia="Arial" w:hAnsi="Arial"/>
                <w:sz w:val="12"/>
                <w:szCs w:val="12"/>
                <w:color w:val="auto"/>
              </w:rPr>
              <w:t>394,271</w:t>
            </w:r>
          </w:p>
        </w:tc>
        <w:tc>
          <w:tcPr>
            <w:tcW w:w="1540" w:type="dxa"/>
            <w:vAlign w:val="bottom"/>
          </w:tcPr>
          <w:p>
            <w:pPr>
              <w:jc w:val="right"/>
              <w:ind w:right="95"/>
              <w:spacing w:after="0"/>
              <w:rPr>
                <w:sz w:val="20"/>
                <w:szCs w:val="20"/>
                <w:color w:val="auto"/>
              </w:rPr>
            </w:pPr>
            <w:r>
              <w:rPr>
                <w:rFonts w:ascii="Arial" w:cs="Arial" w:eastAsia="Arial" w:hAnsi="Arial"/>
                <w:sz w:val="12"/>
                <w:szCs w:val="12"/>
                <w:color w:val="auto"/>
              </w:rPr>
              <w:t>389,280</w:t>
            </w:r>
          </w:p>
        </w:tc>
        <w:tc>
          <w:tcPr>
            <w:tcW w:w="1560" w:type="dxa"/>
            <w:vAlign w:val="bottom"/>
          </w:tcPr>
          <w:p>
            <w:pPr>
              <w:jc w:val="right"/>
              <w:ind w:right="136"/>
              <w:spacing w:after="0"/>
              <w:rPr>
                <w:sz w:val="20"/>
                <w:szCs w:val="20"/>
                <w:color w:val="auto"/>
              </w:rPr>
            </w:pPr>
            <w:r>
              <w:rPr>
                <w:rFonts w:ascii="Arial" w:cs="Arial" w:eastAsia="Arial" w:hAnsi="Arial"/>
                <w:sz w:val="12"/>
                <w:szCs w:val="12"/>
                <w:color w:val="auto"/>
              </w:rPr>
              <w:t>134,845</w:t>
            </w:r>
          </w:p>
        </w:tc>
        <w:tc>
          <w:tcPr>
            <w:tcW w:w="800" w:type="dxa"/>
            <w:vAlign w:val="bottom"/>
          </w:tcPr>
          <w:p>
            <w:pPr>
              <w:jc w:val="right"/>
              <w:spacing w:after="0"/>
              <w:rPr>
                <w:sz w:val="20"/>
                <w:szCs w:val="20"/>
                <w:color w:val="auto"/>
              </w:rPr>
            </w:pPr>
            <w:r>
              <w:rPr>
                <w:rFonts w:ascii="Arial" w:cs="Arial" w:eastAsia="Arial" w:hAnsi="Arial"/>
                <w:sz w:val="12"/>
                <w:szCs w:val="12"/>
                <w:color w:val="auto"/>
              </w:rPr>
              <w:t>3,493,713</w:t>
            </w:r>
          </w:p>
        </w:tc>
        <w:tc>
          <w:tcPr>
            <w:tcW w:w="0" w:type="dxa"/>
            <w:vAlign w:val="bottom"/>
          </w:tcPr>
          <w:p>
            <w:pPr>
              <w:spacing w:after="0"/>
              <w:rPr>
                <w:sz w:val="1"/>
                <w:szCs w:val="1"/>
                <w:color w:val="auto"/>
              </w:rPr>
            </w:pPr>
          </w:p>
        </w:tc>
      </w:tr>
      <w:tr>
        <w:trPr>
          <w:trHeight w:val="161"/>
        </w:trPr>
        <w:tc>
          <w:tcPr>
            <w:tcW w:w="2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Peter D. Moeller,</w:t>
            </w:r>
          </w:p>
        </w:tc>
        <w:tc>
          <w:tcPr>
            <w:tcW w:w="6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1540" w:type="dxa"/>
            <w:vAlign w:val="bottom"/>
            <w:shd w:val="clear" w:color="auto" w:fill="DBDBDB"/>
          </w:tcPr>
          <w:p>
            <w:pPr>
              <w:spacing w:after="0"/>
              <w:rPr>
                <w:sz w:val="13"/>
                <w:szCs w:val="13"/>
                <w:color w:val="auto"/>
              </w:rPr>
            </w:pPr>
          </w:p>
        </w:tc>
        <w:tc>
          <w:tcPr>
            <w:tcW w:w="156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Group Vice President,</w:t>
            </w:r>
          </w:p>
        </w:tc>
        <w:tc>
          <w:tcPr>
            <w:tcW w:w="6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1540" w:type="dxa"/>
            <w:vAlign w:val="bottom"/>
            <w:shd w:val="clear" w:color="auto" w:fill="DBDBDB"/>
          </w:tcPr>
          <w:p>
            <w:pPr>
              <w:spacing w:after="0"/>
              <w:rPr>
                <w:sz w:val="13"/>
                <w:szCs w:val="13"/>
                <w:color w:val="auto"/>
              </w:rPr>
            </w:pPr>
          </w:p>
        </w:tc>
        <w:tc>
          <w:tcPr>
            <w:tcW w:w="156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440" w:type="dxa"/>
            <w:vAlign w:val="bottom"/>
            <w:shd w:val="clear" w:color="auto" w:fill="DBDBDB"/>
          </w:tcPr>
          <w:p>
            <w:pPr>
              <w:ind w:left="100"/>
              <w:spacing w:after="0" w:line="147" w:lineRule="exact"/>
              <w:rPr>
                <w:sz w:val="20"/>
                <w:szCs w:val="20"/>
                <w:color w:val="auto"/>
              </w:rPr>
            </w:pPr>
            <w:r>
              <w:rPr>
                <w:rFonts w:ascii="Arial" w:cs="Arial" w:eastAsia="Arial" w:hAnsi="Arial"/>
                <w:sz w:val="13"/>
                <w:szCs w:val="13"/>
                <w:color w:val="auto"/>
              </w:rPr>
              <w:t>Underground and Specialty</w:t>
            </w:r>
          </w:p>
        </w:tc>
        <w:tc>
          <w:tcPr>
            <w:tcW w:w="6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106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1540" w:type="dxa"/>
            <w:vAlign w:val="bottom"/>
            <w:shd w:val="clear" w:color="auto" w:fill="DBDBDB"/>
          </w:tcPr>
          <w:p>
            <w:pPr>
              <w:spacing w:after="0"/>
              <w:rPr>
                <w:sz w:val="12"/>
                <w:szCs w:val="12"/>
                <w:color w:val="auto"/>
              </w:rPr>
            </w:pPr>
          </w:p>
        </w:tc>
        <w:tc>
          <w:tcPr>
            <w:tcW w:w="156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4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Construction + International</w:t>
            </w:r>
            <w:r>
              <w:rPr>
                <w:rFonts w:ascii="Arial" w:cs="Arial" w:eastAsia="Arial" w:hAnsi="Arial"/>
                <w:sz w:val="17"/>
                <w:szCs w:val="17"/>
                <w:color w:val="auto"/>
                <w:vertAlign w:val="superscript"/>
              </w:rPr>
              <w:t>7</w:t>
            </w:r>
          </w:p>
        </w:tc>
        <w:tc>
          <w:tcPr>
            <w:tcW w:w="6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7"/>
              </w:rPr>
              <w:t>2025</w:t>
            </w:r>
          </w:p>
        </w:tc>
        <w:tc>
          <w:tcPr>
            <w:tcW w:w="1100" w:type="dxa"/>
            <w:vAlign w:val="bottom"/>
            <w:gridSpan w:val="2"/>
            <w:shd w:val="clear" w:color="auto" w:fill="DBDBDB"/>
          </w:tcPr>
          <w:p>
            <w:pPr>
              <w:jc w:val="right"/>
              <w:ind w:right="75"/>
              <w:spacing w:after="0"/>
              <w:rPr>
                <w:sz w:val="20"/>
                <w:szCs w:val="20"/>
                <w:color w:val="auto"/>
              </w:rPr>
            </w:pPr>
            <w:r>
              <w:rPr>
                <w:rFonts w:ascii="Arial" w:cs="Arial" w:eastAsia="Arial" w:hAnsi="Arial"/>
                <w:sz w:val="12"/>
                <w:szCs w:val="12"/>
                <w:color w:val="auto"/>
              </w:rPr>
              <w:t>443,469</w:t>
            </w:r>
          </w:p>
        </w:tc>
        <w:tc>
          <w:tcPr>
            <w:tcW w:w="840" w:type="dxa"/>
            <w:vAlign w:val="bottom"/>
            <w:shd w:val="clear" w:color="auto" w:fill="DBDBDB"/>
          </w:tcPr>
          <w:p>
            <w:pPr>
              <w:jc w:val="center"/>
              <w:ind w:right="16"/>
              <w:spacing w:after="0"/>
              <w:rPr>
                <w:sz w:val="20"/>
                <w:szCs w:val="20"/>
                <w:color w:val="auto"/>
              </w:rPr>
            </w:pPr>
            <w:r>
              <w:rPr>
                <w:rFonts w:ascii="Arial" w:cs="Arial" w:eastAsia="Arial" w:hAnsi="Arial"/>
                <w:sz w:val="12"/>
                <w:szCs w:val="12"/>
                <w:color w:val="auto"/>
              </w:rPr>
              <w:t>0</w:t>
            </w:r>
          </w:p>
        </w:tc>
        <w:tc>
          <w:tcPr>
            <w:tcW w:w="1060" w:type="dxa"/>
            <w:vAlign w:val="bottom"/>
            <w:shd w:val="clear" w:color="auto" w:fill="DBDBDB"/>
          </w:tcPr>
          <w:p>
            <w:pPr>
              <w:jc w:val="right"/>
              <w:ind w:right="76"/>
              <w:spacing w:after="0"/>
              <w:rPr>
                <w:sz w:val="20"/>
                <w:szCs w:val="20"/>
                <w:color w:val="auto"/>
              </w:rPr>
            </w:pPr>
            <w:r>
              <w:rPr>
                <w:rFonts w:ascii="Arial" w:cs="Arial" w:eastAsia="Arial" w:hAnsi="Arial"/>
                <w:sz w:val="12"/>
                <w:szCs w:val="12"/>
                <w:color w:val="auto"/>
              </w:rPr>
              <w:t>2,003,424</w:t>
            </w:r>
          </w:p>
        </w:tc>
        <w:tc>
          <w:tcPr>
            <w:tcW w:w="1000" w:type="dxa"/>
            <w:vAlign w:val="bottom"/>
            <w:shd w:val="clear" w:color="auto" w:fill="DBDBDB"/>
          </w:tcPr>
          <w:p>
            <w:pPr>
              <w:jc w:val="right"/>
              <w:ind w:right="96"/>
              <w:spacing w:after="0"/>
              <w:rPr>
                <w:sz w:val="20"/>
                <w:szCs w:val="20"/>
                <w:color w:val="auto"/>
              </w:rPr>
            </w:pPr>
            <w:r>
              <w:rPr>
                <w:rFonts w:ascii="Arial" w:cs="Arial" w:eastAsia="Arial" w:hAnsi="Arial"/>
                <w:sz w:val="12"/>
                <w:szCs w:val="12"/>
                <w:color w:val="auto"/>
              </w:rPr>
              <w:t>354,844</w:t>
            </w:r>
          </w:p>
        </w:tc>
        <w:tc>
          <w:tcPr>
            <w:tcW w:w="1540" w:type="dxa"/>
            <w:vAlign w:val="bottom"/>
            <w:shd w:val="clear" w:color="auto" w:fill="DBDBDB"/>
          </w:tcPr>
          <w:p>
            <w:pPr>
              <w:jc w:val="right"/>
              <w:ind w:right="95"/>
              <w:spacing w:after="0"/>
              <w:rPr>
                <w:sz w:val="20"/>
                <w:szCs w:val="20"/>
                <w:color w:val="auto"/>
              </w:rPr>
            </w:pPr>
            <w:r>
              <w:rPr>
                <w:rFonts w:ascii="Arial" w:cs="Arial" w:eastAsia="Arial" w:hAnsi="Arial"/>
                <w:sz w:val="12"/>
                <w:szCs w:val="12"/>
                <w:color w:val="auto"/>
              </w:rPr>
              <w:t>330,686</w:t>
            </w:r>
          </w:p>
        </w:tc>
        <w:tc>
          <w:tcPr>
            <w:tcW w:w="1560" w:type="dxa"/>
            <w:vAlign w:val="bottom"/>
            <w:shd w:val="clear" w:color="auto" w:fill="DBDBDB"/>
          </w:tcPr>
          <w:p>
            <w:pPr>
              <w:jc w:val="right"/>
              <w:ind w:right="136"/>
              <w:spacing w:after="0"/>
              <w:rPr>
                <w:sz w:val="20"/>
                <w:szCs w:val="20"/>
                <w:color w:val="auto"/>
              </w:rPr>
            </w:pPr>
            <w:r>
              <w:rPr>
                <w:rFonts w:ascii="Arial" w:cs="Arial" w:eastAsia="Arial" w:hAnsi="Arial"/>
                <w:sz w:val="12"/>
                <w:szCs w:val="12"/>
                <w:color w:val="auto"/>
              </w:rPr>
              <w:t>133,250</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3,265,673</w:t>
            </w:r>
          </w:p>
        </w:tc>
        <w:tc>
          <w:tcPr>
            <w:tcW w:w="0" w:type="dxa"/>
            <w:vAlign w:val="bottom"/>
          </w:tcPr>
          <w:p>
            <w:pPr>
              <w:spacing w:after="0"/>
              <w:rPr>
                <w:sz w:val="1"/>
                <w:szCs w:val="1"/>
                <w:color w:val="auto"/>
              </w:rPr>
            </w:pPr>
          </w:p>
        </w:tc>
      </w:tr>
      <w:tr>
        <w:trPr>
          <w:trHeight w:val="161"/>
        </w:trPr>
        <w:tc>
          <w:tcPr>
            <w:tcW w:w="2440" w:type="dxa"/>
            <w:vAlign w:val="bottom"/>
          </w:tcPr>
          <w:p>
            <w:pPr>
              <w:ind w:left="20"/>
              <w:spacing w:after="0"/>
              <w:rPr>
                <w:sz w:val="20"/>
                <w:szCs w:val="20"/>
                <w:color w:val="auto"/>
              </w:rPr>
            </w:pPr>
            <w:r>
              <w:rPr>
                <w:rFonts w:ascii="Arial" w:cs="Arial" w:eastAsia="Arial" w:hAnsi="Arial"/>
                <w:sz w:val="13"/>
                <w:szCs w:val="13"/>
                <w:color w:val="auto"/>
              </w:rPr>
              <w:t>Gregory S. Janey,</w:t>
            </w:r>
          </w:p>
        </w:tc>
        <w:tc>
          <w:tcPr>
            <w:tcW w:w="680" w:type="dxa"/>
            <w:vAlign w:val="bottom"/>
          </w:tcPr>
          <w:p>
            <w:pPr>
              <w:jc w:val="center"/>
              <w:spacing w:after="0"/>
              <w:rPr>
                <w:sz w:val="20"/>
                <w:szCs w:val="20"/>
                <w:color w:val="auto"/>
              </w:rPr>
            </w:pPr>
            <w:r>
              <w:rPr>
                <w:rFonts w:ascii="Arial" w:cs="Arial" w:eastAsia="Arial" w:hAnsi="Arial"/>
                <w:sz w:val="12"/>
                <w:szCs w:val="12"/>
                <w:color w:val="auto"/>
                <w:w w:val="97"/>
              </w:rPr>
              <w:t>2025</w:t>
            </w:r>
          </w:p>
        </w:tc>
        <w:tc>
          <w:tcPr>
            <w:tcW w:w="1100" w:type="dxa"/>
            <w:vAlign w:val="bottom"/>
            <w:gridSpan w:val="2"/>
          </w:tcPr>
          <w:p>
            <w:pPr>
              <w:jc w:val="right"/>
              <w:ind w:right="75"/>
              <w:spacing w:after="0"/>
              <w:rPr>
                <w:sz w:val="20"/>
                <w:szCs w:val="20"/>
                <w:color w:val="auto"/>
              </w:rPr>
            </w:pPr>
            <w:r>
              <w:rPr>
                <w:rFonts w:ascii="Arial" w:cs="Arial" w:eastAsia="Arial" w:hAnsi="Arial"/>
                <w:sz w:val="12"/>
                <w:szCs w:val="12"/>
                <w:color w:val="auto"/>
              </w:rPr>
              <w:t>474,513</w:t>
            </w:r>
          </w:p>
        </w:tc>
        <w:tc>
          <w:tcPr>
            <w:tcW w:w="840" w:type="dxa"/>
            <w:vAlign w:val="bottom"/>
          </w:tcPr>
          <w:p>
            <w:pPr>
              <w:jc w:val="center"/>
              <w:ind w:right="16"/>
              <w:spacing w:after="0"/>
              <w:rPr>
                <w:sz w:val="20"/>
                <w:szCs w:val="20"/>
                <w:color w:val="auto"/>
              </w:rPr>
            </w:pPr>
            <w:r>
              <w:rPr>
                <w:rFonts w:ascii="Arial" w:cs="Arial" w:eastAsia="Arial" w:hAnsi="Arial"/>
                <w:sz w:val="12"/>
                <w:szCs w:val="12"/>
                <w:color w:val="auto"/>
              </w:rPr>
              <w:t>0</w:t>
            </w:r>
          </w:p>
        </w:tc>
        <w:tc>
          <w:tcPr>
            <w:tcW w:w="1060" w:type="dxa"/>
            <w:vAlign w:val="bottom"/>
          </w:tcPr>
          <w:p>
            <w:pPr>
              <w:jc w:val="right"/>
              <w:ind w:right="76"/>
              <w:spacing w:after="0"/>
              <w:rPr>
                <w:sz w:val="20"/>
                <w:szCs w:val="20"/>
                <w:color w:val="auto"/>
              </w:rPr>
            </w:pPr>
            <w:r>
              <w:rPr>
                <w:rFonts w:ascii="Arial" w:cs="Arial" w:eastAsia="Arial" w:hAnsi="Arial"/>
                <w:sz w:val="12"/>
                <w:szCs w:val="12"/>
                <w:color w:val="auto"/>
              </w:rPr>
              <w:t>2,003,424</w:t>
            </w:r>
          </w:p>
        </w:tc>
        <w:tc>
          <w:tcPr>
            <w:tcW w:w="1000" w:type="dxa"/>
            <w:vAlign w:val="bottom"/>
          </w:tcPr>
          <w:p>
            <w:pPr>
              <w:jc w:val="right"/>
              <w:ind w:right="96"/>
              <w:spacing w:after="0"/>
              <w:rPr>
                <w:sz w:val="20"/>
                <w:szCs w:val="20"/>
                <w:color w:val="auto"/>
              </w:rPr>
            </w:pPr>
            <w:r>
              <w:rPr>
                <w:rFonts w:ascii="Arial" w:cs="Arial" w:eastAsia="Arial" w:hAnsi="Arial"/>
                <w:sz w:val="12"/>
                <w:szCs w:val="12"/>
                <w:color w:val="auto"/>
              </w:rPr>
              <w:t>354,844</w:t>
            </w:r>
          </w:p>
        </w:tc>
        <w:tc>
          <w:tcPr>
            <w:tcW w:w="1540" w:type="dxa"/>
            <w:vAlign w:val="bottom"/>
          </w:tcPr>
          <w:p>
            <w:pPr>
              <w:jc w:val="right"/>
              <w:ind w:right="95"/>
              <w:spacing w:after="0"/>
              <w:rPr>
                <w:sz w:val="20"/>
                <w:szCs w:val="20"/>
                <w:color w:val="auto"/>
              </w:rPr>
            </w:pPr>
            <w:r>
              <w:rPr>
                <w:rFonts w:ascii="Arial" w:cs="Arial" w:eastAsia="Arial" w:hAnsi="Arial"/>
                <w:sz w:val="12"/>
                <w:szCs w:val="12"/>
                <w:color w:val="auto"/>
              </w:rPr>
              <w:t>100,673</w:t>
            </w:r>
          </w:p>
        </w:tc>
        <w:tc>
          <w:tcPr>
            <w:tcW w:w="1560" w:type="dxa"/>
            <w:vAlign w:val="bottom"/>
          </w:tcPr>
          <w:p>
            <w:pPr>
              <w:jc w:val="right"/>
              <w:ind w:right="136"/>
              <w:spacing w:after="0"/>
              <w:rPr>
                <w:sz w:val="20"/>
                <w:szCs w:val="20"/>
                <w:color w:val="auto"/>
              </w:rPr>
            </w:pPr>
            <w:r>
              <w:rPr>
                <w:rFonts w:ascii="Arial" w:cs="Arial" w:eastAsia="Arial" w:hAnsi="Arial"/>
                <w:sz w:val="12"/>
                <w:szCs w:val="12"/>
                <w:color w:val="auto"/>
              </w:rPr>
              <w:t>73,609</w:t>
            </w:r>
          </w:p>
        </w:tc>
        <w:tc>
          <w:tcPr>
            <w:tcW w:w="800" w:type="dxa"/>
            <w:vAlign w:val="bottom"/>
          </w:tcPr>
          <w:p>
            <w:pPr>
              <w:jc w:val="right"/>
              <w:spacing w:after="0"/>
              <w:rPr>
                <w:sz w:val="20"/>
                <w:szCs w:val="20"/>
                <w:color w:val="auto"/>
              </w:rPr>
            </w:pPr>
            <w:r>
              <w:rPr>
                <w:rFonts w:ascii="Arial" w:cs="Arial" w:eastAsia="Arial" w:hAnsi="Arial"/>
                <w:sz w:val="12"/>
                <w:szCs w:val="12"/>
                <w:color w:val="auto"/>
              </w:rPr>
              <w:t>3,007,063</w:t>
            </w:r>
          </w:p>
        </w:tc>
        <w:tc>
          <w:tcPr>
            <w:tcW w:w="0" w:type="dxa"/>
            <w:vAlign w:val="bottom"/>
          </w:tcPr>
          <w:p>
            <w:pPr>
              <w:spacing w:after="0"/>
              <w:rPr>
                <w:sz w:val="1"/>
                <w:szCs w:val="1"/>
                <w:color w:val="auto"/>
              </w:rPr>
            </w:pPr>
          </w:p>
        </w:tc>
      </w:tr>
      <w:tr>
        <w:trPr>
          <w:trHeight w:val="153"/>
        </w:trPr>
        <w:tc>
          <w:tcPr>
            <w:tcW w:w="2440" w:type="dxa"/>
            <w:vAlign w:val="bottom"/>
          </w:tcPr>
          <w:p>
            <w:pPr>
              <w:ind w:left="100"/>
              <w:spacing w:after="0"/>
              <w:rPr>
                <w:sz w:val="20"/>
                <w:szCs w:val="20"/>
                <w:color w:val="auto"/>
              </w:rPr>
            </w:pPr>
            <w:r>
              <w:rPr>
                <w:rFonts w:ascii="Arial" w:cs="Arial" w:eastAsia="Arial" w:hAnsi="Arial"/>
                <w:sz w:val="13"/>
                <w:szCs w:val="13"/>
                <w:color w:val="auto"/>
              </w:rPr>
              <w:t>Group Vice President,</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7"/>
              </w:rPr>
              <w:t>2024</w:t>
            </w:r>
          </w:p>
        </w:tc>
        <w:tc>
          <w:tcPr>
            <w:tcW w:w="1100" w:type="dxa"/>
            <w:vAlign w:val="bottom"/>
            <w:gridSpan w:val="2"/>
            <w:vMerge w:val="restart"/>
          </w:tcPr>
          <w:p>
            <w:pPr>
              <w:jc w:val="right"/>
              <w:ind w:right="75"/>
              <w:spacing w:after="0"/>
              <w:rPr>
                <w:sz w:val="20"/>
                <w:szCs w:val="20"/>
                <w:color w:val="auto"/>
              </w:rPr>
            </w:pPr>
            <w:r>
              <w:rPr>
                <w:rFonts w:ascii="Arial" w:cs="Arial" w:eastAsia="Arial" w:hAnsi="Arial"/>
                <w:sz w:val="12"/>
                <w:szCs w:val="12"/>
                <w:color w:val="auto"/>
              </w:rPr>
              <w:t>446,844</w:t>
            </w:r>
          </w:p>
        </w:tc>
        <w:tc>
          <w:tcPr>
            <w:tcW w:w="840" w:type="dxa"/>
            <w:vAlign w:val="bottom"/>
            <w:vMerge w:val="restart"/>
          </w:tcPr>
          <w:p>
            <w:pPr>
              <w:jc w:val="center"/>
              <w:ind w:right="16"/>
              <w:spacing w:after="0"/>
              <w:rPr>
                <w:sz w:val="20"/>
                <w:szCs w:val="20"/>
                <w:color w:val="auto"/>
              </w:rPr>
            </w:pPr>
            <w:r>
              <w:rPr>
                <w:rFonts w:ascii="Arial" w:cs="Arial" w:eastAsia="Arial" w:hAnsi="Arial"/>
                <w:sz w:val="12"/>
                <w:szCs w:val="12"/>
                <w:color w:val="auto"/>
              </w:rPr>
              <w:t>0</w:t>
            </w:r>
          </w:p>
        </w:tc>
        <w:tc>
          <w:tcPr>
            <w:tcW w:w="1060" w:type="dxa"/>
            <w:vAlign w:val="bottom"/>
            <w:vMerge w:val="restart"/>
          </w:tcPr>
          <w:p>
            <w:pPr>
              <w:jc w:val="right"/>
              <w:ind w:right="76"/>
              <w:spacing w:after="0"/>
              <w:rPr>
                <w:sz w:val="20"/>
                <w:szCs w:val="20"/>
                <w:color w:val="auto"/>
              </w:rPr>
            </w:pPr>
            <w:r>
              <w:rPr>
                <w:rFonts w:ascii="Arial" w:cs="Arial" w:eastAsia="Arial" w:hAnsi="Arial"/>
                <w:sz w:val="12"/>
                <w:szCs w:val="12"/>
                <w:color w:val="auto"/>
              </w:rPr>
              <w:t>438,240</w:t>
            </w:r>
          </w:p>
        </w:tc>
        <w:tc>
          <w:tcPr>
            <w:tcW w:w="1000" w:type="dxa"/>
            <w:vAlign w:val="bottom"/>
            <w:vMerge w:val="restart"/>
          </w:tcPr>
          <w:p>
            <w:pPr>
              <w:jc w:val="right"/>
              <w:ind w:right="96"/>
              <w:spacing w:after="0"/>
              <w:rPr>
                <w:sz w:val="20"/>
                <w:szCs w:val="20"/>
                <w:color w:val="auto"/>
              </w:rPr>
            </w:pPr>
            <w:r>
              <w:rPr>
                <w:rFonts w:ascii="Arial" w:cs="Arial" w:eastAsia="Arial" w:hAnsi="Arial"/>
                <w:sz w:val="12"/>
                <w:szCs w:val="12"/>
                <w:color w:val="auto"/>
              </w:rPr>
              <w:t>437,080</w:t>
            </w:r>
          </w:p>
        </w:tc>
        <w:tc>
          <w:tcPr>
            <w:tcW w:w="1540" w:type="dxa"/>
            <w:vAlign w:val="bottom"/>
            <w:vMerge w:val="restart"/>
          </w:tcPr>
          <w:p>
            <w:pPr>
              <w:jc w:val="right"/>
              <w:ind w:right="95"/>
              <w:spacing w:after="0"/>
              <w:rPr>
                <w:sz w:val="20"/>
                <w:szCs w:val="20"/>
                <w:color w:val="auto"/>
              </w:rPr>
            </w:pPr>
            <w:r>
              <w:rPr>
                <w:rFonts w:ascii="Arial" w:cs="Arial" w:eastAsia="Arial" w:hAnsi="Arial"/>
                <w:sz w:val="12"/>
                <w:szCs w:val="12"/>
                <w:color w:val="auto"/>
              </w:rPr>
              <w:t>115,076</w:t>
            </w:r>
          </w:p>
        </w:tc>
        <w:tc>
          <w:tcPr>
            <w:tcW w:w="1560" w:type="dxa"/>
            <w:vAlign w:val="bottom"/>
            <w:vMerge w:val="restart"/>
          </w:tcPr>
          <w:p>
            <w:pPr>
              <w:jc w:val="right"/>
              <w:ind w:right="136"/>
              <w:spacing w:after="0"/>
              <w:rPr>
                <w:sz w:val="20"/>
                <w:szCs w:val="20"/>
                <w:color w:val="auto"/>
              </w:rPr>
            </w:pPr>
            <w:r>
              <w:rPr>
                <w:rFonts w:ascii="Arial" w:cs="Arial" w:eastAsia="Arial" w:hAnsi="Arial"/>
                <w:sz w:val="12"/>
                <w:szCs w:val="12"/>
                <w:color w:val="auto"/>
              </w:rPr>
              <w:t>54,972</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1,492,212</w:t>
            </w:r>
          </w:p>
        </w:tc>
        <w:tc>
          <w:tcPr>
            <w:tcW w:w="0" w:type="dxa"/>
            <w:vAlign w:val="bottom"/>
          </w:tcPr>
          <w:p>
            <w:pPr>
              <w:spacing w:after="0"/>
              <w:rPr>
                <w:sz w:val="1"/>
                <w:szCs w:val="1"/>
                <w:color w:val="auto"/>
              </w:rPr>
            </w:pPr>
          </w:p>
        </w:tc>
      </w:tr>
      <w:tr>
        <w:trPr>
          <w:trHeight w:val="86"/>
        </w:trPr>
        <w:tc>
          <w:tcPr>
            <w:tcW w:w="2440" w:type="dxa"/>
            <w:vAlign w:val="bottom"/>
            <w:vMerge w:val="restart"/>
          </w:tcPr>
          <w:p>
            <w:pPr>
              <w:ind w:left="100"/>
              <w:spacing w:after="0"/>
              <w:rPr>
                <w:sz w:val="20"/>
                <w:szCs w:val="20"/>
                <w:color w:val="auto"/>
              </w:rPr>
            </w:pPr>
            <w:r>
              <w:rPr>
                <w:rFonts w:ascii="Arial" w:cs="Arial" w:eastAsia="Arial" w:hAnsi="Arial"/>
                <w:sz w:val="13"/>
                <w:szCs w:val="13"/>
                <w:color w:val="auto"/>
              </w:rPr>
              <w:t>Landscapes and Contractor</w:t>
            </w:r>
            <w:r>
              <w:rPr>
                <w:rFonts w:ascii="Arial" w:cs="Arial" w:eastAsia="Arial" w:hAnsi="Arial"/>
                <w:sz w:val="17"/>
                <w:szCs w:val="17"/>
                <w:color w:val="auto"/>
                <w:vertAlign w:val="superscript"/>
              </w:rPr>
              <w:t>7</w:t>
            </w:r>
          </w:p>
        </w:tc>
        <w:tc>
          <w:tcPr>
            <w:tcW w:w="680" w:type="dxa"/>
            <w:vAlign w:val="bottom"/>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5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440" w:type="dxa"/>
            <w:vAlign w:val="bottom"/>
            <w:vMerge w:val="continue"/>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7"/>
              </w:rPr>
              <w:t>2023</w:t>
            </w:r>
          </w:p>
        </w:tc>
        <w:tc>
          <w:tcPr>
            <w:tcW w:w="1100" w:type="dxa"/>
            <w:vAlign w:val="bottom"/>
            <w:gridSpan w:val="2"/>
            <w:vMerge w:val="restart"/>
          </w:tcPr>
          <w:p>
            <w:pPr>
              <w:jc w:val="right"/>
              <w:ind w:right="75"/>
              <w:spacing w:after="0"/>
              <w:rPr>
                <w:sz w:val="20"/>
                <w:szCs w:val="20"/>
                <w:color w:val="auto"/>
              </w:rPr>
            </w:pPr>
            <w:r>
              <w:rPr>
                <w:rFonts w:ascii="Arial" w:cs="Arial" w:eastAsia="Arial" w:hAnsi="Arial"/>
                <w:sz w:val="12"/>
                <w:szCs w:val="12"/>
                <w:color w:val="auto"/>
              </w:rPr>
              <w:t>431,519</w:t>
            </w:r>
          </w:p>
        </w:tc>
        <w:tc>
          <w:tcPr>
            <w:tcW w:w="840" w:type="dxa"/>
            <w:vAlign w:val="bottom"/>
            <w:vMerge w:val="restart"/>
          </w:tcPr>
          <w:p>
            <w:pPr>
              <w:jc w:val="center"/>
              <w:ind w:right="16"/>
              <w:spacing w:after="0"/>
              <w:rPr>
                <w:sz w:val="20"/>
                <w:szCs w:val="20"/>
                <w:color w:val="auto"/>
              </w:rPr>
            </w:pPr>
            <w:r>
              <w:rPr>
                <w:rFonts w:ascii="Arial" w:cs="Arial" w:eastAsia="Arial" w:hAnsi="Arial"/>
                <w:sz w:val="12"/>
                <w:szCs w:val="12"/>
                <w:color w:val="auto"/>
              </w:rPr>
              <w:t>0</w:t>
            </w:r>
          </w:p>
        </w:tc>
        <w:tc>
          <w:tcPr>
            <w:tcW w:w="1060" w:type="dxa"/>
            <w:vAlign w:val="bottom"/>
            <w:vMerge w:val="restart"/>
          </w:tcPr>
          <w:p>
            <w:pPr>
              <w:jc w:val="right"/>
              <w:ind w:right="76"/>
              <w:spacing w:after="0"/>
              <w:rPr>
                <w:sz w:val="20"/>
                <w:szCs w:val="20"/>
                <w:color w:val="auto"/>
              </w:rPr>
            </w:pPr>
            <w:r>
              <w:rPr>
                <w:rFonts w:ascii="Arial" w:cs="Arial" w:eastAsia="Arial" w:hAnsi="Arial"/>
                <w:sz w:val="12"/>
                <w:szCs w:val="12"/>
                <w:color w:val="auto"/>
              </w:rPr>
              <w:t>603,428</w:t>
            </w:r>
          </w:p>
        </w:tc>
        <w:tc>
          <w:tcPr>
            <w:tcW w:w="1000" w:type="dxa"/>
            <w:vAlign w:val="bottom"/>
            <w:vMerge w:val="restart"/>
          </w:tcPr>
          <w:p>
            <w:pPr>
              <w:jc w:val="right"/>
              <w:ind w:right="96"/>
              <w:spacing w:after="0"/>
              <w:rPr>
                <w:sz w:val="20"/>
                <w:szCs w:val="20"/>
                <w:color w:val="auto"/>
              </w:rPr>
            </w:pPr>
            <w:r>
              <w:rPr>
                <w:rFonts w:ascii="Arial" w:cs="Arial" w:eastAsia="Arial" w:hAnsi="Arial"/>
                <w:sz w:val="12"/>
                <w:szCs w:val="12"/>
                <w:color w:val="auto"/>
              </w:rPr>
              <w:t>382,053</w:t>
            </w:r>
          </w:p>
        </w:tc>
        <w:tc>
          <w:tcPr>
            <w:tcW w:w="1540" w:type="dxa"/>
            <w:vAlign w:val="bottom"/>
            <w:vMerge w:val="restart"/>
          </w:tcPr>
          <w:p>
            <w:pPr>
              <w:jc w:val="right"/>
              <w:ind w:right="95"/>
              <w:spacing w:after="0"/>
              <w:rPr>
                <w:sz w:val="20"/>
                <w:szCs w:val="20"/>
                <w:color w:val="auto"/>
              </w:rPr>
            </w:pPr>
            <w:r>
              <w:rPr>
                <w:rFonts w:ascii="Arial" w:cs="Arial" w:eastAsia="Arial" w:hAnsi="Arial"/>
                <w:sz w:val="12"/>
                <w:szCs w:val="12"/>
                <w:color w:val="auto"/>
              </w:rPr>
              <w:t>81,201</w:t>
            </w:r>
          </w:p>
        </w:tc>
        <w:tc>
          <w:tcPr>
            <w:tcW w:w="1560" w:type="dxa"/>
            <w:vAlign w:val="bottom"/>
            <w:vMerge w:val="restart"/>
          </w:tcPr>
          <w:p>
            <w:pPr>
              <w:jc w:val="right"/>
              <w:ind w:right="136"/>
              <w:spacing w:after="0"/>
              <w:rPr>
                <w:sz w:val="20"/>
                <w:szCs w:val="20"/>
                <w:color w:val="auto"/>
              </w:rPr>
            </w:pPr>
            <w:r>
              <w:rPr>
                <w:rFonts w:ascii="Arial" w:cs="Arial" w:eastAsia="Arial" w:hAnsi="Arial"/>
                <w:sz w:val="12"/>
                <w:szCs w:val="12"/>
                <w:color w:val="auto"/>
              </w:rPr>
              <w:t>68,147</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1,566,348</w:t>
            </w:r>
          </w:p>
        </w:tc>
        <w:tc>
          <w:tcPr>
            <w:tcW w:w="0" w:type="dxa"/>
            <w:vAlign w:val="bottom"/>
          </w:tcPr>
          <w:p>
            <w:pPr>
              <w:spacing w:after="0"/>
              <w:rPr>
                <w:sz w:val="1"/>
                <w:szCs w:val="1"/>
                <w:color w:val="auto"/>
              </w:rPr>
            </w:pPr>
          </w:p>
        </w:tc>
      </w:tr>
      <w:tr>
        <w:trPr>
          <w:trHeight w:val="68"/>
        </w:trPr>
        <w:tc>
          <w:tcPr>
            <w:tcW w:w="24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19913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310" w:lineRule="exact"/>
        <w:rPr>
          <w:sz w:val="20"/>
          <w:szCs w:val="20"/>
          <w:color w:val="auto"/>
        </w:rPr>
      </w:pPr>
    </w:p>
    <w:p>
      <w:pPr>
        <w:ind w:left="320" w:hanging="313"/>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Amounts reflect actual salary earnings throughout the fiscal year.</w:t>
      </w:r>
    </w:p>
    <w:p>
      <w:pPr>
        <w:spacing w:after="0" w:line="46" w:lineRule="exact"/>
        <w:rPr>
          <w:rFonts w:ascii="Arial" w:cs="Arial" w:eastAsia="Arial" w:hAnsi="Arial"/>
          <w:sz w:val="18"/>
          <w:szCs w:val="18"/>
          <w:color w:val="auto"/>
        </w:rPr>
      </w:pPr>
    </w:p>
    <w:p>
      <w:pPr>
        <w:jc w:val="both"/>
        <w:ind w:left="320" w:hanging="313"/>
        <w:spacing w:after="0" w:line="239" w:lineRule="auto"/>
        <w:tabs>
          <w:tab w:leader="none" w:pos="308"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generally do not pay discretionary bonuses or bonuses that are subjectively determined and did not pay any such bonuses to any of our NEOs in any of the last three most recently completed fiscal years. Annual cash incentive award payouts based on performance against pre-established financial performance goals are reported in the Non-Equity Incentive Plan Compensation column.</w:t>
      </w:r>
    </w:p>
    <w:p>
      <w:pPr>
        <w:spacing w:after="0" w:line="22" w:lineRule="exact"/>
        <w:rPr>
          <w:rFonts w:ascii="Arial" w:cs="Arial" w:eastAsia="Arial" w:hAnsi="Arial"/>
          <w:sz w:val="18"/>
          <w:szCs w:val="18"/>
          <w:color w:val="auto"/>
        </w:rPr>
      </w:pPr>
    </w:p>
    <w:p>
      <w:pPr>
        <w:jc w:val="both"/>
        <w:ind w:left="320" w:hanging="313"/>
        <w:spacing w:after="0" w:line="233" w:lineRule="auto"/>
        <w:tabs>
          <w:tab w:leader="none" w:pos="308" w:val="left"/>
        </w:tabs>
        <w:numPr>
          <w:ilvl w:val="0"/>
          <w:numId w:val="58"/>
        </w:numPr>
        <w:rPr>
          <w:rFonts w:ascii="Arial" w:cs="Arial" w:eastAsia="Arial" w:hAnsi="Arial"/>
          <w:sz w:val="18"/>
          <w:szCs w:val="18"/>
          <w:color w:val="auto"/>
        </w:rPr>
      </w:pPr>
      <w:r>
        <w:rPr>
          <w:rFonts w:ascii="Arial" w:cs="Arial" w:eastAsia="Arial" w:hAnsi="Arial"/>
          <w:sz w:val="18"/>
          <w:szCs w:val="18"/>
          <w:color w:val="auto"/>
        </w:rPr>
        <w:t>Amounts reported for fiscal 2025 represent the grant date fair value, computed in accordance with FASB ASC Topic 718, of performance share awards granted for the fiscal 2025 to fiscal 2027 performance period assuming target levels of performance for all NEOs and also restricted stock unit awards, in the case of Messrs. Funk, Moeller and Janey. The table below sets forth grant date fair value of performance share awards for the fiscal 2025 to fiscal 2027 performance period assuming maximum levels of performance, which value is calculated using the number of shares reflected in the Maximum column of the Estimated Future Payouts Under Equity Incentive Plan Awards section of the Grants of Plan-Based Awards for Fiscal 2025 table and the closing price of our common stock on December 23, 2024, the grant date, of $80.21.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59" w:name="page60"/>
    <w:bookmarkEnd w:id="59"/>
    <w:tbl>
      <w:tblPr>
        <w:tblLayout w:type="fixed"/>
        <w:tblInd w:w="2880" w:type="dxa"/>
        <w:tblCellMar>
          <w:top w:w="0" w:type="dxa"/>
          <w:left w:w="0" w:type="dxa"/>
          <w:bottom w:w="0" w:type="dxa"/>
          <w:right w:w="0" w:type="dxa"/>
        </w:tblCellMar>
      </w:tblPr>
      <w:tr>
        <w:trPr>
          <w:trHeight w:val="178"/>
        </w:trPr>
        <w:tc>
          <w:tcPr>
            <w:tcW w:w="1860" w:type="dxa"/>
            <w:vAlign w:val="bottom"/>
            <w:shd w:val="clear" w:color="auto" w:fill="BF2115"/>
          </w:tcPr>
          <w:p>
            <w:pPr>
              <w:spacing w:after="0"/>
              <w:rPr>
                <w:sz w:val="15"/>
                <w:szCs w:val="15"/>
                <w:color w:val="auto"/>
              </w:rPr>
            </w:pPr>
          </w:p>
        </w:tc>
        <w:tc>
          <w:tcPr>
            <w:tcW w:w="3640" w:type="dxa"/>
            <w:vAlign w:val="bottom"/>
            <w:shd w:val="clear" w:color="auto" w:fill="BF2115"/>
          </w:tcPr>
          <w:p>
            <w:pPr>
              <w:jc w:val="center"/>
              <w:ind w:left="623"/>
              <w:spacing w:after="0"/>
              <w:rPr>
                <w:sz w:val="20"/>
                <w:szCs w:val="20"/>
                <w:color w:val="auto"/>
              </w:rPr>
            </w:pPr>
            <w:r>
              <w:rPr>
                <w:rFonts w:ascii="Arial" w:cs="Arial" w:eastAsia="Arial" w:hAnsi="Arial"/>
                <w:sz w:val="14"/>
                <w:szCs w:val="14"/>
                <w:b w:val="1"/>
                <w:bCs w:val="1"/>
                <w:color w:val="FFFFFF"/>
              </w:rPr>
              <w:t>Grant Date Fair Value at</w:t>
            </w:r>
          </w:p>
        </w:tc>
      </w:tr>
      <w:tr>
        <w:trPr>
          <w:trHeight w:val="160"/>
        </w:trPr>
        <w:tc>
          <w:tcPr>
            <w:tcW w:w="1860" w:type="dxa"/>
            <w:vAlign w:val="bottom"/>
            <w:shd w:val="clear" w:color="auto" w:fill="BF2115"/>
          </w:tcPr>
          <w:p>
            <w:pPr>
              <w:spacing w:after="0"/>
              <w:rPr>
                <w:sz w:val="13"/>
                <w:szCs w:val="13"/>
                <w:color w:val="auto"/>
              </w:rPr>
            </w:pPr>
          </w:p>
        </w:tc>
        <w:tc>
          <w:tcPr>
            <w:tcW w:w="3640" w:type="dxa"/>
            <w:vAlign w:val="bottom"/>
            <w:shd w:val="clear" w:color="auto" w:fill="BF2115"/>
          </w:tcPr>
          <w:p>
            <w:pPr>
              <w:jc w:val="center"/>
              <w:ind w:left="623"/>
              <w:spacing w:after="0"/>
              <w:rPr>
                <w:sz w:val="20"/>
                <w:szCs w:val="20"/>
                <w:color w:val="auto"/>
              </w:rPr>
            </w:pPr>
            <w:r>
              <w:rPr>
                <w:rFonts w:ascii="Arial" w:cs="Arial" w:eastAsia="Arial" w:hAnsi="Arial"/>
                <w:sz w:val="14"/>
                <w:szCs w:val="14"/>
                <w:b w:val="1"/>
                <w:bCs w:val="1"/>
                <w:color w:val="FFFFFF"/>
              </w:rPr>
              <w:t>Maximum Levels of Performance</w:t>
            </w:r>
          </w:p>
        </w:tc>
      </w:tr>
      <w:tr>
        <w:trPr>
          <w:trHeight w:val="209"/>
        </w:trPr>
        <w:tc>
          <w:tcPr>
            <w:tcW w:w="186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3640" w:type="dxa"/>
            <w:vAlign w:val="bottom"/>
            <w:shd w:val="clear" w:color="auto" w:fill="BF2115"/>
          </w:tcPr>
          <w:p>
            <w:pPr>
              <w:jc w:val="center"/>
              <w:ind w:left="623"/>
              <w:spacing w:after="0"/>
              <w:rPr>
                <w:sz w:val="20"/>
                <w:szCs w:val="20"/>
                <w:color w:val="auto"/>
              </w:rPr>
            </w:pPr>
            <w:r>
              <w:rPr>
                <w:rFonts w:ascii="Arial" w:cs="Arial" w:eastAsia="Arial" w:hAnsi="Arial"/>
                <w:sz w:val="14"/>
                <w:szCs w:val="14"/>
                <w:b w:val="1"/>
                <w:bCs w:val="1"/>
                <w:color w:val="FFFFFF"/>
              </w:rPr>
              <w:t>($)</w:t>
            </w:r>
          </w:p>
        </w:tc>
      </w:tr>
      <w:tr>
        <w:trPr>
          <w:trHeight w:val="211"/>
        </w:trPr>
        <w:tc>
          <w:tcPr>
            <w:tcW w:w="1860" w:type="dxa"/>
            <w:vAlign w:val="bottom"/>
          </w:tcPr>
          <w:p>
            <w:pPr>
              <w:ind w:left="20"/>
              <w:spacing w:after="0"/>
              <w:rPr>
                <w:sz w:val="20"/>
                <w:szCs w:val="20"/>
                <w:color w:val="auto"/>
              </w:rPr>
            </w:pPr>
            <w:r>
              <w:rPr>
                <w:rFonts w:ascii="Arial" w:cs="Arial" w:eastAsia="Arial" w:hAnsi="Arial"/>
                <w:sz w:val="16"/>
                <w:szCs w:val="16"/>
                <w:color w:val="auto"/>
              </w:rPr>
              <w:t>Mr. Olson</w:t>
            </w:r>
          </w:p>
        </w:tc>
        <w:tc>
          <w:tcPr>
            <w:tcW w:w="3640" w:type="dxa"/>
            <w:vAlign w:val="bottom"/>
          </w:tcPr>
          <w:p>
            <w:pPr>
              <w:jc w:val="right"/>
              <w:spacing w:after="0"/>
              <w:rPr>
                <w:sz w:val="20"/>
                <w:szCs w:val="20"/>
                <w:color w:val="auto"/>
              </w:rPr>
            </w:pPr>
            <w:r>
              <w:rPr>
                <w:rFonts w:ascii="Arial" w:cs="Arial" w:eastAsia="Arial" w:hAnsi="Arial"/>
                <w:sz w:val="16"/>
                <w:szCs w:val="16"/>
                <w:color w:val="auto"/>
              </w:rPr>
              <w:t>6,601,284</w:t>
            </w:r>
          </w:p>
        </w:tc>
      </w:tr>
      <w:tr>
        <w:trPr>
          <w:trHeight w:val="29"/>
        </w:trPr>
        <w:tc>
          <w:tcPr>
            <w:tcW w:w="186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20"/>
        </w:trPr>
        <w:tc>
          <w:tcPr>
            <w:tcW w:w="1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Drake</w:t>
            </w:r>
          </w:p>
        </w:tc>
        <w:tc>
          <w:tcPr>
            <w:tcW w:w="3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1,678,314</w:t>
            </w:r>
          </w:p>
        </w:tc>
      </w:tr>
      <w:tr>
        <w:trPr>
          <w:trHeight w:val="211"/>
        </w:trPr>
        <w:tc>
          <w:tcPr>
            <w:tcW w:w="1860" w:type="dxa"/>
            <w:vAlign w:val="bottom"/>
          </w:tcPr>
          <w:p>
            <w:pPr>
              <w:ind w:left="20"/>
              <w:spacing w:after="0"/>
              <w:rPr>
                <w:sz w:val="20"/>
                <w:szCs w:val="20"/>
                <w:color w:val="auto"/>
              </w:rPr>
            </w:pPr>
            <w:r>
              <w:rPr>
                <w:rFonts w:ascii="Arial" w:cs="Arial" w:eastAsia="Arial" w:hAnsi="Arial"/>
                <w:sz w:val="16"/>
                <w:szCs w:val="16"/>
                <w:color w:val="auto"/>
              </w:rPr>
              <w:t>Mr. Funk</w:t>
            </w:r>
          </w:p>
        </w:tc>
        <w:tc>
          <w:tcPr>
            <w:tcW w:w="3640" w:type="dxa"/>
            <w:vAlign w:val="bottom"/>
          </w:tcPr>
          <w:p>
            <w:pPr>
              <w:jc w:val="right"/>
              <w:spacing w:after="0"/>
              <w:rPr>
                <w:sz w:val="20"/>
                <w:szCs w:val="20"/>
                <w:color w:val="auto"/>
              </w:rPr>
            </w:pPr>
            <w:r>
              <w:rPr>
                <w:rFonts w:ascii="Arial" w:cs="Arial" w:eastAsia="Arial" w:hAnsi="Arial"/>
                <w:sz w:val="16"/>
                <w:szCs w:val="16"/>
                <w:color w:val="auto"/>
              </w:rPr>
              <w:t>1,118,770</w:t>
            </w:r>
          </w:p>
        </w:tc>
      </w:tr>
      <w:tr>
        <w:trPr>
          <w:trHeight w:val="29"/>
        </w:trPr>
        <w:tc>
          <w:tcPr>
            <w:tcW w:w="186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20"/>
        </w:trPr>
        <w:tc>
          <w:tcPr>
            <w:tcW w:w="1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Mr. Moeller</w:t>
            </w:r>
          </w:p>
        </w:tc>
        <w:tc>
          <w:tcPr>
            <w:tcW w:w="3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1,006,956</w:t>
            </w:r>
          </w:p>
        </w:tc>
      </w:tr>
      <w:tr>
        <w:trPr>
          <w:trHeight w:val="211"/>
        </w:trPr>
        <w:tc>
          <w:tcPr>
            <w:tcW w:w="1860" w:type="dxa"/>
            <w:vAlign w:val="bottom"/>
          </w:tcPr>
          <w:p>
            <w:pPr>
              <w:ind w:left="20"/>
              <w:spacing w:after="0"/>
              <w:rPr>
                <w:sz w:val="20"/>
                <w:szCs w:val="20"/>
                <w:color w:val="auto"/>
              </w:rPr>
            </w:pPr>
            <w:r>
              <w:rPr>
                <w:rFonts w:ascii="Arial" w:cs="Arial" w:eastAsia="Arial" w:hAnsi="Arial"/>
                <w:sz w:val="16"/>
                <w:szCs w:val="16"/>
                <w:color w:val="auto"/>
              </w:rPr>
              <w:t>Mr. Janey</w:t>
            </w:r>
          </w:p>
        </w:tc>
        <w:tc>
          <w:tcPr>
            <w:tcW w:w="3640" w:type="dxa"/>
            <w:vAlign w:val="bottom"/>
          </w:tcPr>
          <w:p>
            <w:pPr>
              <w:jc w:val="right"/>
              <w:spacing w:after="0"/>
              <w:rPr>
                <w:sz w:val="20"/>
                <w:szCs w:val="20"/>
                <w:color w:val="auto"/>
              </w:rPr>
            </w:pPr>
            <w:r>
              <w:rPr>
                <w:rFonts w:ascii="Arial" w:cs="Arial" w:eastAsia="Arial" w:hAnsi="Arial"/>
                <w:sz w:val="16"/>
                <w:szCs w:val="16"/>
                <w:color w:val="auto"/>
              </w:rPr>
              <w:t>1,006,956</w:t>
            </w:r>
          </w:p>
        </w:tc>
      </w:tr>
    </w:tbl>
    <w:p>
      <w:pPr>
        <w:spacing w:after="0" w:line="92" w:lineRule="exact"/>
        <w:rPr>
          <w:sz w:val="20"/>
          <w:szCs w:val="20"/>
          <w:color w:val="auto"/>
        </w:rPr>
      </w:pPr>
    </w:p>
    <w:p>
      <w:pPr>
        <w:ind w:left="320" w:hanging="313"/>
        <w:spacing w:after="0" w:line="246" w:lineRule="auto"/>
        <w:tabs>
          <w:tab w:leader="none" w:pos="308"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Amounts reported represent the grant date fair value, computed in accordance with FASB ASC Topic 718, of option awards granted each fiscal year. The table below sets forth the specific assumptions used in the valuation of the option awards.</w:t>
      </w:r>
    </w:p>
    <w:p>
      <w:pPr>
        <w:spacing w:after="0" w:line="19" w:lineRule="exact"/>
        <w:rPr>
          <w:sz w:val="20"/>
          <w:szCs w:val="20"/>
          <w:color w:val="auto"/>
        </w:rPr>
      </w:pPr>
    </w:p>
    <w:tbl>
      <w:tblPr>
        <w:tblLayout w:type="fixed"/>
        <w:tblInd w:w="480" w:type="dxa"/>
        <w:tblCellMar>
          <w:top w:w="0" w:type="dxa"/>
          <w:left w:w="0" w:type="dxa"/>
          <w:bottom w:w="0" w:type="dxa"/>
          <w:right w:w="0" w:type="dxa"/>
        </w:tblCellMar>
      </w:tblPr>
      <w:tr>
        <w:trPr>
          <w:trHeight w:val="204"/>
        </w:trPr>
        <w:tc>
          <w:tcPr>
            <w:tcW w:w="1360" w:type="dxa"/>
            <w:vAlign w:val="bottom"/>
            <w:shd w:val="clear" w:color="auto" w:fill="BF2115"/>
          </w:tcPr>
          <w:p>
            <w:pPr>
              <w:spacing w:after="0"/>
              <w:rPr>
                <w:sz w:val="17"/>
                <w:szCs w:val="17"/>
                <w:color w:val="auto"/>
              </w:rPr>
            </w:pPr>
          </w:p>
        </w:tc>
        <w:tc>
          <w:tcPr>
            <w:tcW w:w="1840" w:type="dxa"/>
            <w:vAlign w:val="bottom"/>
            <w:shd w:val="clear" w:color="auto" w:fill="BF2115"/>
          </w:tcPr>
          <w:p>
            <w:pPr>
              <w:spacing w:after="0"/>
              <w:rPr>
                <w:sz w:val="17"/>
                <w:szCs w:val="17"/>
                <w:color w:val="auto"/>
              </w:rPr>
            </w:pPr>
          </w:p>
        </w:tc>
        <w:tc>
          <w:tcPr>
            <w:tcW w:w="1540" w:type="dxa"/>
            <w:vAlign w:val="bottom"/>
            <w:shd w:val="clear" w:color="auto" w:fill="BF2115"/>
          </w:tcPr>
          <w:p>
            <w:pPr>
              <w:spacing w:after="0"/>
              <w:rPr>
                <w:sz w:val="17"/>
                <w:szCs w:val="17"/>
                <w:color w:val="auto"/>
              </w:rPr>
            </w:pPr>
          </w:p>
        </w:tc>
        <w:tc>
          <w:tcPr>
            <w:tcW w:w="1540" w:type="dxa"/>
            <w:vAlign w:val="bottom"/>
            <w:shd w:val="clear" w:color="auto" w:fill="BF2115"/>
          </w:tcPr>
          <w:p>
            <w:pPr>
              <w:spacing w:after="0"/>
              <w:rPr>
                <w:sz w:val="17"/>
                <w:szCs w:val="17"/>
                <w:color w:val="auto"/>
              </w:rPr>
            </w:pPr>
          </w:p>
        </w:tc>
        <w:tc>
          <w:tcPr>
            <w:tcW w:w="1520" w:type="dxa"/>
            <w:vAlign w:val="bottom"/>
            <w:shd w:val="clear" w:color="auto" w:fill="BF2115"/>
          </w:tcPr>
          <w:p>
            <w:pPr>
              <w:spacing w:after="0"/>
              <w:rPr>
                <w:sz w:val="17"/>
                <w:szCs w:val="17"/>
                <w:color w:val="auto"/>
              </w:rPr>
            </w:pPr>
          </w:p>
        </w:tc>
        <w:tc>
          <w:tcPr>
            <w:tcW w:w="220" w:type="dxa"/>
            <w:vAlign w:val="bottom"/>
            <w:shd w:val="clear" w:color="auto" w:fill="BF2115"/>
          </w:tcPr>
          <w:p>
            <w:pPr>
              <w:spacing w:after="0"/>
              <w:rPr>
                <w:sz w:val="17"/>
                <w:szCs w:val="17"/>
                <w:color w:val="auto"/>
              </w:rPr>
            </w:pPr>
          </w:p>
        </w:tc>
        <w:tc>
          <w:tcPr>
            <w:tcW w:w="1260" w:type="dxa"/>
            <w:vAlign w:val="bottom"/>
            <w:shd w:val="clear" w:color="auto" w:fill="BF2115"/>
          </w:tcPr>
          <w:p>
            <w:pPr>
              <w:jc w:val="center"/>
              <w:ind w:right="84"/>
              <w:spacing w:after="0"/>
              <w:rPr>
                <w:sz w:val="20"/>
                <w:szCs w:val="20"/>
                <w:color w:val="auto"/>
              </w:rPr>
            </w:pPr>
            <w:r>
              <w:rPr>
                <w:rFonts w:ascii="Arial" w:cs="Arial" w:eastAsia="Arial" w:hAnsi="Arial"/>
                <w:sz w:val="14"/>
                <w:szCs w:val="14"/>
                <w:b w:val="1"/>
                <w:bCs w:val="1"/>
                <w:color w:val="FFFFFF"/>
              </w:rPr>
              <w:t>Per Share</w:t>
            </w:r>
          </w:p>
        </w:tc>
      </w:tr>
      <w:tr>
        <w:trPr>
          <w:trHeight w:val="173"/>
        </w:trPr>
        <w:tc>
          <w:tcPr>
            <w:tcW w:w="1360" w:type="dxa"/>
            <w:vAlign w:val="bottom"/>
            <w:shd w:val="clear" w:color="auto" w:fill="BF2115"/>
          </w:tcPr>
          <w:p>
            <w:pPr>
              <w:spacing w:after="0"/>
              <w:rPr>
                <w:sz w:val="15"/>
                <w:szCs w:val="15"/>
                <w:color w:val="auto"/>
              </w:rPr>
            </w:pPr>
          </w:p>
        </w:tc>
        <w:tc>
          <w:tcPr>
            <w:tcW w:w="1840" w:type="dxa"/>
            <w:vAlign w:val="bottom"/>
            <w:shd w:val="clear" w:color="auto" w:fill="BF2115"/>
          </w:tcPr>
          <w:p>
            <w:pPr>
              <w:jc w:val="right"/>
              <w:ind w:right="604"/>
              <w:spacing w:after="0"/>
              <w:rPr>
                <w:sz w:val="20"/>
                <w:szCs w:val="20"/>
                <w:color w:val="auto"/>
              </w:rPr>
            </w:pPr>
            <w:r>
              <w:rPr>
                <w:rFonts w:ascii="Arial" w:cs="Arial" w:eastAsia="Arial" w:hAnsi="Arial"/>
                <w:sz w:val="14"/>
                <w:szCs w:val="14"/>
                <w:b w:val="1"/>
                <w:bCs w:val="1"/>
                <w:color w:val="FFFFFF"/>
              </w:rPr>
              <w:t>Risk Free</w:t>
            </w:r>
          </w:p>
        </w:tc>
        <w:tc>
          <w:tcPr>
            <w:tcW w:w="1540" w:type="dxa"/>
            <w:vAlign w:val="bottom"/>
            <w:shd w:val="clear" w:color="auto" w:fill="BF2115"/>
          </w:tcPr>
          <w:p>
            <w:pPr>
              <w:jc w:val="center"/>
              <w:ind w:right="344"/>
              <w:spacing w:after="0"/>
              <w:rPr>
                <w:sz w:val="20"/>
                <w:szCs w:val="20"/>
                <w:color w:val="auto"/>
              </w:rPr>
            </w:pPr>
            <w:r>
              <w:rPr>
                <w:rFonts w:ascii="Arial" w:cs="Arial" w:eastAsia="Arial" w:hAnsi="Arial"/>
                <w:sz w:val="14"/>
                <w:szCs w:val="14"/>
                <w:b w:val="1"/>
                <w:bCs w:val="1"/>
                <w:color w:val="FFFFFF"/>
              </w:rPr>
              <w:t>Expected</w:t>
            </w:r>
          </w:p>
        </w:tc>
        <w:tc>
          <w:tcPr>
            <w:tcW w:w="1540" w:type="dxa"/>
            <w:vAlign w:val="bottom"/>
            <w:shd w:val="clear" w:color="auto" w:fill="BF2115"/>
          </w:tcPr>
          <w:p>
            <w:pPr>
              <w:jc w:val="right"/>
              <w:ind w:right="544"/>
              <w:spacing w:after="0"/>
              <w:rPr>
                <w:sz w:val="20"/>
                <w:szCs w:val="20"/>
                <w:color w:val="auto"/>
              </w:rPr>
            </w:pPr>
            <w:r>
              <w:rPr>
                <w:rFonts w:ascii="Arial" w:cs="Arial" w:eastAsia="Arial" w:hAnsi="Arial"/>
                <w:sz w:val="14"/>
                <w:szCs w:val="14"/>
                <w:b w:val="1"/>
                <w:bCs w:val="1"/>
                <w:color w:val="FFFFFF"/>
              </w:rPr>
              <w:t>Expected</w:t>
            </w:r>
          </w:p>
        </w:tc>
        <w:tc>
          <w:tcPr>
            <w:tcW w:w="1520" w:type="dxa"/>
            <w:vAlign w:val="bottom"/>
            <w:shd w:val="clear" w:color="auto" w:fill="BF2115"/>
          </w:tcPr>
          <w:p>
            <w:pPr>
              <w:jc w:val="right"/>
              <w:ind w:right="424"/>
              <w:spacing w:after="0"/>
              <w:rPr>
                <w:sz w:val="20"/>
                <w:szCs w:val="20"/>
                <w:color w:val="auto"/>
              </w:rPr>
            </w:pPr>
            <w:r>
              <w:rPr>
                <w:rFonts w:ascii="Arial" w:cs="Arial" w:eastAsia="Arial" w:hAnsi="Arial"/>
                <w:sz w:val="14"/>
                <w:szCs w:val="14"/>
                <w:b w:val="1"/>
                <w:bCs w:val="1"/>
                <w:color w:val="FFFFFF"/>
              </w:rPr>
              <w:t>Expected</w:t>
            </w:r>
          </w:p>
        </w:tc>
        <w:tc>
          <w:tcPr>
            <w:tcW w:w="220" w:type="dxa"/>
            <w:vAlign w:val="bottom"/>
            <w:shd w:val="clear" w:color="auto" w:fill="BF2115"/>
          </w:tcPr>
          <w:p>
            <w:pPr>
              <w:spacing w:after="0"/>
              <w:rPr>
                <w:sz w:val="15"/>
                <w:szCs w:val="15"/>
                <w:color w:val="auto"/>
              </w:rPr>
            </w:pPr>
          </w:p>
        </w:tc>
        <w:tc>
          <w:tcPr>
            <w:tcW w:w="1260" w:type="dxa"/>
            <w:vAlign w:val="bottom"/>
            <w:shd w:val="clear" w:color="auto" w:fill="BF2115"/>
          </w:tcPr>
          <w:p>
            <w:pPr>
              <w:jc w:val="center"/>
              <w:ind w:right="84"/>
              <w:spacing w:after="0"/>
              <w:rPr>
                <w:sz w:val="20"/>
                <w:szCs w:val="20"/>
                <w:color w:val="auto"/>
              </w:rPr>
            </w:pPr>
            <w:r>
              <w:rPr>
                <w:rFonts w:ascii="Arial" w:cs="Arial" w:eastAsia="Arial" w:hAnsi="Arial"/>
                <w:sz w:val="14"/>
                <w:szCs w:val="14"/>
                <w:b w:val="1"/>
                <w:bCs w:val="1"/>
                <w:color w:val="FFFFFF"/>
              </w:rPr>
              <w:t>Black-Scholes</w:t>
            </w:r>
          </w:p>
        </w:tc>
      </w:tr>
      <w:tr>
        <w:trPr>
          <w:trHeight w:val="209"/>
        </w:trPr>
        <w:tc>
          <w:tcPr>
            <w:tcW w:w="136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Grant Date</w:t>
            </w:r>
          </w:p>
        </w:tc>
        <w:tc>
          <w:tcPr>
            <w:tcW w:w="1840" w:type="dxa"/>
            <w:vAlign w:val="bottom"/>
            <w:shd w:val="clear" w:color="auto" w:fill="BF2115"/>
          </w:tcPr>
          <w:p>
            <w:pPr>
              <w:jc w:val="right"/>
              <w:ind w:right="764"/>
              <w:spacing w:after="0"/>
              <w:rPr>
                <w:sz w:val="20"/>
                <w:szCs w:val="20"/>
                <w:color w:val="auto"/>
              </w:rPr>
            </w:pPr>
            <w:r>
              <w:rPr>
                <w:rFonts w:ascii="Arial" w:cs="Arial" w:eastAsia="Arial" w:hAnsi="Arial"/>
                <w:sz w:val="14"/>
                <w:szCs w:val="14"/>
                <w:b w:val="1"/>
                <w:bCs w:val="1"/>
                <w:color w:val="FFFFFF"/>
              </w:rPr>
              <w:t>Rate</w:t>
            </w:r>
          </w:p>
        </w:tc>
        <w:tc>
          <w:tcPr>
            <w:tcW w:w="1540" w:type="dxa"/>
            <w:vAlign w:val="bottom"/>
            <w:shd w:val="clear" w:color="auto" w:fill="BF2115"/>
          </w:tcPr>
          <w:p>
            <w:pPr>
              <w:jc w:val="center"/>
              <w:ind w:right="344"/>
              <w:spacing w:after="0"/>
              <w:rPr>
                <w:sz w:val="20"/>
                <w:szCs w:val="20"/>
                <w:color w:val="auto"/>
              </w:rPr>
            </w:pPr>
            <w:r>
              <w:rPr>
                <w:rFonts w:ascii="Arial" w:cs="Arial" w:eastAsia="Arial" w:hAnsi="Arial"/>
                <w:sz w:val="14"/>
                <w:szCs w:val="14"/>
                <w:b w:val="1"/>
                <w:bCs w:val="1"/>
                <w:color w:val="FFFFFF"/>
                <w:w w:val="96"/>
              </w:rPr>
              <w:t>Life</w:t>
            </w:r>
          </w:p>
        </w:tc>
        <w:tc>
          <w:tcPr>
            <w:tcW w:w="1540" w:type="dxa"/>
            <w:vAlign w:val="bottom"/>
            <w:shd w:val="clear" w:color="auto" w:fill="BF2115"/>
          </w:tcPr>
          <w:p>
            <w:pPr>
              <w:jc w:val="right"/>
              <w:ind w:right="584"/>
              <w:spacing w:after="0"/>
              <w:rPr>
                <w:sz w:val="20"/>
                <w:szCs w:val="20"/>
                <w:color w:val="auto"/>
              </w:rPr>
            </w:pPr>
            <w:r>
              <w:rPr>
                <w:rFonts w:ascii="Arial" w:cs="Arial" w:eastAsia="Arial" w:hAnsi="Arial"/>
                <w:sz w:val="14"/>
                <w:szCs w:val="14"/>
                <w:b w:val="1"/>
                <w:bCs w:val="1"/>
                <w:color w:val="FFFFFF"/>
              </w:rPr>
              <w:t>Volatility</w:t>
            </w:r>
          </w:p>
        </w:tc>
        <w:tc>
          <w:tcPr>
            <w:tcW w:w="1520" w:type="dxa"/>
            <w:vAlign w:val="bottom"/>
            <w:shd w:val="clear" w:color="auto" w:fill="BF2115"/>
          </w:tcPr>
          <w:p>
            <w:pPr>
              <w:jc w:val="right"/>
              <w:ind w:right="264"/>
              <w:spacing w:after="0"/>
              <w:rPr>
                <w:sz w:val="20"/>
                <w:szCs w:val="20"/>
                <w:color w:val="auto"/>
              </w:rPr>
            </w:pPr>
            <w:r>
              <w:rPr>
                <w:rFonts w:ascii="Arial" w:cs="Arial" w:eastAsia="Arial" w:hAnsi="Arial"/>
                <w:sz w:val="14"/>
                <w:szCs w:val="14"/>
                <w:b w:val="1"/>
                <w:bCs w:val="1"/>
                <w:color w:val="FFFFFF"/>
              </w:rPr>
              <w:t>Dividend Yield</w:t>
            </w:r>
          </w:p>
        </w:tc>
        <w:tc>
          <w:tcPr>
            <w:tcW w:w="220" w:type="dxa"/>
            <w:vAlign w:val="bottom"/>
            <w:shd w:val="clear" w:color="auto" w:fill="BF2115"/>
          </w:tcPr>
          <w:p>
            <w:pPr>
              <w:spacing w:after="0"/>
              <w:rPr>
                <w:sz w:val="18"/>
                <w:szCs w:val="18"/>
                <w:color w:val="auto"/>
              </w:rPr>
            </w:pPr>
          </w:p>
        </w:tc>
        <w:tc>
          <w:tcPr>
            <w:tcW w:w="1260" w:type="dxa"/>
            <w:vAlign w:val="bottom"/>
            <w:shd w:val="clear" w:color="auto" w:fill="BF2115"/>
          </w:tcPr>
          <w:p>
            <w:pPr>
              <w:jc w:val="center"/>
              <w:ind w:right="84"/>
              <w:spacing w:after="0"/>
              <w:rPr>
                <w:sz w:val="20"/>
                <w:szCs w:val="20"/>
                <w:color w:val="auto"/>
              </w:rPr>
            </w:pPr>
            <w:r>
              <w:rPr>
                <w:rFonts w:ascii="Arial" w:cs="Arial" w:eastAsia="Arial" w:hAnsi="Arial"/>
                <w:sz w:val="14"/>
                <w:szCs w:val="14"/>
                <w:b w:val="1"/>
                <w:bCs w:val="1"/>
                <w:color w:val="FFFFFF"/>
              </w:rPr>
              <w:t>Value</w:t>
            </w:r>
          </w:p>
        </w:tc>
      </w:tr>
      <w:tr>
        <w:trPr>
          <w:trHeight w:val="211"/>
        </w:trPr>
        <w:tc>
          <w:tcPr>
            <w:tcW w:w="1360" w:type="dxa"/>
            <w:vAlign w:val="bottom"/>
          </w:tcPr>
          <w:p>
            <w:pPr>
              <w:ind w:left="20"/>
              <w:spacing w:after="0"/>
              <w:rPr>
                <w:sz w:val="20"/>
                <w:szCs w:val="20"/>
                <w:color w:val="auto"/>
              </w:rPr>
            </w:pPr>
            <w:r>
              <w:rPr>
                <w:rFonts w:ascii="Arial" w:cs="Arial" w:eastAsia="Arial" w:hAnsi="Arial"/>
                <w:sz w:val="16"/>
                <w:szCs w:val="16"/>
                <w:color w:val="auto"/>
              </w:rPr>
              <w:t>12/23/2024</w:t>
            </w:r>
          </w:p>
        </w:tc>
        <w:tc>
          <w:tcPr>
            <w:tcW w:w="1840" w:type="dxa"/>
            <w:vAlign w:val="bottom"/>
          </w:tcPr>
          <w:p>
            <w:pPr>
              <w:jc w:val="right"/>
              <w:ind w:right="184"/>
              <w:spacing w:after="0"/>
              <w:rPr>
                <w:sz w:val="20"/>
                <w:szCs w:val="20"/>
                <w:color w:val="auto"/>
              </w:rPr>
            </w:pPr>
            <w:r>
              <w:rPr>
                <w:rFonts w:ascii="Arial" w:cs="Arial" w:eastAsia="Arial" w:hAnsi="Arial"/>
                <w:sz w:val="16"/>
                <w:szCs w:val="16"/>
                <w:color w:val="auto"/>
              </w:rPr>
              <w:t>4.51 %</w:t>
            </w:r>
          </w:p>
        </w:tc>
        <w:tc>
          <w:tcPr>
            <w:tcW w:w="1540" w:type="dxa"/>
            <w:vAlign w:val="bottom"/>
          </w:tcPr>
          <w:p>
            <w:pPr>
              <w:ind w:left="580"/>
              <w:spacing w:after="0"/>
              <w:rPr>
                <w:sz w:val="20"/>
                <w:szCs w:val="20"/>
                <w:color w:val="auto"/>
              </w:rPr>
            </w:pPr>
            <w:r>
              <w:rPr>
                <w:rFonts w:ascii="Arial" w:cs="Arial" w:eastAsia="Arial" w:hAnsi="Arial"/>
                <w:sz w:val="16"/>
                <w:szCs w:val="16"/>
                <w:color w:val="auto"/>
              </w:rPr>
              <w:t>6.8 years</w:t>
            </w:r>
          </w:p>
        </w:tc>
        <w:tc>
          <w:tcPr>
            <w:tcW w:w="1540" w:type="dxa"/>
            <w:vAlign w:val="bottom"/>
          </w:tcPr>
          <w:p>
            <w:pPr>
              <w:jc w:val="right"/>
              <w:ind w:right="124"/>
              <w:spacing w:after="0"/>
              <w:rPr>
                <w:sz w:val="20"/>
                <w:szCs w:val="20"/>
                <w:color w:val="auto"/>
              </w:rPr>
            </w:pPr>
            <w:r>
              <w:rPr>
                <w:rFonts w:ascii="Arial" w:cs="Arial" w:eastAsia="Arial" w:hAnsi="Arial"/>
                <w:sz w:val="16"/>
                <w:szCs w:val="16"/>
                <w:color w:val="auto"/>
              </w:rPr>
              <w:t>27.67 %</w:t>
            </w:r>
          </w:p>
        </w:tc>
        <w:tc>
          <w:tcPr>
            <w:tcW w:w="1520" w:type="dxa"/>
            <w:vAlign w:val="bottom"/>
          </w:tcPr>
          <w:p>
            <w:pPr>
              <w:jc w:val="right"/>
              <w:ind w:right="4"/>
              <w:spacing w:after="0"/>
              <w:rPr>
                <w:sz w:val="20"/>
                <w:szCs w:val="20"/>
                <w:color w:val="auto"/>
              </w:rPr>
            </w:pPr>
            <w:r>
              <w:rPr>
                <w:rFonts w:ascii="Arial" w:cs="Arial" w:eastAsia="Arial" w:hAnsi="Arial"/>
                <w:sz w:val="16"/>
                <w:szCs w:val="16"/>
                <w:color w:val="auto"/>
              </w:rPr>
              <w:t>1.41 %</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
              <w:spacing w:after="0"/>
              <w:rPr>
                <w:sz w:val="20"/>
                <w:szCs w:val="20"/>
                <w:color w:val="auto"/>
              </w:rPr>
            </w:pPr>
            <w:r>
              <w:rPr>
                <w:rFonts w:ascii="Arial" w:cs="Arial" w:eastAsia="Arial" w:hAnsi="Arial"/>
                <w:sz w:val="16"/>
                <w:szCs w:val="16"/>
                <w:color w:val="auto"/>
              </w:rPr>
              <w:t>26.18</w:t>
            </w:r>
          </w:p>
        </w:tc>
      </w:tr>
      <w:tr>
        <w:trPr>
          <w:trHeight w:val="29"/>
        </w:trPr>
        <w:tc>
          <w:tcPr>
            <w:tcW w:w="1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1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12/26/2023</w:t>
            </w:r>
          </w:p>
        </w:tc>
        <w:tc>
          <w:tcPr>
            <w:tcW w:w="1840" w:type="dxa"/>
            <w:vAlign w:val="bottom"/>
            <w:tcBorders>
              <w:bottom w:val="single" w:sz="8" w:color="DBDBDB"/>
            </w:tcBorders>
            <w:shd w:val="clear" w:color="auto" w:fill="DBDBDB"/>
          </w:tcPr>
          <w:p>
            <w:pPr>
              <w:jc w:val="right"/>
              <w:ind w:right="184"/>
              <w:spacing w:after="0"/>
              <w:rPr>
                <w:sz w:val="20"/>
                <w:szCs w:val="20"/>
                <w:color w:val="auto"/>
              </w:rPr>
            </w:pPr>
            <w:r>
              <w:rPr>
                <w:rFonts w:ascii="Arial" w:cs="Arial" w:eastAsia="Arial" w:hAnsi="Arial"/>
                <w:sz w:val="16"/>
                <w:szCs w:val="16"/>
                <w:color w:val="auto"/>
              </w:rPr>
              <w:t>3.91 %</w:t>
            </w:r>
          </w:p>
        </w:tc>
        <w:tc>
          <w:tcPr>
            <w:tcW w:w="1540" w:type="dxa"/>
            <w:vAlign w:val="bottom"/>
            <w:tcBorders>
              <w:bottom w:val="single" w:sz="8" w:color="DBDBDB"/>
            </w:tcBorders>
            <w:shd w:val="clear" w:color="auto" w:fill="DBDBDB"/>
          </w:tcPr>
          <w:p>
            <w:pPr>
              <w:ind w:left="580"/>
              <w:spacing w:after="0"/>
              <w:rPr>
                <w:sz w:val="20"/>
                <w:szCs w:val="20"/>
                <w:color w:val="auto"/>
              </w:rPr>
            </w:pPr>
            <w:r>
              <w:rPr>
                <w:rFonts w:ascii="Arial" w:cs="Arial" w:eastAsia="Arial" w:hAnsi="Arial"/>
                <w:sz w:val="16"/>
                <w:szCs w:val="16"/>
                <w:color w:val="auto"/>
              </w:rPr>
              <w:t>6.7 years</w:t>
            </w:r>
          </w:p>
        </w:tc>
        <w:tc>
          <w:tcPr>
            <w:tcW w:w="1540" w:type="dxa"/>
            <w:vAlign w:val="bottom"/>
            <w:tcBorders>
              <w:bottom w:val="single" w:sz="8" w:color="DBDBDB"/>
            </w:tcBorders>
            <w:shd w:val="clear" w:color="auto" w:fill="DBDBDB"/>
          </w:tcPr>
          <w:p>
            <w:pPr>
              <w:jc w:val="right"/>
              <w:ind w:right="124"/>
              <w:spacing w:after="0"/>
              <w:rPr>
                <w:sz w:val="20"/>
                <w:szCs w:val="20"/>
                <w:color w:val="auto"/>
              </w:rPr>
            </w:pPr>
            <w:r>
              <w:rPr>
                <w:rFonts w:ascii="Arial" w:cs="Arial" w:eastAsia="Arial" w:hAnsi="Arial"/>
                <w:sz w:val="16"/>
                <w:szCs w:val="16"/>
                <w:color w:val="auto"/>
              </w:rPr>
              <w:t>26.50 %</w:t>
            </w:r>
          </w:p>
        </w:tc>
        <w:tc>
          <w:tcPr>
            <w:tcW w:w="1520" w:type="dxa"/>
            <w:vAlign w:val="bottom"/>
            <w:tcBorders>
              <w:bottom w:val="single" w:sz="8" w:color="DBDBDB"/>
            </w:tcBorders>
            <w:shd w:val="clear" w:color="auto" w:fill="DBDBDB"/>
          </w:tcPr>
          <w:p>
            <w:pPr>
              <w:jc w:val="right"/>
              <w:ind w:right="4"/>
              <w:spacing w:after="0"/>
              <w:rPr>
                <w:sz w:val="20"/>
                <w:szCs w:val="20"/>
                <w:color w:val="auto"/>
              </w:rPr>
            </w:pPr>
            <w:r>
              <w:rPr>
                <w:rFonts w:ascii="Arial" w:cs="Arial" w:eastAsia="Arial" w:hAnsi="Arial"/>
                <w:sz w:val="16"/>
                <w:szCs w:val="16"/>
                <w:color w:val="auto"/>
              </w:rPr>
              <w:t>1.13 %</w:t>
            </w: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DBDBDB"/>
            </w:tcBorders>
            <w:shd w:val="clear" w:color="auto" w:fill="DBDBDB"/>
          </w:tcPr>
          <w:p>
            <w:pPr>
              <w:jc w:val="right"/>
              <w:ind w:right="4"/>
              <w:spacing w:after="0"/>
              <w:rPr>
                <w:sz w:val="20"/>
                <w:szCs w:val="20"/>
                <w:color w:val="auto"/>
              </w:rPr>
            </w:pPr>
            <w:r>
              <w:rPr>
                <w:rFonts w:ascii="Arial" w:cs="Arial" w:eastAsia="Arial" w:hAnsi="Arial"/>
                <w:sz w:val="16"/>
                <w:szCs w:val="16"/>
                <w:color w:val="auto"/>
              </w:rPr>
              <w:t>31.22</w:t>
            </w:r>
          </w:p>
        </w:tc>
      </w:tr>
      <w:tr>
        <w:trPr>
          <w:trHeight w:val="211"/>
        </w:trPr>
        <w:tc>
          <w:tcPr>
            <w:tcW w:w="1360" w:type="dxa"/>
            <w:vAlign w:val="bottom"/>
          </w:tcPr>
          <w:p>
            <w:pPr>
              <w:ind w:left="20"/>
              <w:spacing w:after="0"/>
              <w:rPr>
                <w:sz w:val="20"/>
                <w:szCs w:val="20"/>
                <w:color w:val="auto"/>
              </w:rPr>
            </w:pPr>
            <w:r>
              <w:rPr>
                <w:rFonts w:ascii="Arial" w:cs="Arial" w:eastAsia="Arial" w:hAnsi="Arial"/>
                <w:sz w:val="16"/>
                <w:szCs w:val="16"/>
                <w:color w:val="auto"/>
              </w:rPr>
              <w:t>12/22/2022</w:t>
            </w:r>
          </w:p>
        </w:tc>
        <w:tc>
          <w:tcPr>
            <w:tcW w:w="1840" w:type="dxa"/>
            <w:vAlign w:val="bottom"/>
          </w:tcPr>
          <w:p>
            <w:pPr>
              <w:jc w:val="right"/>
              <w:ind w:right="184"/>
              <w:spacing w:after="0"/>
              <w:rPr>
                <w:sz w:val="20"/>
                <w:szCs w:val="20"/>
                <w:color w:val="auto"/>
              </w:rPr>
            </w:pPr>
            <w:r>
              <w:rPr>
                <w:rFonts w:ascii="Arial" w:cs="Arial" w:eastAsia="Arial" w:hAnsi="Arial"/>
                <w:sz w:val="16"/>
                <w:szCs w:val="16"/>
                <w:color w:val="auto"/>
              </w:rPr>
              <w:t>3.77 %</w:t>
            </w:r>
          </w:p>
        </w:tc>
        <w:tc>
          <w:tcPr>
            <w:tcW w:w="1540" w:type="dxa"/>
            <w:vAlign w:val="bottom"/>
          </w:tcPr>
          <w:p>
            <w:pPr>
              <w:ind w:left="580"/>
              <w:spacing w:after="0"/>
              <w:rPr>
                <w:sz w:val="20"/>
                <w:szCs w:val="20"/>
                <w:color w:val="auto"/>
              </w:rPr>
            </w:pPr>
            <w:r>
              <w:rPr>
                <w:rFonts w:ascii="Arial" w:cs="Arial" w:eastAsia="Arial" w:hAnsi="Arial"/>
                <w:sz w:val="16"/>
                <w:szCs w:val="16"/>
                <w:color w:val="auto"/>
              </w:rPr>
              <w:t>6.6 years</w:t>
            </w:r>
          </w:p>
        </w:tc>
        <w:tc>
          <w:tcPr>
            <w:tcW w:w="1540" w:type="dxa"/>
            <w:vAlign w:val="bottom"/>
          </w:tcPr>
          <w:p>
            <w:pPr>
              <w:jc w:val="right"/>
              <w:ind w:right="124"/>
              <w:spacing w:after="0"/>
              <w:rPr>
                <w:sz w:val="20"/>
                <w:szCs w:val="20"/>
                <w:color w:val="auto"/>
              </w:rPr>
            </w:pPr>
            <w:r>
              <w:rPr>
                <w:rFonts w:ascii="Arial" w:cs="Arial" w:eastAsia="Arial" w:hAnsi="Arial"/>
                <w:sz w:val="16"/>
                <w:szCs w:val="16"/>
                <w:color w:val="auto"/>
              </w:rPr>
              <w:t>24.94 %</w:t>
            </w:r>
          </w:p>
        </w:tc>
        <w:tc>
          <w:tcPr>
            <w:tcW w:w="1520" w:type="dxa"/>
            <w:vAlign w:val="bottom"/>
          </w:tcPr>
          <w:p>
            <w:pPr>
              <w:jc w:val="right"/>
              <w:ind w:right="4"/>
              <w:spacing w:after="0"/>
              <w:rPr>
                <w:sz w:val="20"/>
                <w:szCs w:val="20"/>
                <w:color w:val="auto"/>
              </w:rPr>
            </w:pPr>
            <w:r>
              <w:rPr>
                <w:rFonts w:ascii="Arial" w:cs="Arial" w:eastAsia="Arial" w:hAnsi="Arial"/>
                <w:sz w:val="16"/>
                <w:szCs w:val="16"/>
                <w:color w:val="auto"/>
              </w:rPr>
              <w:t>0.94 %</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
              <w:spacing w:after="0"/>
              <w:rPr>
                <w:sz w:val="20"/>
                <w:szCs w:val="20"/>
                <w:color w:val="auto"/>
              </w:rPr>
            </w:pPr>
            <w:r>
              <w:rPr>
                <w:rFonts w:ascii="Arial" w:cs="Arial" w:eastAsia="Arial" w:hAnsi="Arial"/>
                <w:sz w:val="16"/>
                <w:szCs w:val="16"/>
                <w:color w:val="auto"/>
              </w:rPr>
              <w:t>33.81</w:t>
            </w:r>
          </w:p>
        </w:tc>
      </w:tr>
    </w:tbl>
    <w:p>
      <w:pPr>
        <w:spacing w:after="0" w:line="92" w:lineRule="exact"/>
        <w:rPr>
          <w:sz w:val="20"/>
          <w:szCs w:val="20"/>
          <w:color w:val="auto"/>
        </w:rPr>
      </w:pPr>
    </w:p>
    <w:p>
      <w:pPr>
        <w:ind w:left="320" w:hanging="313"/>
        <w:spacing w:after="0" w:line="246" w:lineRule="auto"/>
        <w:tabs>
          <w:tab w:leader="none" w:pos="308"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Amounts reported represent annual cash incentive awards earned for each fiscal year, but paid during the following fiscal year or deferred. Annual cash incentive awards are calculated and paid based on performance against financial performance goals.</w:t>
      </w:r>
    </w:p>
    <w:p>
      <w:pPr>
        <w:spacing w:after="0" w:line="15" w:lineRule="exact"/>
        <w:rPr>
          <w:rFonts w:ascii="Arial" w:cs="Arial" w:eastAsia="Arial" w:hAnsi="Arial"/>
          <w:sz w:val="18"/>
          <w:szCs w:val="18"/>
          <w:color w:val="auto"/>
        </w:rPr>
      </w:pPr>
    </w:p>
    <w:p>
      <w:pPr>
        <w:ind w:left="320" w:hanging="313"/>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Amounts for fiscal 2025 are set forth below under All Other Compensation for Fiscal 2025.</w:t>
      </w:r>
    </w:p>
    <w:p>
      <w:pPr>
        <w:spacing w:after="0" w:line="46" w:lineRule="exact"/>
        <w:rPr>
          <w:rFonts w:ascii="Arial" w:cs="Arial" w:eastAsia="Arial" w:hAnsi="Arial"/>
          <w:sz w:val="18"/>
          <w:szCs w:val="18"/>
          <w:color w:val="auto"/>
        </w:rPr>
      </w:pPr>
    </w:p>
    <w:p>
      <w:pPr>
        <w:ind w:left="320" w:hanging="313"/>
        <w:spacing w:after="0" w:line="246" w:lineRule="auto"/>
        <w:tabs>
          <w:tab w:leader="none" w:pos="308" w:val="left"/>
        </w:tabs>
        <w:numPr>
          <w:ilvl w:val="0"/>
          <w:numId w:val="60"/>
        </w:numPr>
        <w:rPr>
          <w:rFonts w:ascii="Arial" w:cs="Arial" w:eastAsia="Arial" w:hAnsi="Arial"/>
          <w:sz w:val="18"/>
          <w:szCs w:val="18"/>
          <w:color w:val="auto"/>
        </w:rPr>
      </w:pPr>
      <w:r>
        <w:rPr>
          <w:rFonts w:ascii="Arial" w:cs="Arial" w:eastAsia="Arial" w:hAnsi="Arial"/>
          <w:sz w:val="18"/>
          <w:szCs w:val="18"/>
          <w:color w:val="auto"/>
        </w:rPr>
        <w:t>Messrs. Funk and Moeller became NEOs in fiscal 2025; therefore, their information is provided for fiscal 2025 only. Mr. Janey was an NEO in fiscal 2025 and fiscal 2023; therefore, his information is provided for all three fiscal years.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All Other Compensation for Fiscal 2025</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All other compensation for fiscal 2025 includes the compensation components described below.</w:t>
      </w:r>
    </w:p>
    <w:p>
      <w:pPr>
        <w:sectPr>
          <w:pgSz w:w="11900" w:h="16838" w:orient="portrait"/>
          <w:cols w:equalWidth="0" w:num="1">
            <w:col w:w="11240"/>
          </w:cols>
          <w:pgMar w:left="320" w:top="1154" w:right="339" w:bottom="1440" w:gutter="0" w:footer="0" w:header="0"/>
        </w:sectPr>
      </w:pPr>
    </w:p>
    <w:p>
      <w:pPr>
        <w:spacing w:after="0" w:line="14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FFFFF"/>
        </w:rPr>
        <w:t>Element</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Retirement</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Benefits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-115570</wp:posOffset>
            </wp:positionV>
            <wp:extent cx="6955790" cy="152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55790" cy="152400"/>
                    </a:xfrm>
                    <a:prstGeom prst="rect">
                      <a:avLst/>
                    </a:prstGeom>
                    <a:noFill/>
                  </pic:spPr>
                </pic:pic>
              </a:graphicData>
            </a:graphic>
          </wp:anchor>
        </w:drawing>
      </w:r>
    </w:p>
    <w:p>
      <w:pPr>
        <w:spacing w:after="0" w:line="36" w:lineRule="exact"/>
        <w:rPr>
          <w:sz w:val="20"/>
          <w:szCs w:val="20"/>
          <w:color w:val="auto"/>
        </w:rPr>
      </w:pPr>
    </w:p>
    <w:p>
      <w:pPr>
        <w:jc w:val="both"/>
        <w:ind w:right="140"/>
        <w:spacing w:after="0" w:line="248" w:lineRule="auto"/>
        <w:rPr>
          <w:sz w:val="20"/>
          <w:szCs w:val="20"/>
          <w:color w:val="auto"/>
        </w:rPr>
      </w:pPr>
      <w:r>
        <w:rPr>
          <w:rFonts w:ascii="Arial" w:cs="Arial" w:eastAsia="Arial" w:hAnsi="Arial"/>
          <w:sz w:val="16"/>
          <w:szCs w:val="16"/>
          <w:color w:val="auto"/>
        </w:rPr>
        <w:t>Under our Retirement Plan in calendar year 2025, we matched one dollar for each employee dollar contribution, up to an employee maximum of 4%. Additionally, the Company may make a discretionary investment fund contribution. Employees are eligible to participate in the plan after 30 days of service. For employees whose compensation exceeds the IRS limit, we also provide a contribution into our nonqualified deferred compensation plans, the Supplemental Benefit Plan or the Deferred Plan, as applicable. Our nonqualified deferred compensation plans are described under Nonqualified Deferred Compensation for Fiscal 2025.</w:t>
      </w:r>
    </w:p>
    <w:p>
      <w:pPr>
        <w:spacing w:after="0" w:line="200" w:lineRule="exact"/>
        <w:rPr>
          <w:sz w:val="20"/>
          <w:szCs w:val="20"/>
          <w:color w:val="auto"/>
        </w:rPr>
      </w:pPr>
    </w:p>
    <w:p>
      <w:pPr>
        <w:sectPr>
          <w:pgSz w:w="11900" w:h="16838" w:orient="portrait"/>
          <w:cols w:equalWidth="0" w:num="2">
            <w:col w:w="1020" w:space="720"/>
            <w:col w:w="9500"/>
          </w:cols>
          <w:pgMar w:left="320" w:top="115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type w:val="continuous"/>
        </w:sectPr>
      </w:pPr>
    </w:p>
    <w:bookmarkStart w:id="60" w:name="page61"/>
    <w:bookmarkEnd w:id="60"/>
    <w:p>
      <w:pPr>
        <w:ind w:left="180"/>
        <w:spacing w:after="0"/>
        <w:tabs>
          <w:tab w:leader="none" w:pos="1720" w:val="left"/>
        </w:tabs>
        <w:rPr>
          <w:sz w:val="20"/>
          <w:szCs w:val="20"/>
          <w:color w:val="auto"/>
        </w:rPr>
      </w:pPr>
      <w:r>
        <w:rPr>
          <w:rFonts w:ascii="Arial" w:cs="Arial" w:eastAsia="Arial" w:hAnsi="Arial"/>
          <w:sz w:val="32"/>
          <w:szCs w:val="32"/>
          <w:color w:val="auto"/>
          <w:vertAlign w:val="superscript"/>
        </w:rPr>
        <w:t>Perquisites</w:t>
      </w:r>
      <w:r>
        <w:rPr>
          <w:sz w:val="20"/>
          <w:szCs w:val="20"/>
          <w:color w:val="auto"/>
        </w:rPr>
        <w:tab/>
      </w:r>
      <w:r>
        <w:rPr>
          <w:rFonts w:ascii="Arial" w:cs="Arial" w:eastAsia="Arial" w:hAnsi="Arial"/>
          <w:sz w:val="16"/>
          <w:szCs w:val="16"/>
          <w:color w:val="auto"/>
        </w:rPr>
        <w:t>We provide our executive officers with modest perquisites,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-132715</wp:posOffset>
            </wp:positionV>
            <wp:extent cx="6955790" cy="1923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55790" cy="1923415"/>
                    </a:xfrm>
                    <a:prstGeom prst="rect">
                      <a:avLst/>
                    </a:prstGeom>
                    <a:noFill/>
                  </pic:spPr>
                </pic:pic>
              </a:graphicData>
            </a:graphic>
          </wp:anchor>
        </w:drawing>
      </w:r>
    </w:p>
    <w:p>
      <w:pPr>
        <w:spacing w:after="0" w:line="39" w:lineRule="exact"/>
        <w:rPr>
          <w:sz w:val="20"/>
          <w:szCs w:val="20"/>
          <w:color w:val="auto"/>
        </w:rPr>
      </w:pPr>
    </w:p>
    <w:p>
      <w:pPr>
        <w:ind w:left="1900" w:right="140" w:hanging="168"/>
        <w:spacing w:after="0" w:line="250" w:lineRule="auto"/>
        <w:tabs>
          <w:tab w:leader="none" w:pos="1889"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Company-leased automobile--We pay all costs associated with leasing, operating, maintaining and insuring a company-leased automobile up to certain thresholds.</w:t>
      </w:r>
    </w:p>
    <w:p>
      <w:pPr>
        <w:jc w:val="both"/>
        <w:ind w:left="1900" w:right="140" w:hanging="168"/>
        <w:spacing w:after="0" w:line="255" w:lineRule="auto"/>
        <w:tabs>
          <w:tab w:leader="none" w:pos="1889" w:val="left"/>
        </w:tabs>
        <w:numPr>
          <w:ilvl w:val="0"/>
          <w:numId w:val="61"/>
        </w:numPr>
        <w:rPr>
          <w:rFonts w:ascii="Arial" w:cs="Arial" w:eastAsia="Arial" w:hAnsi="Arial"/>
          <w:sz w:val="16"/>
          <w:szCs w:val="16"/>
          <w:color w:val="auto"/>
        </w:rPr>
      </w:pPr>
      <w:r>
        <w:rPr>
          <w:rFonts w:ascii="Arial" w:cs="Arial" w:eastAsia="Arial" w:hAnsi="Arial"/>
          <w:sz w:val="16"/>
          <w:szCs w:val="16"/>
          <w:color w:val="auto"/>
        </w:rPr>
        <w:t>Financial planning-We encourage our executive officers to receive professional advice regarding their financial, tax and estate planning needs. Therefore, we pay up to a maximum defined amount for each of our executive officers to cover tax planning, tax return preparation, financial counseling and estate planning.</w:t>
      </w:r>
    </w:p>
    <w:p>
      <w:pPr>
        <w:ind w:left="1900" w:right="140" w:hanging="168"/>
        <w:spacing w:after="0" w:line="269" w:lineRule="auto"/>
        <w:tabs>
          <w:tab w:leader="none" w:pos="1889"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Annual executive physical--To help ensure the health of our executive officers, we generally pay up to a certain amount for approved physical exam expenses not covered by the executive officer's health insurance.</w:t>
      </w:r>
    </w:p>
    <w:p>
      <w:pPr>
        <w:spacing w:after="0" w:line="1" w:lineRule="exact"/>
        <w:rPr>
          <w:rFonts w:ascii="Arial" w:cs="Arial" w:eastAsia="Arial" w:hAnsi="Arial"/>
          <w:sz w:val="16"/>
          <w:szCs w:val="16"/>
          <w:color w:val="auto"/>
        </w:rPr>
      </w:pPr>
    </w:p>
    <w:p>
      <w:pPr>
        <w:jc w:val="both"/>
        <w:ind w:left="1900" w:right="140" w:hanging="168"/>
        <w:spacing w:after="0" w:line="247" w:lineRule="auto"/>
        <w:tabs>
          <w:tab w:leader="none" w:pos="1889"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Company products--To enable our executive officers the opportunity to become more familiar with our products and use those products on a regular basis, we provide certain Company products and related accessories for personal use at no cost; provided, however, that executive officers are responsible for applicable taxes attributable to the value of such products. The value is generally deemed to be our distributor net price or its equivalent, which is the price at which products are available to employees for purchase.</w:t>
      </w:r>
    </w:p>
    <w:p>
      <w:pPr>
        <w:ind w:left="1900" w:right="140" w:hanging="168"/>
        <w:spacing w:after="0" w:line="278" w:lineRule="auto"/>
        <w:tabs>
          <w:tab w:leader="none" w:pos="1889" w:val="left"/>
        </w:tabs>
        <w:numPr>
          <w:ilvl w:val="0"/>
          <w:numId w:val="61"/>
        </w:numPr>
        <w:rPr>
          <w:rFonts w:ascii="Arial" w:cs="Arial" w:eastAsia="Arial" w:hAnsi="Arial"/>
          <w:sz w:val="16"/>
          <w:szCs w:val="16"/>
          <w:color w:val="auto"/>
        </w:rPr>
      </w:pPr>
      <w:r>
        <w:rPr>
          <w:rFonts w:ascii="Arial" w:cs="Arial" w:eastAsia="Arial" w:hAnsi="Arial"/>
          <w:sz w:val="16"/>
          <w:szCs w:val="16"/>
          <w:color w:val="auto"/>
        </w:rPr>
        <w:t>Travel expenses--During fiscal 2025, we paid certain travel costs for spouses of our executive officers in connection with certain off-site, business-related meetings in which it was appropriate for a spouse to attend.</w:t>
      </w:r>
    </w:p>
    <w:p>
      <w:pPr>
        <w:sectPr>
          <w:pgSz w:w="11900" w:h="16838" w:orient="portrait"/>
          <w:cols w:equalWidth="0" w:num="1">
            <w:col w:w="11240"/>
          </w:cols>
          <w:pgMar w:left="320" w:top="996" w:right="339" w:bottom="1440" w:gutter="0" w:footer="0" w:header="0"/>
        </w:sectPr>
      </w:pPr>
    </w:p>
    <w:p>
      <w:pPr>
        <w:ind w:left="180"/>
        <w:spacing w:after="0" w:line="230" w:lineRule="auto"/>
        <w:rPr>
          <w:sz w:val="20"/>
          <w:szCs w:val="20"/>
          <w:color w:val="auto"/>
        </w:rPr>
      </w:pPr>
      <w:r>
        <w:rPr>
          <w:rFonts w:ascii="Arial" w:cs="Arial" w:eastAsia="Arial" w:hAnsi="Arial"/>
          <w:sz w:val="16"/>
          <w:szCs w:val="16"/>
          <w:color w:val="auto"/>
        </w:rPr>
        <w:t>Charitable</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Giving</w:t>
      </w:r>
    </w:p>
    <w:p>
      <w:pPr>
        <w:spacing w:after="0" w:line="20" w:lineRule="exact"/>
        <w:rPr>
          <w:sz w:val="20"/>
          <w:szCs w:val="20"/>
          <w:color w:val="auto"/>
        </w:rPr>
      </w:pPr>
      <w:r>
        <w:rPr>
          <w:sz w:val="20"/>
          <w:szCs w:val="20"/>
          <w:color w:val="auto"/>
        </w:rPr>
        <w:br w:type="column"/>
      </w:r>
    </w:p>
    <w:p>
      <w:pPr>
        <w:jc w:val="both"/>
        <w:ind w:right="140"/>
        <w:spacing w:after="0" w:line="252" w:lineRule="auto"/>
        <w:rPr>
          <w:sz w:val="20"/>
          <w:szCs w:val="20"/>
          <w:color w:val="auto"/>
        </w:rPr>
      </w:pPr>
      <w:r>
        <w:rPr>
          <w:rFonts w:ascii="Arial" w:cs="Arial" w:eastAsia="Arial" w:hAnsi="Arial"/>
          <w:sz w:val="16"/>
          <w:szCs w:val="16"/>
          <w:color w:val="auto"/>
        </w:rPr>
        <w:t>We support charitable organizations for our employees through our matching gift program. The program for our executive officers provides that a gift or gifts by an executive officer and/or his or her spouse to one or more tax exempt 501(c)(3) charitable organizations located in the United States will be matched by us in an aggregate amount of up to $3,000 per year.</w:t>
      </w:r>
    </w:p>
    <w:p>
      <w:pPr>
        <w:spacing w:after="0" w:line="200" w:lineRule="exact"/>
        <w:rPr>
          <w:sz w:val="20"/>
          <w:szCs w:val="20"/>
          <w:color w:val="auto"/>
        </w:rPr>
      </w:pPr>
    </w:p>
    <w:p>
      <w:pPr>
        <w:sectPr>
          <w:pgSz w:w="11900" w:h="16838" w:orient="portrait"/>
          <w:cols w:equalWidth="0" w:num="2">
            <w:col w:w="1020" w:space="720"/>
            <w:col w:w="9500"/>
          </w:cols>
          <w:pgMar w:left="320" w:top="996" w:right="339" w:bottom="1440" w:gutter="0" w:footer="0" w:header="0"/>
          <w:type w:val="continuous"/>
        </w:sectPr>
      </w:pPr>
    </w:p>
    <w:p>
      <w:pPr>
        <w:spacing w:after="0" w:line="5" w:lineRule="exact"/>
        <w:rPr>
          <w:sz w:val="20"/>
          <w:szCs w:val="20"/>
          <w:color w:val="auto"/>
        </w:rPr>
      </w:pPr>
    </w:p>
    <w:p>
      <w:pPr>
        <w:ind w:right="820" w:firstLine="388"/>
        <w:spacing w:after="0" w:line="262" w:lineRule="auto"/>
        <w:rPr>
          <w:sz w:val="20"/>
          <w:szCs w:val="20"/>
          <w:color w:val="auto"/>
        </w:rPr>
      </w:pPr>
      <w:r>
        <w:rPr>
          <w:rFonts w:ascii="Arial" w:cs="Arial" w:eastAsia="Arial" w:hAnsi="Arial"/>
          <w:sz w:val="18"/>
          <w:szCs w:val="18"/>
          <w:color w:val="auto"/>
        </w:rPr>
        <w:t>The following table sets forth the specific amounts included in the fiscal 2025 "All Other Compensation" column of the Summary Compensation Table:</w:t>
      </w:r>
    </w:p>
    <w:p>
      <w:pPr>
        <w:spacing w:after="0" w:line="99" w:lineRule="exact"/>
        <w:rPr>
          <w:sz w:val="20"/>
          <w:szCs w:val="20"/>
          <w:color w:val="auto"/>
        </w:rPr>
      </w:pPr>
    </w:p>
    <w:tbl>
      <w:tblPr>
        <w:tblLayout w:type="fixed"/>
        <w:tblInd w:w="1180" w:type="dxa"/>
        <w:tblCellMar>
          <w:top w:w="0" w:type="dxa"/>
          <w:left w:w="0" w:type="dxa"/>
          <w:bottom w:w="0" w:type="dxa"/>
          <w:right w:w="0" w:type="dxa"/>
        </w:tblCellMar>
      </w:tblPr>
      <w:tr>
        <w:trPr>
          <w:trHeight w:val="215"/>
        </w:trPr>
        <w:tc>
          <w:tcPr>
            <w:tcW w:w="1320" w:type="dxa"/>
            <w:vAlign w:val="bottom"/>
            <w:shd w:val="clear" w:color="auto" w:fill="BF2115"/>
          </w:tcPr>
          <w:p>
            <w:pPr>
              <w:spacing w:after="0"/>
              <w:rPr>
                <w:sz w:val="18"/>
                <w:szCs w:val="18"/>
                <w:color w:val="auto"/>
              </w:rPr>
            </w:pPr>
          </w:p>
        </w:tc>
        <w:tc>
          <w:tcPr>
            <w:tcW w:w="1900" w:type="dxa"/>
            <w:vAlign w:val="bottom"/>
            <w:shd w:val="clear" w:color="auto" w:fill="BF2115"/>
          </w:tcPr>
          <w:p>
            <w:pPr>
              <w:jc w:val="center"/>
              <w:ind w:left="103"/>
              <w:spacing w:after="0"/>
              <w:rPr>
                <w:sz w:val="20"/>
                <w:szCs w:val="20"/>
                <w:color w:val="auto"/>
              </w:rPr>
            </w:pPr>
            <w:r>
              <w:rPr>
                <w:rFonts w:ascii="Arial" w:cs="Arial" w:eastAsia="Arial" w:hAnsi="Arial"/>
                <w:sz w:val="14"/>
                <w:szCs w:val="14"/>
                <w:b w:val="1"/>
                <w:bCs w:val="1"/>
                <w:color w:val="FFFFFF"/>
              </w:rPr>
              <w:t>Retirement Plan</w:t>
            </w:r>
          </w:p>
        </w:tc>
        <w:tc>
          <w:tcPr>
            <w:tcW w:w="1740" w:type="dxa"/>
            <w:vAlign w:val="bottom"/>
            <w:shd w:val="clear" w:color="auto" w:fill="BF2115"/>
          </w:tcPr>
          <w:p>
            <w:pPr>
              <w:jc w:val="center"/>
              <w:ind w:right="223"/>
              <w:spacing w:after="0"/>
              <w:rPr>
                <w:sz w:val="20"/>
                <w:szCs w:val="20"/>
                <w:color w:val="auto"/>
              </w:rPr>
            </w:pPr>
            <w:r>
              <w:rPr>
                <w:rFonts w:ascii="Arial" w:cs="Arial" w:eastAsia="Arial" w:hAnsi="Arial"/>
                <w:sz w:val="14"/>
                <w:szCs w:val="14"/>
                <w:b w:val="1"/>
                <w:bCs w:val="1"/>
                <w:color w:val="FFFFFF"/>
              </w:rPr>
              <w:t>Nonqualified Plan</w:t>
            </w:r>
          </w:p>
        </w:tc>
        <w:tc>
          <w:tcPr>
            <w:tcW w:w="1460" w:type="dxa"/>
            <w:vAlign w:val="bottom"/>
            <w:shd w:val="clear" w:color="auto" w:fill="BF2115"/>
          </w:tcPr>
          <w:p>
            <w:pPr>
              <w:jc w:val="center"/>
              <w:ind w:right="283"/>
              <w:spacing w:after="0"/>
              <w:rPr>
                <w:sz w:val="20"/>
                <w:szCs w:val="20"/>
                <w:color w:val="auto"/>
              </w:rPr>
            </w:pPr>
            <w:r>
              <w:rPr>
                <w:rFonts w:ascii="Arial" w:cs="Arial" w:eastAsia="Arial" w:hAnsi="Arial"/>
                <w:sz w:val="14"/>
                <w:szCs w:val="14"/>
                <w:b w:val="1"/>
                <w:bCs w:val="1"/>
                <w:color w:val="FFFFFF"/>
              </w:rPr>
              <w:t>Charitable</w:t>
            </w:r>
          </w:p>
        </w:tc>
        <w:tc>
          <w:tcPr>
            <w:tcW w:w="1540" w:type="dxa"/>
            <w:vAlign w:val="bottom"/>
            <w:vMerge w:val="restart"/>
            <w:shd w:val="clear" w:color="auto" w:fill="BF2115"/>
          </w:tcPr>
          <w:p>
            <w:pPr>
              <w:jc w:val="right"/>
              <w:ind w:right="462"/>
              <w:spacing w:after="0"/>
              <w:rPr>
                <w:sz w:val="20"/>
                <w:szCs w:val="20"/>
                <w:color w:val="auto"/>
              </w:rPr>
            </w:pPr>
            <w:r>
              <w:rPr>
                <w:rFonts w:ascii="Arial" w:cs="Arial" w:eastAsia="Arial" w:hAnsi="Arial"/>
                <w:sz w:val="14"/>
                <w:szCs w:val="14"/>
                <w:b w:val="1"/>
                <w:bCs w:val="1"/>
                <w:color w:val="FFFFFF"/>
              </w:rPr>
              <w:t>Perquisites</w:t>
            </w:r>
            <w:r>
              <w:rPr>
                <w:rFonts w:ascii="Arial" w:cs="Arial" w:eastAsia="Arial" w:hAnsi="Arial"/>
                <w:sz w:val="9"/>
                <w:szCs w:val="9"/>
                <w:b w:val="1"/>
                <w:bCs w:val="1"/>
                <w:color w:val="FFFFFF"/>
              </w:rPr>
              <w:t>4</w:t>
            </w:r>
          </w:p>
        </w:tc>
        <w:tc>
          <w:tcPr>
            <w:tcW w:w="940" w:type="dxa"/>
            <w:vAlign w:val="bottom"/>
            <w:vMerge w:val="restart"/>
            <w:shd w:val="clear" w:color="auto" w:fill="BF2115"/>
          </w:tcPr>
          <w:p>
            <w:pPr>
              <w:jc w:val="right"/>
              <w:ind w:right="322"/>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76"/>
        </w:trPr>
        <w:tc>
          <w:tcPr>
            <w:tcW w:w="1320" w:type="dxa"/>
            <w:vAlign w:val="bottom"/>
            <w:shd w:val="clear" w:color="auto" w:fill="BF2115"/>
          </w:tcPr>
          <w:p>
            <w:pPr>
              <w:spacing w:after="0"/>
              <w:rPr>
                <w:sz w:val="15"/>
                <w:szCs w:val="15"/>
                <w:color w:val="auto"/>
              </w:rPr>
            </w:pPr>
          </w:p>
        </w:tc>
        <w:tc>
          <w:tcPr>
            <w:tcW w:w="1900" w:type="dxa"/>
            <w:vAlign w:val="bottom"/>
            <w:shd w:val="clear" w:color="auto" w:fill="BF2115"/>
          </w:tcPr>
          <w:p>
            <w:pPr>
              <w:jc w:val="center"/>
              <w:ind w:left="123"/>
              <w:spacing w:after="0" w:line="176" w:lineRule="exact"/>
              <w:rPr>
                <w:sz w:val="20"/>
                <w:szCs w:val="20"/>
                <w:color w:val="auto"/>
              </w:rPr>
            </w:pPr>
            <w:r>
              <w:rPr>
                <w:rFonts w:ascii="Arial" w:cs="Arial" w:eastAsia="Arial" w:hAnsi="Arial"/>
                <w:sz w:val="14"/>
                <w:szCs w:val="14"/>
                <w:b w:val="1"/>
                <w:bCs w:val="1"/>
                <w:color w:val="FFFFFF"/>
                <w:w w:val="99"/>
              </w:rPr>
              <w:t>Contributions</w:t>
            </w:r>
            <w:r>
              <w:rPr>
                <w:rFonts w:ascii="Arial" w:cs="Arial" w:eastAsia="Arial" w:hAnsi="Arial"/>
                <w:sz w:val="18"/>
                <w:szCs w:val="18"/>
                <w:b w:val="1"/>
                <w:bCs w:val="1"/>
                <w:color w:val="FFFFFF"/>
                <w:w w:val="99"/>
                <w:vertAlign w:val="superscript"/>
              </w:rPr>
              <w:t>1</w:t>
            </w:r>
          </w:p>
        </w:tc>
        <w:tc>
          <w:tcPr>
            <w:tcW w:w="1740" w:type="dxa"/>
            <w:vAlign w:val="bottom"/>
            <w:shd w:val="clear" w:color="auto" w:fill="BF2115"/>
          </w:tcPr>
          <w:p>
            <w:pPr>
              <w:jc w:val="center"/>
              <w:ind w:right="243"/>
              <w:spacing w:after="0" w:line="176" w:lineRule="exact"/>
              <w:rPr>
                <w:sz w:val="20"/>
                <w:szCs w:val="20"/>
                <w:color w:val="auto"/>
              </w:rPr>
            </w:pPr>
            <w:r>
              <w:rPr>
                <w:rFonts w:ascii="Arial" w:cs="Arial" w:eastAsia="Arial" w:hAnsi="Arial"/>
                <w:sz w:val="14"/>
                <w:szCs w:val="14"/>
                <w:b w:val="1"/>
                <w:bCs w:val="1"/>
                <w:color w:val="FFFFFF"/>
                <w:w w:val="99"/>
              </w:rPr>
              <w:t>Contributions</w:t>
            </w:r>
            <w:r>
              <w:rPr>
                <w:rFonts w:ascii="Arial" w:cs="Arial" w:eastAsia="Arial" w:hAnsi="Arial"/>
                <w:sz w:val="18"/>
                <w:szCs w:val="18"/>
                <w:b w:val="1"/>
                <w:bCs w:val="1"/>
                <w:color w:val="FFFFFF"/>
                <w:w w:val="99"/>
                <w:vertAlign w:val="superscript"/>
              </w:rPr>
              <w:t>2</w:t>
            </w:r>
          </w:p>
        </w:tc>
        <w:tc>
          <w:tcPr>
            <w:tcW w:w="1460" w:type="dxa"/>
            <w:vAlign w:val="bottom"/>
            <w:shd w:val="clear" w:color="auto" w:fill="BF2115"/>
          </w:tcPr>
          <w:p>
            <w:pPr>
              <w:jc w:val="center"/>
              <w:ind w:right="283"/>
              <w:spacing w:after="0" w:line="176" w:lineRule="exact"/>
              <w:rPr>
                <w:sz w:val="20"/>
                <w:szCs w:val="20"/>
                <w:color w:val="auto"/>
              </w:rPr>
            </w:pPr>
            <w:r>
              <w:rPr>
                <w:rFonts w:ascii="Arial" w:cs="Arial" w:eastAsia="Arial" w:hAnsi="Arial"/>
                <w:sz w:val="14"/>
                <w:szCs w:val="14"/>
                <w:b w:val="1"/>
                <w:bCs w:val="1"/>
                <w:color w:val="FFFFFF"/>
                <w:w w:val="99"/>
              </w:rPr>
              <w:t>Giving</w:t>
            </w:r>
            <w:r>
              <w:rPr>
                <w:rFonts w:ascii="Arial" w:cs="Arial" w:eastAsia="Arial" w:hAnsi="Arial"/>
                <w:sz w:val="18"/>
                <w:szCs w:val="18"/>
                <w:b w:val="1"/>
                <w:bCs w:val="1"/>
                <w:color w:val="FFFFFF"/>
                <w:w w:val="99"/>
                <w:vertAlign w:val="superscript"/>
              </w:rPr>
              <w:t>3</w:t>
            </w:r>
          </w:p>
        </w:tc>
        <w:tc>
          <w:tcPr>
            <w:tcW w:w="1540" w:type="dxa"/>
            <w:vAlign w:val="bottom"/>
            <w:vMerge w:val="continue"/>
            <w:shd w:val="clear" w:color="auto" w:fill="BF2115"/>
          </w:tcPr>
          <w:p>
            <w:pPr>
              <w:spacing w:after="0"/>
              <w:rPr>
                <w:sz w:val="15"/>
                <w:szCs w:val="15"/>
                <w:color w:val="auto"/>
              </w:rPr>
            </w:pPr>
          </w:p>
        </w:tc>
        <w:tc>
          <w:tcPr>
            <w:tcW w:w="940" w:type="dxa"/>
            <w:vAlign w:val="bottom"/>
            <w:vMerge w:val="continue"/>
            <w:shd w:val="clear" w:color="auto" w:fill="BF2115"/>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2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1900" w:type="dxa"/>
            <w:vAlign w:val="bottom"/>
            <w:shd w:val="clear" w:color="auto" w:fill="BF2115"/>
          </w:tcPr>
          <w:p>
            <w:pPr>
              <w:jc w:val="center"/>
              <w:ind w:left="103"/>
              <w:spacing w:after="0"/>
              <w:rPr>
                <w:sz w:val="20"/>
                <w:szCs w:val="20"/>
                <w:color w:val="auto"/>
              </w:rPr>
            </w:pPr>
            <w:r>
              <w:rPr>
                <w:rFonts w:ascii="Arial" w:cs="Arial" w:eastAsia="Arial" w:hAnsi="Arial"/>
                <w:sz w:val="14"/>
                <w:szCs w:val="14"/>
                <w:b w:val="1"/>
                <w:bCs w:val="1"/>
                <w:color w:val="FFFFFF"/>
                <w:w w:val="93"/>
              </w:rPr>
              <w:t>($)</w:t>
            </w:r>
          </w:p>
        </w:tc>
        <w:tc>
          <w:tcPr>
            <w:tcW w:w="1740" w:type="dxa"/>
            <w:vAlign w:val="bottom"/>
            <w:shd w:val="clear" w:color="auto" w:fill="BF2115"/>
          </w:tcPr>
          <w:p>
            <w:pPr>
              <w:jc w:val="center"/>
              <w:ind w:right="223"/>
              <w:spacing w:after="0"/>
              <w:rPr>
                <w:sz w:val="20"/>
                <w:szCs w:val="20"/>
                <w:color w:val="auto"/>
              </w:rPr>
            </w:pPr>
            <w:r>
              <w:rPr>
                <w:rFonts w:ascii="Arial" w:cs="Arial" w:eastAsia="Arial" w:hAnsi="Arial"/>
                <w:sz w:val="14"/>
                <w:szCs w:val="14"/>
                <w:b w:val="1"/>
                <w:bCs w:val="1"/>
                <w:color w:val="FFFFFF"/>
                <w:w w:val="93"/>
              </w:rPr>
              <w:t>($)</w:t>
            </w:r>
          </w:p>
        </w:tc>
        <w:tc>
          <w:tcPr>
            <w:tcW w:w="1460" w:type="dxa"/>
            <w:vAlign w:val="bottom"/>
            <w:shd w:val="clear" w:color="auto" w:fill="BF2115"/>
          </w:tcPr>
          <w:p>
            <w:pPr>
              <w:jc w:val="center"/>
              <w:ind w:right="283"/>
              <w:spacing w:after="0"/>
              <w:rPr>
                <w:sz w:val="20"/>
                <w:szCs w:val="20"/>
                <w:color w:val="auto"/>
              </w:rPr>
            </w:pPr>
            <w:r>
              <w:rPr>
                <w:rFonts w:ascii="Arial" w:cs="Arial" w:eastAsia="Arial" w:hAnsi="Arial"/>
                <w:sz w:val="14"/>
                <w:szCs w:val="14"/>
                <w:b w:val="1"/>
                <w:bCs w:val="1"/>
                <w:color w:val="FFFFFF"/>
              </w:rPr>
              <w:t>($)</w:t>
            </w:r>
          </w:p>
        </w:tc>
        <w:tc>
          <w:tcPr>
            <w:tcW w:w="1540" w:type="dxa"/>
            <w:vAlign w:val="bottom"/>
            <w:shd w:val="clear" w:color="auto" w:fill="BF2115"/>
          </w:tcPr>
          <w:p>
            <w:pPr>
              <w:jc w:val="right"/>
              <w:ind w:right="782"/>
              <w:spacing w:after="0"/>
              <w:rPr>
                <w:sz w:val="20"/>
                <w:szCs w:val="20"/>
                <w:color w:val="auto"/>
              </w:rPr>
            </w:pPr>
            <w:r>
              <w:rPr>
                <w:rFonts w:ascii="Arial" w:cs="Arial" w:eastAsia="Arial" w:hAnsi="Arial"/>
                <w:sz w:val="14"/>
                <w:szCs w:val="14"/>
                <w:b w:val="1"/>
                <w:bCs w:val="1"/>
                <w:color w:val="FFFFFF"/>
              </w:rPr>
              <w:t>($)</w:t>
            </w:r>
          </w:p>
        </w:tc>
        <w:tc>
          <w:tcPr>
            <w:tcW w:w="940" w:type="dxa"/>
            <w:vAlign w:val="bottom"/>
            <w:shd w:val="clear" w:color="auto" w:fill="BF2115"/>
          </w:tcPr>
          <w:p>
            <w:pPr>
              <w:jc w:val="right"/>
              <w:ind w:right="402"/>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1"/>
        </w:trPr>
        <w:tc>
          <w:tcPr>
            <w:tcW w:w="1320" w:type="dxa"/>
            <w:vAlign w:val="bottom"/>
          </w:tcPr>
          <w:p>
            <w:pPr>
              <w:ind w:left="20"/>
              <w:spacing w:after="0"/>
              <w:rPr>
                <w:sz w:val="20"/>
                <w:szCs w:val="20"/>
                <w:color w:val="auto"/>
              </w:rPr>
            </w:pPr>
            <w:r>
              <w:rPr>
                <w:rFonts w:ascii="Arial" w:cs="Arial" w:eastAsia="Arial" w:hAnsi="Arial"/>
                <w:sz w:val="16"/>
                <w:szCs w:val="16"/>
                <w:color w:val="auto"/>
              </w:rPr>
              <w:t>Mr. Olson</w:t>
            </w:r>
          </w:p>
        </w:tc>
        <w:tc>
          <w:tcPr>
            <w:tcW w:w="1900" w:type="dxa"/>
            <w:vAlign w:val="bottom"/>
          </w:tcPr>
          <w:p>
            <w:pPr>
              <w:jc w:val="right"/>
              <w:ind w:right="43"/>
              <w:spacing w:after="0"/>
              <w:rPr>
                <w:sz w:val="20"/>
                <w:szCs w:val="20"/>
                <w:color w:val="auto"/>
              </w:rPr>
            </w:pPr>
            <w:r>
              <w:rPr>
                <w:rFonts w:ascii="Arial" w:cs="Arial" w:eastAsia="Arial" w:hAnsi="Arial"/>
                <w:sz w:val="16"/>
                <w:szCs w:val="16"/>
                <w:color w:val="auto"/>
              </w:rPr>
              <w:t>27,933</w:t>
            </w:r>
          </w:p>
        </w:tc>
        <w:tc>
          <w:tcPr>
            <w:tcW w:w="1740" w:type="dxa"/>
            <w:vAlign w:val="bottom"/>
          </w:tcPr>
          <w:p>
            <w:pPr>
              <w:jc w:val="right"/>
              <w:ind w:right="143"/>
              <w:spacing w:after="0"/>
              <w:rPr>
                <w:sz w:val="20"/>
                <w:szCs w:val="20"/>
                <w:color w:val="auto"/>
              </w:rPr>
            </w:pPr>
            <w:r>
              <w:rPr>
                <w:rFonts w:ascii="Arial" w:cs="Arial" w:eastAsia="Arial" w:hAnsi="Arial"/>
                <w:sz w:val="16"/>
                <w:szCs w:val="16"/>
                <w:color w:val="auto"/>
              </w:rPr>
              <w:t>196,708</w:t>
            </w:r>
          </w:p>
        </w:tc>
        <w:tc>
          <w:tcPr>
            <w:tcW w:w="1460" w:type="dxa"/>
            <w:vAlign w:val="bottom"/>
          </w:tcPr>
          <w:p>
            <w:pPr>
              <w:jc w:val="right"/>
              <w:ind w:right="103"/>
              <w:spacing w:after="0"/>
              <w:rPr>
                <w:sz w:val="20"/>
                <w:szCs w:val="20"/>
                <w:color w:val="auto"/>
              </w:rPr>
            </w:pPr>
            <w:r>
              <w:rPr>
                <w:rFonts w:ascii="Arial" w:cs="Arial" w:eastAsia="Arial" w:hAnsi="Arial"/>
                <w:sz w:val="16"/>
                <w:szCs w:val="16"/>
                <w:color w:val="auto"/>
              </w:rPr>
              <w:t>0</w:t>
            </w:r>
          </w:p>
        </w:tc>
        <w:tc>
          <w:tcPr>
            <w:tcW w:w="1540" w:type="dxa"/>
            <w:vAlign w:val="bottom"/>
          </w:tcPr>
          <w:p>
            <w:pPr>
              <w:jc w:val="right"/>
              <w:ind w:right="122"/>
              <w:spacing w:after="0"/>
              <w:rPr>
                <w:sz w:val="20"/>
                <w:szCs w:val="20"/>
                <w:color w:val="auto"/>
              </w:rPr>
            </w:pPr>
            <w:r>
              <w:rPr>
                <w:rFonts w:ascii="Arial" w:cs="Arial" w:eastAsia="Arial" w:hAnsi="Arial"/>
                <w:sz w:val="16"/>
                <w:szCs w:val="16"/>
                <w:color w:val="auto"/>
              </w:rPr>
              <w:t>29,958</w:t>
            </w:r>
          </w:p>
        </w:tc>
        <w:tc>
          <w:tcPr>
            <w:tcW w:w="940" w:type="dxa"/>
            <w:vAlign w:val="bottom"/>
          </w:tcPr>
          <w:p>
            <w:pPr>
              <w:jc w:val="right"/>
              <w:spacing w:after="0"/>
              <w:rPr>
                <w:sz w:val="20"/>
                <w:szCs w:val="20"/>
                <w:color w:val="auto"/>
              </w:rPr>
            </w:pPr>
            <w:r>
              <w:rPr>
                <w:rFonts w:ascii="Arial" w:cs="Arial" w:eastAsia="Arial" w:hAnsi="Arial"/>
                <w:sz w:val="16"/>
                <w:szCs w:val="16"/>
                <w:color w:val="auto"/>
              </w:rPr>
              <w:t>254,599</w:t>
            </w:r>
          </w:p>
        </w:tc>
        <w:tc>
          <w:tcPr>
            <w:tcW w:w="0" w:type="dxa"/>
            <w:vAlign w:val="bottom"/>
          </w:tcPr>
          <w:p>
            <w:pPr>
              <w:spacing w:after="0"/>
              <w:rPr>
                <w:sz w:val="1"/>
                <w:szCs w:val="1"/>
                <w:color w:val="auto"/>
              </w:rPr>
            </w:pPr>
          </w:p>
        </w:tc>
      </w:tr>
      <w:tr>
        <w:trPr>
          <w:trHeight w:val="29"/>
        </w:trPr>
        <w:tc>
          <w:tcPr>
            <w:tcW w:w="1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Drake</w:t>
            </w:r>
          </w:p>
        </w:tc>
        <w:tc>
          <w:tcPr>
            <w:tcW w:w="1900" w:type="dxa"/>
            <w:vAlign w:val="bottom"/>
            <w:tcBorders>
              <w:bottom w:val="single" w:sz="8" w:color="DBDBDB"/>
            </w:tcBorders>
            <w:shd w:val="clear" w:color="auto" w:fill="DBDBDB"/>
          </w:tcPr>
          <w:p>
            <w:pPr>
              <w:jc w:val="right"/>
              <w:ind w:right="43"/>
              <w:spacing w:after="0"/>
              <w:rPr>
                <w:sz w:val="20"/>
                <w:szCs w:val="20"/>
                <w:color w:val="auto"/>
              </w:rPr>
            </w:pPr>
            <w:r>
              <w:rPr>
                <w:rFonts w:ascii="Arial" w:cs="Arial" w:eastAsia="Arial" w:hAnsi="Arial"/>
                <w:sz w:val="16"/>
                <w:szCs w:val="16"/>
                <w:color w:val="auto"/>
              </w:rPr>
              <w:t>27,933</w:t>
            </w:r>
          </w:p>
        </w:tc>
        <w:tc>
          <w:tcPr>
            <w:tcW w:w="1740" w:type="dxa"/>
            <w:vAlign w:val="bottom"/>
            <w:tcBorders>
              <w:bottom w:val="single" w:sz="8" w:color="DBDBDB"/>
            </w:tcBorders>
            <w:shd w:val="clear" w:color="auto" w:fill="DBDBDB"/>
          </w:tcPr>
          <w:p>
            <w:pPr>
              <w:jc w:val="right"/>
              <w:ind w:right="143"/>
              <w:spacing w:after="0"/>
              <w:rPr>
                <w:sz w:val="20"/>
                <w:szCs w:val="20"/>
                <w:color w:val="auto"/>
              </w:rPr>
            </w:pPr>
            <w:r>
              <w:rPr>
                <w:rFonts w:ascii="Arial" w:cs="Arial" w:eastAsia="Arial" w:hAnsi="Arial"/>
                <w:sz w:val="16"/>
                <w:szCs w:val="16"/>
                <w:color w:val="auto"/>
              </w:rPr>
              <w:t>54,323</w:t>
            </w:r>
          </w:p>
        </w:tc>
        <w:tc>
          <w:tcPr>
            <w:tcW w:w="1460" w:type="dxa"/>
            <w:vAlign w:val="bottom"/>
            <w:tcBorders>
              <w:bottom w:val="single" w:sz="8" w:color="DBDBDB"/>
            </w:tcBorders>
            <w:shd w:val="clear" w:color="auto" w:fill="DBDBDB"/>
          </w:tcPr>
          <w:p>
            <w:pPr>
              <w:jc w:val="right"/>
              <w:ind w:right="103"/>
              <w:spacing w:after="0"/>
              <w:rPr>
                <w:sz w:val="20"/>
                <w:szCs w:val="20"/>
                <w:color w:val="auto"/>
              </w:rPr>
            </w:pPr>
            <w:r>
              <w:rPr>
                <w:rFonts w:ascii="Arial" w:cs="Arial" w:eastAsia="Arial" w:hAnsi="Arial"/>
                <w:sz w:val="16"/>
                <w:szCs w:val="16"/>
                <w:color w:val="auto"/>
              </w:rPr>
              <w:t>1,550</w:t>
            </w:r>
          </w:p>
        </w:tc>
        <w:tc>
          <w:tcPr>
            <w:tcW w:w="1540" w:type="dxa"/>
            <w:vAlign w:val="bottom"/>
            <w:tcBorders>
              <w:bottom w:val="single" w:sz="8" w:color="DBDBDB"/>
            </w:tcBorders>
            <w:shd w:val="clear" w:color="auto" w:fill="DBDBDB"/>
          </w:tcPr>
          <w:p>
            <w:pPr>
              <w:jc w:val="right"/>
              <w:ind w:right="122"/>
              <w:spacing w:after="0"/>
              <w:rPr>
                <w:sz w:val="20"/>
                <w:szCs w:val="20"/>
                <w:color w:val="auto"/>
              </w:rPr>
            </w:pPr>
            <w:r>
              <w:rPr>
                <w:rFonts w:ascii="Arial" w:cs="Arial" w:eastAsia="Arial" w:hAnsi="Arial"/>
                <w:sz w:val="16"/>
                <w:szCs w:val="16"/>
                <w:color w:val="auto"/>
              </w:rPr>
              <w:t>18,242</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102,048</w:t>
            </w:r>
          </w:p>
        </w:tc>
        <w:tc>
          <w:tcPr>
            <w:tcW w:w="0" w:type="dxa"/>
            <w:vAlign w:val="bottom"/>
          </w:tcPr>
          <w:p>
            <w:pPr>
              <w:spacing w:after="0"/>
              <w:rPr>
                <w:sz w:val="1"/>
                <w:szCs w:val="1"/>
                <w:color w:val="auto"/>
              </w:rPr>
            </w:pPr>
          </w:p>
        </w:tc>
      </w:tr>
      <w:tr>
        <w:trPr>
          <w:trHeight w:val="211"/>
        </w:trPr>
        <w:tc>
          <w:tcPr>
            <w:tcW w:w="1320" w:type="dxa"/>
            <w:vAlign w:val="bottom"/>
          </w:tcPr>
          <w:p>
            <w:pPr>
              <w:ind w:left="20"/>
              <w:spacing w:after="0"/>
              <w:rPr>
                <w:sz w:val="20"/>
                <w:szCs w:val="20"/>
                <w:color w:val="auto"/>
              </w:rPr>
            </w:pPr>
            <w:r>
              <w:rPr>
                <w:rFonts w:ascii="Arial" w:cs="Arial" w:eastAsia="Arial" w:hAnsi="Arial"/>
                <w:sz w:val="16"/>
                <w:szCs w:val="16"/>
                <w:color w:val="auto"/>
              </w:rPr>
              <w:t>Mr. Funk</w:t>
            </w:r>
          </w:p>
        </w:tc>
        <w:tc>
          <w:tcPr>
            <w:tcW w:w="1900" w:type="dxa"/>
            <w:vAlign w:val="bottom"/>
          </w:tcPr>
          <w:p>
            <w:pPr>
              <w:jc w:val="right"/>
              <w:ind w:right="43"/>
              <w:spacing w:after="0"/>
              <w:rPr>
                <w:sz w:val="20"/>
                <w:szCs w:val="20"/>
                <w:color w:val="auto"/>
              </w:rPr>
            </w:pPr>
            <w:r>
              <w:rPr>
                <w:rFonts w:ascii="Arial" w:cs="Arial" w:eastAsia="Arial" w:hAnsi="Arial"/>
                <w:sz w:val="16"/>
                <w:szCs w:val="16"/>
                <w:color w:val="auto"/>
              </w:rPr>
              <w:t>27,933</w:t>
            </w:r>
          </w:p>
        </w:tc>
        <w:tc>
          <w:tcPr>
            <w:tcW w:w="1740" w:type="dxa"/>
            <w:vAlign w:val="bottom"/>
          </w:tcPr>
          <w:p>
            <w:pPr>
              <w:jc w:val="right"/>
              <w:ind w:right="143"/>
              <w:spacing w:after="0"/>
              <w:rPr>
                <w:sz w:val="20"/>
                <w:szCs w:val="20"/>
                <w:color w:val="auto"/>
              </w:rPr>
            </w:pPr>
            <w:r>
              <w:rPr>
                <w:rFonts w:ascii="Arial" w:cs="Arial" w:eastAsia="Arial" w:hAnsi="Arial"/>
                <w:sz w:val="16"/>
                <w:szCs w:val="16"/>
                <w:color w:val="auto"/>
              </w:rPr>
              <w:t>50,372</w:t>
            </w:r>
          </w:p>
        </w:tc>
        <w:tc>
          <w:tcPr>
            <w:tcW w:w="1460" w:type="dxa"/>
            <w:vAlign w:val="bottom"/>
          </w:tcPr>
          <w:p>
            <w:pPr>
              <w:jc w:val="right"/>
              <w:ind w:right="103"/>
              <w:spacing w:after="0"/>
              <w:rPr>
                <w:sz w:val="20"/>
                <w:szCs w:val="20"/>
                <w:color w:val="auto"/>
              </w:rPr>
            </w:pPr>
            <w:r>
              <w:rPr>
                <w:rFonts w:ascii="Arial" w:cs="Arial" w:eastAsia="Arial" w:hAnsi="Arial"/>
                <w:sz w:val="16"/>
                <w:szCs w:val="16"/>
                <w:color w:val="auto"/>
              </w:rPr>
              <w:t>600</w:t>
            </w:r>
          </w:p>
        </w:tc>
        <w:tc>
          <w:tcPr>
            <w:tcW w:w="1540" w:type="dxa"/>
            <w:vAlign w:val="bottom"/>
          </w:tcPr>
          <w:p>
            <w:pPr>
              <w:jc w:val="right"/>
              <w:ind w:right="122"/>
              <w:spacing w:after="0"/>
              <w:rPr>
                <w:sz w:val="20"/>
                <w:szCs w:val="20"/>
                <w:color w:val="auto"/>
              </w:rPr>
            </w:pPr>
            <w:r>
              <w:rPr>
                <w:rFonts w:ascii="Arial" w:cs="Arial" w:eastAsia="Arial" w:hAnsi="Arial"/>
                <w:sz w:val="16"/>
                <w:szCs w:val="16"/>
                <w:color w:val="auto"/>
              </w:rPr>
              <w:t>55,940</w:t>
            </w:r>
          </w:p>
        </w:tc>
        <w:tc>
          <w:tcPr>
            <w:tcW w:w="940" w:type="dxa"/>
            <w:vAlign w:val="bottom"/>
          </w:tcPr>
          <w:p>
            <w:pPr>
              <w:jc w:val="right"/>
              <w:spacing w:after="0"/>
              <w:rPr>
                <w:sz w:val="20"/>
                <w:szCs w:val="20"/>
                <w:color w:val="auto"/>
              </w:rPr>
            </w:pPr>
            <w:r>
              <w:rPr>
                <w:rFonts w:ascii="Arial" w:cs="Arial" w:eastAsia="Arial" w:hAnsi="Arial"/>
                <w:sz w:val="16"/>
                <w:szCs w:val="16"/>
                <w:color w:val="auto"/>
              </w:rPr>
              <w:t>134,845</w:t>
            </w:r>
          </w:p>
        </w:tc>
        <w:tc>
          <w:tcPr>
            <w:tcW w:w="0" w:type="dxa"/>
            <w:vAlign w:val="bottom"/>
          </w:tcPr>
          <w:p>
            <w:pPr>
              <w:spacing w:after="0"/>
              <w:rPr>
                <w:sz w:val="1"/>
                <w:szCs w:val="1"/>
                <w:color w:val="auto"/>
              </w:rPr>
            </w:pPr>
          </w:p>
        </w:tc>
      </w:tr>
      <w:tr>
        <w:trPr>
          <w:trHeight w:val="29"/>
        </w:trPr>
        <w:tc>
          <w:tcPr>
            <w:tcW w:w="1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Mr. Moeller</w:t>
            </w:r>
          </w:p>
        </w:tc>
        <w:tc>
          <w:tcPr>
            <w:tcW w:w="1900" w:type="dxa"/>
            <w:vAlign w:val="bottom"/>
            <w:tcBorders>
              <w:bottom w:val="single" w:sz="8" w:color="DBDBDB"/>
            </w:tcBorders>
            <w:shd w:val="clear" w:color="auto" w:fill="DBDBDB"/>
          </w:tcPr>
          <w:p>
            <w:pPr>
              <w:jc w:val="right"/>
              <w:ind w:right="43"/>
              <w:spacing w:after="0"/>
              <w:rPr>
                <w:sz w:val="20"/>
                <w:szCs w:val="20"/>
                <w:color w:val="auto"/>
              </w:rPr>
            </w:pPr>
            <w:r>
              <w:rPr>
                <w:rFonts w:ascii="Arial" w:cs="Arial" w:eastAsia="Arial" w:hAnsi="Arial"/>
                <w:sz w:val="16"/>
                <w:szCs w:val="16"/>
                <w:color w:val="auto"/>
              </w:rPr>
              <w:t>27,933</w:t>
            </w:r>
          </w:p>
        </w:tc>
        <w:tc>
          <w:tcPr>
            <w:tcW w:w="1740" w:type="dxa"/>
            <w:vAlign w:val="bottom"/>
            <w:tcBorders>
              <w:bottom w:val="single" w:sz="8" w:color="DBDBDB"/>
            </w:tcBorders>
            <w:shd w:val="clear" w:color="auto" w:fill="DBDBDB"/>
          </w:tcPr>
          <w:p>
            <w:pPr>
              <w:jc w:val="right"/>
              <w:ind w:right="143"/>
              <w:spacing w:after="0"/>
              <w:rPr>
                <w:sz w:val="20"/>
                <w:szCs w:val="20"/>
                <w:color w:val="auto"/>
              </w:rPr>
            </w:pPr>
            <w:r>
              <w:rPr>
                <w:rFonts w:ascii="Arial" w:cs="Arial" w:eastAsia="Arial" w:hAnsi="Arial"/>
                <w:sz w:val="16"/>
                <w:szCs w:val="16"/>
                <w:color w:val="auto"/>
              </w:rPr>
              <w:t>37,796</w:t>
            </w:r>
          </w:p>
        </w:tc>
        <w:tc>
          <w:tcPr>
            <w:tcW w:w="1460" w:type="dxa"/>
            <w:vAlign w:val="bottom"/>
            <w:tcBorders>
              <w:bottom w:val="single" w:sz="8" w:color="DBDBDB"/>
            </w:tcBorders>
            <w:shd w:val="clear" w:color="auto" w:fill="DBDBDB"/>
          </w:tcPr>
          <w:p>
            <w:pPr>
              <w:jc w:val="right"/>
              <w:ind w:right="103"/>
              <w:spacing w:after="0"/>
              <w:rPr>
                <w:sz w:val="20"/>
                <w:szCs w:val="20"/>
                <w:color w:val="auto"/>
              </w:rPr>
            </w:pPr>
            <w:r>
              <w:rPr>
                <w:rFonts w:ascii="Arial" w:cs="Arial" w:eastAsia="Arial" w:hAnsi="Arial"/>
                <w:sz w:val="16"/>
                <w:szCs w:val="16"/>
                <w:color w:val="auto"/>
              </w:rPr>
              <w:t>3,000</w:t>
            </w:r>
          </w:p>
        </w:tc>
        <w:tc>
          <w:tcPr>
            <w:tcW w:w="1540" w:type="dxa"/>
            <w:vAlign w:val="bottom"/>
            <w:tcBorders>
              <w:bottom w:val="single" w:sz="8" w:color="DBDBDB"/>
            </w:tcBorders>
            <w:shd w:val="clear" w:color="auto" w:fill="DBDBDB"/>
          </w:tcPr>
          <w:p>
            <w:pPr>
              <w:jc w:val="right"/>
              <w:ind w:right="122"/>
              <w:spacing w:after="0"/>
              <w:rPr>
                <w:sz w:val="20"/>
                <w:szCs w:val="20"/>
                <w:color w:val="auto"/>
              </w:rPr>
            </w:pPr>
            <w:r>
              <w:rPr>
                <w:rFonts w:ascii="Arial" w:cs="Arial" w:eastAsia="Arial" w:hAnsi="Arial"/>
                <w:sz w:val="16"/>
                <w:szCs w:val="16"/>
                <w:color w:val="auto"/>
              </w:rPr>
              <w:t>64,521</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133,250</w:t>
            </w:r>
          </w:p>
        </w:tc>
        <w:tc>
          <w:tcPr>
            <w:tcW w:w="0" w:type="dxa"/>
            <w:vAlign w:val="bottom"/>
          </w:tcPr>
          <w:p>
            <w:pPr>
              <w:spacing w:after="0"/>
              <w:rPr>
                <w:sz w:val="1"/>
                <w:szCs w:val="1"/>
                <w:color w:val="auto"/>
              </w:rPr>
            </w:pPr>
          </w:p>
        </w:tc>
      </w:tr>
      <w:tr>
        <w:trPr>
          <w:trHeight w:val="211"/>
        </w:trPr>
        <w:tc>
          <w:tcPr>
            <w:tcW w:w="1320" w:type="dxa"/>
            <w:vAlign w:val="bottom"/>
          </w:tcPr>
          <w:p>
            <w:pPr>
              <w:ind w:left="20"/>
              <w:spacing w:after="0"/>
              <w:rPr>
                <w:sz w:val="20"/>
                <w:szCs w:val="20"/>
                <w:color w:val="auto"/>
              </w:rPr>
            </w:pPr>
            <w:r>
              <w:rPr>
                <w:rFonts w:ascii="Arial" w:cs="Arial" w:eastAsia="Arial" w:hAnsi="Arial"/>
                <w:sz w:val="16"/>
                <w:szCs w:val="16"/>
                <w:color w:val="auto"/>
              </w:rPr>
              <w:t>Mr. Janey</w:t>
            </w:r>
          </w:p>
        </w:tc>
        <w:tc>
          <w:tcPr>
            <w:tcW w:w="1900" w:type="dxa"/>
            <w:vAlign w:val="bottom"/>
          </w:tcPr>
          <w:p>
            <w:pPr>
              <w:jc w:val="right"/>
              <w:ind w:right="43"/>
              <w:spacing w:after="0"/>
              <w:rPr>
                <w:sz w:val="20"/>
                <w:szCs w:val="20"/>
                <w:color w:val="auto"/>
              </w:rPr>
            </w:pPr>
            <w:r>
              <w:rPr>
                <w:rFonts w:ascii="Arial" w:cs="Arial" w:eastAsia="Arial" w:hAnsi="Arial"/>
                <w:sz w:val="16"/>
                <w:szCs w:val="16"/>
                <w:color w:val="auto"/>
              </w:rPr>
              <w:t>27,933</w:t>
            </w:r>
          </w:p>
        </w:tc>
        <w:tc>
          <w:tcPr>
            <w:tcW w:w="1740" w:type="dxa"/>
            <w:vAlign w:val="bottom"/>
          </w:tcPr>
          <w:p>
            <w:pPr>
              <w:jc w:val="right"/>
              <w:ind w:right="143"/>
              <w:spacing w:after="0"/>
              <w:rPr>
                <w:sz w:val="20"/>
                <w:szCs w:val="20"/>
                <w:color w:val="auto"/>
              </w:rPr>
            </w:pPr>
            <w:r>
              <w:rPr>
                <w:rFonts w:ascii="Arial" w:cs="Arial" w:eastAsia="Arial" w:hAnsi="Arial"/>
                <w:sz w:val="16"/>
                <w:szCs w:val="16"/>
                <w:color w:val="auto"/>
              </w:rPr>
              <w:t>21,212</w:t>
            </w:r>
          </w:p>
        </w:tc>
        <w:tc>
          <w:tcPr>
            <w:tcW w:w="1460" w:type="dxa"/>
            <w:vAlign w:val="bottom"/>
          </w:tcPr>
          <w:p>
            <w:pPr>
              <w:jc w:val="right"/>
              <w:ind w:right="103"/>
              <w:spacing w:after="0"/>
              <w:rPr>
                <w:sz w:val="20"/>
                <w:szCs w:val="20"/>
                <w:color w:val="auto"/>
              </w:rPr>
            </w:pPr>
            <w:r>
              <w:rPr>
                <w:rFonts w:ascii="Arial" w:cs="Arial" w:eastAsia="Arial" w:hAnsi="Arial"/>
                <w:sz w:val="16"/>
                <w:szCs w:val="16"/>
                <w:color w:val="auto"/>
              </w:rPr>
              <w:t>100</w:t>
            </w:r>
          </w:p>
        </w:tc>
        <w:tc>
          <w:tcPr>
            <w:tcW w:w="1540" w:type="dxa"/>
            <w:vAlign w:val="bottom"/>
          </w:tcPr>
          <w:p>
            <w:pPr>
              <w:jc w:val="right"/>
              <w:ind w:right="122"/>
              <w:spacing w:after="0"/>
              <w:rPr>
                <w:sz w:val="20"/>
                <w:szCs w:val="20"/>
                <w:color w:val="auto"/>
              </w:rPr>
            </w:pPr>
            <w:r>
              <w:rPr>
                <w:rFonts w:ascii="Arial" w:cs="Arial" w:eastAsia="Arial" w:hAnsi="Arial"/>
                <w:sz w:val="16"/>
                <w:szCs w:val="16"/>
                <w:color w:val="auto"/>
              </w:rPr>
              <w:t>24,364</w:t>
            </w:r>
          </w:p>
        </w:tc>
        <w:tc>
          <w:tcPr>
            <w:tcW w:w="940" w:type="dxa"/>
            <w:vAlign w:val="bottom"/>
          </w:tcPr>
          <w:p>
            <w:pPr>
              <w:jc w:val="right"/>
              <w:spacing w:after="0"/>
              <w:rPr>
                <w:sz w:val="20"/>
                <w:szCs w:val="20"/>
                <w:color w:val="auto"/>
              </w:rPr>
            </w:pPr>
            <w:r>
              <w:rPr>
                <w:rFonts w:ascii="Arial" w:cs="Arial" w:eastAsia="Arial" w:hAnsi="Arial"/>
                <w:sz w:val="16"/>
                <w:szCs w:val="16"/>
                <w:color w:val="auto"/>
              </w:rPr>
              <w:t>73,609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19913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326" w:lineRule="exact"/>
        <w:rPr>
          <w:sz w:val="20"/>
          <w:szCs w:val="20"/>
          <w:color w:val="auto"/>
        </w:rPr>
      </w:pPr>
    </w:p>
    <w:p>
      <w:pPr>
        <w:ind w:left="320" w:hanging="313"/>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Amounts reported represent Company matching contributions and a discretionary investment fund contribution.</w:t>
      </w:r>
    </w:p>
    <w:p>
      <w:pPr>
        <w:spacing w:after="0" w:line="33" w:lineRule="exact"/>
        <w:rPr>
          <w:rFonts w:ascii="Arial" w:cs="Arial" w:eastAsia="Arial" w:hAnsi="Arial"/>
          <w:sz w:val="18"/>
          <w:szCs w:val="18"/>
          <w:color w:val="auto"/>
        </w:rPr>
      </w:pPr>
    </w:p>
    <w:p>
      <w:pPr>
        <w:ind w:left="320" w:hanging="313"/>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Amounts reported represent Company contributions to the Supplemental Benefit Plan.</w:t>
      </w:r>
    </w:p>
    <w:p>
      <w:pPr>
        <w:spacing w:after="0" w:line="46" w:lineRule="exact"/>
        <w:rPr>
          <w:rFonts w:ascii="Arial" w:cs="Arial" w:eastAsia="Arial" w:hAnsi="Arial"/>
          <w:sz w:val="18"/>
          <w:szCs w:val="18"/>
          <w:color w:val="auto"/>
        </w:rPr>
      </w:pPr>
    </w:p>
    <w:p>
      <w:pPr>
        <w:ind w:left="320" w:hanging="313"/>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Amounts reported represent matching contributions for charitable donations made by our executive officers.</w:t>
      </w:r>
    </w:p>
    <w:p>
      <w:pPr>
        <w:spacing w:after="0" w:line="46" w:lineRule="exact"/>
        <w:rPr>
          <w:rFonts w:ascii="Arial" w:cs="Arial" w:eastAsia="Arial" w:hAnsi="Arial"/>
          <w:sz w:val="18"/>
          <w:szCs w:val="18"/>
          <w:color w:val="auto"/>
        </w:rPr>
      </w:pPr>
    </w:p>
    <w:p>
      <w:pPr>
        <w:jc w:val="both"/>
        <w:ind w:left="320" w:hanging="313"/>
        <w:spacing w:after="0" w:line="237" w:lineRule="auto"/>
        <w:tabs>
          <w:tab w:leader="none" w:pos="308"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Amounts reported represent Company paid amounts for automobile lease plus reportable income for personal use of the automobile; Company paid amounts for financial planning expenses and executive physical expenses; value of Company products received for personal use; and incremental travel costs paid by the Company for spouses of our executive officers in connection with certain off-site, business-related travel.</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Grants of Plan-Based Awards for Fiscal 2025</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2025, plan-based awards granted to our NEOs included annual cash incentive awards, performance share awards, stock options</w:t>
      </w:r>
    </w:p>
    <w:p>
      <w:pPr>
        <w:spacing w:after="0" w:line="2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awards, and in the case of three of our NEOs, restricted stock unit awards. The following table summarizes all plan-based awards granted to our NEOs during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160"/>
        </w:trPr>
        <w:tc>
          <w:tcPr>
            <w:tcW w:w="1680" w:type="dxa"/>
            <w:vAlign w:val="bottom"/>
            <w:shd w:val="clear" w:color="auto" w:fill="BF2115"/>
          </w:tcPr>
          <w:p>
            <w:pPr>
              <w:spacing w:after="0"/>
              <w:rPr>
                <w:sz w:val="13"/>
                <w:szCs w:val="13"/>
                <w:color w:val="auto"/>
              </w:rPr>
            </w:pPr>
          </w:p>
        </w:tc>
        <w:tc>
          <w:tcPr>
            <w:tcW w:w="760" w:type="dxa"/>
            <w:vAlign w:val="bottom"/>
            <w:shd w:val="clear" w:color="auto" w:fill="BF2115"/>
          </w:tcPr>
          <w:p>
            <w:pPr>
              <w:spacing w:after="0"/>
              <w:rPr>
                <w:sz w:val="13"/>
                <w:szCs w:val="13"/>
                <w:color w:val="auto"/>
              </w:rPr>
            </w:pPr>
          </w:p>
        </w:tc>
        <w:tc>
          <w:tcPr>
            <w:tcW w:w="720" w:type="dxa"/>
            <w:vAlign w:val="bottom"/>
            <w:shd w:val="clear" w:color="auto" w:fill="BF2115"/>
          </w:tcPr>
          <w:p>
            <w:pPr>
              <w:spacing w:after="0"/>
              <w:rPr>
                <w:sz w:val="13"/>
                <w:szCs w:val="13"/>
                <w:color w:val="auto"/>
              </w:rPr>
            </w:pPr>
          </w:p>
        </w:tc>
        <w:tc>
          <w:tcPr>
            <w:tcW w:w="780" w:type="dxa"/>
            <w:vAlign w:val="bottom"/>
            <w:shd w:val="clear" w:color="auto" w:fill="BF2115"/>
          </w:tcPr>
          <w:p>
            <w:pPr>
              <w:spacing w:after="0"/>
              <w:rPr>
                <w:sz w:val="13"/>
                <w:szCs w:val="13"/>
                <w:color w:val="auto"/>
              </w:rPr>
            </w:pPr>
          </w:p>
        </w:tc>
        <w:tc>
          <w:tcPr>
            <w:tcW w:w="860" w:type="dxa"/>
            <w:vAlign w:val="bottom"/>
            <w:shd w:val="clear" w:color="auto" w:fill="BF2115"/>
          </w:tcPr>
          <w:p>
            <w:pPr>
              <w:spacing w:after="0"/>
              <w:rPr>
                <w:sz w:val="13"/>
                <w:szCs w:val="13"/>
                <w:color w:val="auto"/>
              </w:rPr>
            </w:pPr>
          </w:p>
        </w:tc>
        <w:tc>
          <w:tcPr>
            <w:tcW w:w="780" w:type="dxa"/>
            <w:vAlign w:val="bottom"/>
            <w:shd w:val="clear" w:color="auto" w:fill="BF2115"/>
          </w:tcPr>
          <w:p>
            <w:pPr>
              <w:spacing w:after="0"/>
              <w:rPr>
                <w:sz w:val="13"/>
                <w:szCs w:val="13"/>
                <w:color w:val="auto"/>
              </w:rPr>
            </w:pPr>
          </w:p>
        </w:tc>
        <w:tc>
          <w:tcPr>
            <w:tcW w:w="760" w:type="dxa"/>
            <w:vAlign w:val="bottom"/>
            <w:shd w:val="clear" w:color="auto" w:fill="BF2115"/>
          </w:tcPr>
          <w:p>
            <w:pPr>
              <w:spacing w:after="0"/>
              <w:rPr>
                <w:sz w:val="13"/>
                <w:szCs w:val="13"/>
                <w:color w:val="auto"/>
              </w:rPr>
            </w:pPr>
          </w:p>
        </w:tc>
        <w:tc>
          <w:tcPr>
            <w:tcW w:w="680" w:type="dxa"/>
            <w:vAlign w:val="bottom"/>
            <w:shd w:val="clear" w:color="auto" w:fill="BF2115"/>
          </w:tcPr>
          <w:p>
            <w:pPr>
              <w:spacing w:after="0"/>
              <w:rPr>
                <w:sz w:val="13"/>
                <w:szCs w:val="13"/>
                <w:color w:val="auto"/>
              </w:rPr>
            </w:pPr>
          </w:p>
        </w:tc>
        <w:tc>
          <w:tcPr>
            <w:tcW w:w="740" w:type="dxa"/>
            <w:vAlign w:val="bottom"/>
            <w:shd w:val="clear" w:color="auto" w:fill="BF2115"/>
          </w:tcPr>
          <w:p>
            <w:pPr>
              <w:spacing w:after="0"/>
              <w:rPr>
                <w:sz w:val="13"/>
                <w:szCs w:val="13"/>
                <w:color w:val="auto"/>
              </w:rPr>
            </w:pPr>
          </w:p>
        </w:tc>
        <w:tc>
          <w:tcPr>
            <w:tcW w:w="780" w:type="dxa"/>
            <w:vAlign w:val="bottom"/>
            <w:shd w:val="clear" w:color="auto" w:fill="BF2115"/>
          </w:tcPr>
          <w:p>
            <w:pPr>
              <w:jc w:val="center"/>
              <w:ind w:right="45"/>
              <w:spacing w:after="0"/>
              <w:rPr>
                <w:sz w:val="20"/>
                <w:szCs w:val="20"/>
                <w:color w:val="auto"/>
              </w:rPr>
            </w:pPr>
            <w:r>
              <w:rPr>
                <w:rFonts w:ascii="Arial" w:cs="Arial" w:eastAsia="Arial" w:hAnsi="Arial"/>
                <w:sz w:val="11"/>
                <w:szCs w:val="11"/>
                <w:b w:val="1"/>
                <w:bCs w:val="1"/>
                <w:color w:val="FFFFFF"/>
                <w:w w:val="94"/>
              </w:rPr>
              <w:t>All Other</w:t>
            </w:r>
          </w:p>
        </w:tc>
        <w:tc>
          <w:tcPr>
            <w:tcW w:w="92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w w:val="98"/>
              </w:rPr>
              <w:t>All Other</w:t>
            </w:r>
          </w:p>
        </w:tc>
        <w:tc>
          <w:tcPr>
            <w:tcW w:w="760" w:type="dxa"/>
            <w:vAlign w:val="bottom"/>
            <w:shd w:val="clear" w:color="auto" w:fill="BF2115"/>
          </w:tcPr>
          <w:p>
            <w:pPr>
              <w:spacing w:after="0"/>
              <w:rPr>
                <w:sz w:val="13"/>
                <w:szCs w:val="13"/>
                <w:color w:val="auto"/>
              </w:rPr>
            </w:pPr>
          </w:p>
        </w:tc>
        <w:tc>
          <w:tcPr>
            <w:tcW w:w="720" w:type="dxa"/>
            <w:vAlign w:val="bottom"/>
            <w:shd w:val="clear" w:color="auto" w:fill="BF2115"/>
          </w:tcPr>
          <w:p>
            <w:pPr>
              <w:spacing w:after="0"/>
              <w:rPr>
                <w:sz w:val="13"/>
                <w:szCs w:val="13"/>
                <w:color w:val="auto"/>
              </w:rPr>
            </w:pPr>
          </w:p>
        </w:tc>
      </w:tr>
      <w:tr>
        <w:trPr>
          <w:trHeight w:val="133"/>
        </w:trPr>
        <w:tc>
          <w:tcPr>
            <w:tcW w:w="1680" w:type="dxa"/>
            <w:vAlign w:val="bottom"/>
            <w:shd w:val="clear" w:color="auto" w:fill="BF2115"/>
          </w:tcPr>
          <w:p>
            <w:pPr>
              <w:spacing w:after="0"/>
              <w:rPr>
                <w:sz w:val="11"/>
                <w:szCs w:val="11"/>
                <w:color w:val="auto"/>
              </w:rPr>
            </w:pPr>
          </w:p>
        </w:tc>
        <w:tc>
          <w:tcPr>
            <w:tcW w:w="760" w:type="dxa"/>
            <w:vAlign w:val="bottom"/>
            <w:shd w:val="clear" w:color="auto" w:fill="BF2115"/>
          </w:tcPr>
          <w:p>
            <w:pPr>
              <w:spacing w:after="0"/>
              <w:rPr>
                <w:sz w:val="11"/>
                <w:szCs w:val="11"/>
                <w:color w:val="auto"/>
              </w:rPr>
            </w:pPr>
          </w:p>
        </w:tc>
        <w:tc>
          <w:tcPr>
            <w:tcW w:w="720" w:type="dxa"/>
            <w:vAlign w:val="bottom"/>
            <w:shd w:val="clear" w:color="auto" w:fill="BF2115"/>
          </w:tcPr>
          <w:p>
            <w:pPr>
              <w:spacing w:after="0"/>
              <w:rPr>
                <w:sz w:val="11"/>
                <w:szCs w:val="11"/>
                <w:color w:val="auto"/>
              </w:rPr>
            </w:pPr>
          </w:p>
        </w:tc>
        <w:tc>
          <w:tcPr>
            <w:tcW w:w="780" w:type="dxa"/>
            <w:vAlign w:val="bottom"/>
            <w:shd w:val="clear" w:color="auto" w:fill="BF2115"/>
          </w:tcPr>
          <w:p>
            <w:pPr>
              <w:spacing w:after="0"/>
              <w:rPr>
                <w:sz w:val="11"/>
                <w:szCs w:val="11"/>
                <w:color w:val="auto"/>
              </w:rPr>
            </w:pPr>
          </w:p>
        </w:tc>
        <w:tc>
          <w:tcPr>
            <w:tcW w:w="860" w:type="dxa"/>
            <w:vAlign w:val="bottom"/>
            <w:shd w:val="clear" w:color="auto" w:fill="BF2115"/>
          </w:tcPr>
          <w:p>
            <w:pPr>
              <w:spacing w:after="0"/>
              <w:rPr>
                <w:sz w:val="11"/>
                <w:szCs w:val="11"/>
                <w:color w:val="auto"/>
              </w:rPr>
            </w:pPr>
          </w:p>
        </w:tc>
        <w:tc>
          <w:tcPr>
            <w:tcW w:w="780" w:type="dxa"/>
            <w:vAlign w:val="bottom"/>
            <w:shd w:val="clear" w:color="auto" w:fill="BF2115"/>
          </w:tcPr>
          <w:p>
            <w:pPr>
              <w:spacing w:after="0"/>
              <w:rPr>
                <w:sz w:val="11"/>
                <w:szCs w:val="11"/>
                <w:color w:val="auto"/>
              </w:rPr>
            </w:pPr>
          </w:p>
        </w:tc>
        <w:tc>
          <w:tcPr>
            <w:tcW w:w="760" w:type="dxa"/>
            <w:vAlign w:val="bottom"/>
            <w:shd w:val="clear" w:color="auto" w:fill="BF2115"/>
          </w:tcPr>
          <w:p>
            <w:pPr>
              <w:spacing w:after="0"/>
              <w:rPr>
                <w:sz w:val="11"/>
                <w:szCs w:val="11"/>
                <w:color w:val="auto"/>
              </w:rPr>
            </w:pPr>
          </w:p>
        </w:tc>
        <w:tc>
          <w:tcPr>
            <w:tcW w:w="680" w:type="dxa"/>
            <w:vAlign w:val="bottom"/>
            <w:shd w:val="clear" w:color="auto" w:fill="BF2115"/>
          </w:tcPr>
          <w:p>
            <w:pPr>
              <w:spacing w:after="0"/>
              <w:rPr>
                <w:sz w:val="11"/>
                <w:szCs w:val="11"/>
                <w:color w:val="auto"/>
              </w:rPr>
            </w:pPr>
          </w:p>
        </w:tc>
        <w:tc>
          <w:tcPr>
            <w:tcW w:w="740" w:type="dxa"/>
            <w:vAlign w:val="bottom"/>
            <w:shd w:val="clear" w:color="auto" w:fill="BF2115"/>
          </w:tcPr>
          <w:p>
            <w:pPr>
              <w:spacing w:after="0"/>
              <w:rPr>
                <w:sz w:val="11"/>
                <w:szCs w:val="11"/>
                <w:color w:val="auto"/>
              </w:rPr>
            </w:pPr>
          </w:p>
        </w:tc>
        <w:tc>
          <w:tcPr>
            <w:tcW w:w="780" w:type="dxa"/>
            <w:vAlign w:val="bottom"/>
            <w:shd w:val="clear" w:color="auto" w:fill="BF2115"/>
          </w:tcPr>
          <w:p>
            <w:pPr>
              <w:jc w:val="center"/>
              <w:ind w:right="45"/>
              <w:spacing w:after="0"/>
              <w:rPr>
                <w:sz w:val="20"/>
                <w:szCs w:val="20"/>
                <w:color w:val="auto"/>
              </w:rPr>
            </w:pPr>
            <w:r>
              <w:rPr>
                <w:rFonts w:ascii="Arial" w:cs="Arial" w:eastAsia="Arial" w:hAnsi="Arial"/>
                <w:sz w:val="11"/>
                <w:szCs w:val="11"/>
                <w:b w:val="1"/>
                <w:bCs w:val="1"/>
                <w:color w:val="FFFFFF"/>
                <w:w w:val="93"/>
              </w:rPr>
              <w:t>Stock</w:t>
            </w:r>
          </w:p>
        </w:tc>
        <w:tc>
          <w:tcPr>
            <w:tcW w:w="92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w w:val="95"/>
              </w:rPr>
              <w:t>Option</w:t>
            </w:r>
          </w:p>
        </w:tc>
        <w:tc>
          <w:tcPr>
            <w:tcW w:w="760" w:type="dxa"/>
            <w:vAlign w:val="bottom"/>
            <w:shd w:val="clear" w:color="auto" w:fill="BF2115"/>
          </w:tcPr>
          <w:p>
            <w:pPr>
              <w:spacing w:after="0"/>
              <w:rPr>
                <w:sz w:val="11"/>
                <w:szCs w:val="11"/>
                <w:color w:val="auto"/>
              </w:rPr>
            </w:pPr>
          </w:p>
        </w:tc>
        <w:tc>
          <w:tcPr>
            <w:tcW w:w="72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Grant</w:t>
            </w:r>
          </w:p>
        </w:tc>
      </w:tr>
      <w:tr>
        <w:trPr>
          <w:trHeight w:val="133"/>
        </w:trPr>
        <w:tc>
          <w:tcPr>
            <w:tcW w:w="1680" w:type="dxa"/>
            <w:vAlign w:val="bottom"/>
            <w:shd w:val="clear" w:color="auto" w:fill="BF2115"/>
          </w:tcPr>
          <w:p>
            <w:pPr>
              <w:spacing w:after="0"/>
              <w:rPr>
                <w:sz w:val="11"/>
                <w:szCs w:val="11"/>
                <w:color w:val="auto"/>
              </w:rPr>
            </w:pPr>
          </w:p>
        </w:tc>
        <w:tc>
          <w:tcPr>
            <w:tcW w:w="760" w:type="dxa"/>
            <w:vAlign w:val="bottom"/>
            <w:shd w:val="clear" w:color="auto" w:fill="BF2115"/>
          </w:tcPr>
          <w:p>
            <w:pPr>
              <w:spacing w:after="0"/>
              <w:rPr>
                <w:sz w:val="11"/>
                <w:szCs w:val="11"/>
                <w:color w:val="auto"/>
              </w:rPr>
            </w:pPr>
          </w:p>
        </w:tc>
        <w:tc>
          <w:tcPr>
            <w:tcW w:w="720" w:type="dxa"/>
            <w:vAlign w:val="bottom"/>
            <w:shd w:val="clear" w:color="auto" w:fill="BF2115"/>
          </w:tcPr>
          <w:p>
            <w:pPr>
              <w:spacing w:after="0"/>
              <w:rPr>
                <w:sz w:val="11"/>
                <w:szCs w:val="11"/>
                <w:color w:val="auto"/>
              </w:rPr>
            </w:pPr>
          </w:p>
        </w:tc>
        <w:tc>
          <w:tcPr>
            <w:tcW w:w="780" w:type="dxa"/>
            <w:vAlign w:val="bottom"/>
            <w:shd w:val="clear" w:color="auto" w:fill="BF2115"/>
          </w:tcPr>
          <w:p>
            <w:pPr>
              <w:spacing w:after="0"/>
              <w:rPr>
                <w:sz w:val="11"/>
                <w:szCs w:val="11"/>
                <w:color w:val="auto"/>
              </w:rPr>
            </w:pPr>
          </w:p>
        </w:tc>
        <w:tc>
          <w:tcPr>
            <w:tcW w:w="860" w:type="dxa"/>
            <w:vAlign w:val="bottom"/>
            <w:shd w:val="clear" w:color="auto" w:fill="BF2115"/>
          </w:tcPr>
          <w:p>
            <w:pPr>
              <w:spacing w:after="0"/>
              <w:rPr>
                <w:sz w:val="11"/>
                <w:szCs w:val="11"/>
                <w:color w:val="auto"/>
              </w:rPr>
            </w:pPr>
          </w:p>
        </w:tc>
        <w:tc>
          <w:tcPr>
            <w:tcW w:w="780" w:type="dxa"/>
            <w:vAlign w:val="bottom"/>
            <w:shd w:val="clear" w:color="auto" w:fill="BF2115"/>
          </w:tcPr>
          <w:p>
            <w:pPr>
              <w:spacing w:after="0"/>
              <w:rPr>
                <w:sz w:val="11"/>
                <w:szCs w:val="11"/>
                <w:color w:val="auto"/>
              </w:rPr>
            </w:pPr>
          </w:p>
        </w:tc>
        <w:tc>
          <w:tcPr>
            <w:tcW w:w="760" w:type="dxa"/>
            <w:vAlign w:val="bottom"/>
            <w:shd w:val="clear" w:color="auto" w:fill="BF2115"/>
          </w:tcPr>
          <w:p>
            <w:pPr>
              <w:spacing w:after="0"/>
              <w:rPr>
                <w:sz w:val="11"/>
                <w:szCs w:val="11"/>
                <w:color w:val="auto"/>
              </w:rPr>
            </w:pPr>
          </w:p>
        </w:tc>
        <w:tc>
          <w:tcPr>
            <w:tcW w:w="680" w:type="dxa"/>
            <w:vAlign w:val="bottom"/>
            <w:shd w:val="clear" w:color="auto" w:fill="BF2115"/>
          </w:tcPr>
          <w:p>
            <w:pPr>
              <w:spacing w:after="0"/>
              <w:rPr>
                <w:sz w:val="11"/>
                <w:szCs w:val="11"/>
                <w:color w:val="auto"/>
              </w:rPr>
            </w:pPr>
          </w:p>
        </w:tc>
        <w:tc>
          <w:tcPr>
            <w:tcW w:w="740" w:type="dxa"/>
            <w:vAlign w:val="bottom"/>
            <w:shd w:val="clear" w:color="auto" w:fill="BF2115"/>
          </w:tcPr>
          <w:p>
            <w:pPr>
              <w:spacing w:after="0"/>
              <w:rPr>
                <w:sz w:val="11"/>
                <w:szCs w:val="11"/>
                <w:color w:val="auto"/>
              </w:rPr>
            </w:pPr>
          </w:p>
        </w:tc>
        <w:tc>
          <w:tcPr>
            <w:tcW w:w="780" w:type="dxa"/>
            <w:vAlign w:val="bottom"/>
            <w:shd w:val="clear" w:color="auto" w:fill="BF2115"/>
          </w:tcPr>
          <w:p>
            <w:pPr>
              <w:jc w:val="center"/>
              <w:ind w:right="65"/>
              <w:spacing w:after="0"/>
              <w:rPr>
                <w:sz w:val="20"/>
                <w:szCs w:val="20"/>
                <w:color w:val="auto"/>
              </w:rPr>
            </w:pPr>
            <w:r>
              <w:rPr>
                <w:rFonts w:ascii="Arial" w:cs="Arial" w:eastAsia="Arial" w:hAnsi="Arial"/>
                <w:sz w:val="11"/>
                <w:szCs w:val="11"/>
                <w:b w:val="1"/>
                <w:bCs w:val="1"/>
                <w:color w:val="FFFFFF"/>
                <w:w w:val="96"/>
              </w:rPr>
              <w:t>Awards:</w:t>
            </w:r>
          </w:p>
        </w:tc>
        <w:tc>
          <w:tcPr>
            <w:tcW w:w="92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w w:val="96"/>
              </w:rPr>
              <w:t>Awards:</w:t>
            </w:r>
          </w:p>
        </w:tc>
        <w:tc>
          <w:tcPr>
            <w:tcW w:w="760" w:type="dxa"/>
            <w:vAlign w:val="bottom"/>
            <w:shd w:val="clear" w:color="auto" w:fill="BF2115"/>
          </w:tcPr>
          <w:p>
            <w:pPr>
              <w:jc w:val="center"/>
              <w:ind w:right="105"/>
              <w:spacing w:after="0"/>
              <w:rPr>
                <w:sz w:val="20"/>
                <w:szCs w:val="20"/>
                <w:color w:val="auto"/>
              </w:rPr>
            </w:pPr>
            <w:r>
              <w:rPr>
                <w:rFonts w:ascii="Arial" w:cs="Arial" w:eastAsia="Arial" w:hAnsi="Arial"/>
                <w:sz w:val="11"/>
                <w:szCs w:val="11"/>
                <w:b w:val="1"/>
                <w:bCs w:val="1"/>
                <w:color w:val="FFFFFF"/>
                <w:w w:val="97"/>
              </w:rPr>
              <w:t>Exercise</w:t>
            </w:r>
          </w:p>
        </w:tc>
        <w:tc>
          <w:tcPr>
            <w:tcW w:w="720" w:type="dxa"/>
            <w:vAlign w:val="bottom"/>
            <w:shd w:val="clear" w:color="auto" w:fill="BF2115"/>
          </w:tcPr>
          <w:p>
            <w:pPr>
              <w:jc w:val="center"/>
              <w:ind w:right="4"/>
              <w:spacing w:after="0"/>
              <w:rPr>
                <w:sz w:val="20"/>
                <w:szCs w:val="20"/>
                <w:color w:val="auto"/>
              </w:rPr>
            </w:pPr>
            <w:r>
              <w:rPr>
                <w:rFonts w:ascii="Arial" w:cs="Arial" w:eastAsia="Arial" w:hAnsi="Arial"/>
                <w:sz w:val="11"/>
                <w:szCs w:val="11"/>
                <w:b w:val="1"/>
                <w:bCs w:val="1"/>
                <w:color w:val="FFFFFF"/>
                <w:w w:val="97"/>
              </w:rPr>
              <w:t>Date Fair</w:t>
            </w:r>
          </w:p>
        </w:tc>
      </w:tr>
      <w:tr>
        <w:trPr>
          <w:trHeight w:val="133"/>
        </w:trPr>
        <w:tc>
          <w:tcPr>
            <w:tcW w:w="1680" w:type="dxa"/>
            <w:vAlign w:val="bottom"/>
            <w:shd w:val="clear" w:color="auto" w:fill="BF2115"/>
          </w:tcPr>
          <w:p>
            <w:pPr>
              <w:spacing w:after="0"/>
              <w:rPr>
                <w:sz w:val="11"/>
                <w:szCs w:val="11"/>
                <w:color w:val="auto"/>
              </w:rPr>
            </w:pPr>
          </w:p>
        </w:tc>
        <w:tc>
          <w:tcPr>
            <w:tcW w:w="760" w:type="dxa"/>
            <w:vAlign w:val="bottom"/>
            <w:shd w:val="clear" w:color="auto" w:fill="BF2115"/>
          </w:tcPr>
          <w:p>
            <w:pPr>
              <w:spacing w:after="0"/>
              <w:rPr>
                <w:sz w:val="11"/>
                <w:szCs w:val="11"/>
                <w:color w:val="auto"/>
              </w:rPr>
            </w:pPr>
          </w:p>
        </w:tc>
        <w:tc>
          <w:tcPr>
            <w:tcW w:w="720" w:type="dxa"/>
            <w:vAlign w:val="bottom"/>
            <w:shd w:val="clear" w:color="auto" w:fill="BF2115"/>
          </w:tcPr>
          <w:p>
            <w:pPr>
              <w:spacing w:after="0"/>
              <w:rPr>
                <w:sz w:val="11"/>
                <w:szCs w:val="11"/>
                <w:color w:val="auto"/>
              </w:rPr>
            </w:pPr>
          </w:p>
        </w:tc>
        <w:tc>
          <w:tcPr>
            <w:tcW w:w="2420" w:type="dxa"/>
            <w:vAlign w:val="bottom"/>
            <w:gridSpan w:val="3"/>
            <w:shd w:val="clear" w:color="auto" w:fill="BF2115"/>
          </w:tcPr>
          <w:p>
            <w:pPr>
              <w:jc w:val="center"/>
              <w:ind w:right="3"/>
              <w:spacing w:after="0"/>
              <w:rPr>
                <w:sz w:val="20"/>
                <w:szCs w:val="20"/>
                <w:color w:val="auto"/>
              </w:rPr>
            </w:pPr>
            <w:r>
              <w:rPr>
                <w:rFonts w:ascii="Arial" w:cs="Arial" w:eastAsia="Arial" w:hAnsi="Arial"/>
                <w:sz w:val="11"/>
                <w:szCs w:val="11"/>
                <w:b w:val="1"/>
                <w:bCs w:val="1"/>
                <w:color w:val="FFFFFF"/>
                <w:w w:val="97"/>
              </w:rPr>
              <w:t>Estimated Future Payouts</w:t>
            </w:r>
          </w:p>
        </w:tc>
        <w:tc>
          <w:tcPr>
            <w:tcW w:w="2180" w:type="dxa"/>
            <w:vAlign w:val="bottom"/>
            <w:gridSpan w:val="3"/>
            <w:shd w:val="clear" w:color="auto" w:fill="BF2115"/>
          </w:tcPr>
          <w:p>
            <w:pPr>
              <w:jc w:val="center"/>
              <w:ind w:right="63"/>
              <w:spacing w:after="0"/>
              <w:rPr>
                <w:sz w:val="20"/>
                <w:szCs w:val="20"/>
                <w:color w:val="auto"/>
              </w:rPr>
            </w:pPr>
            <w:r>
              <w:rPr>
                <w:rFonts w:ascii="Arial" w:cs="Arial" w:eastAsia="Arial" w:hAnsi="Arial"/>
                <w:sz w:val="11"/>
                <w:szCs w:val="11"/>
                <w:b w:val="1"/>
                <w:bCs w:val="1"/>
                <w:color w:val="FFFFFF"/>
                <w:w w:val="95"/>
              </w:rPr>
              <w:t>Estimated Future Payouts</w:t>
            </w:r>
          </w:p>
        </w:tc>
        <w:tc>
          <w:tcPr>
            <w:tcW w:w="780" w:type="dxa"/>
            <w:vAlign w:val="bottom"/>
            <w:shd w:val="clear" w:color="auto" w:fill="BF2115"/>
          </w:tcPr>
          <w:p>
            <w:pPr>
              <w:jc w:val="center"/>
              <w:ind w:right="45"/>
              <w:spacing w:after="0"/>
              <w:rPr>
                <w:sz w:val="20"/>
                <w:szCs w:val="20"/>
                <w:color w:val="auto"/>
              </w:rPr>
            </w:pPr>
            <w:r>
              <w:rPr>
                <w:rFonts w:ascii="Arial" w:cs="Arial" w:eastAsia="Arial" w:hAnsi="Arial"/>
                <w:sz w:val="11"/>
                <w:szCs w:val="11"/>
                <w:b w:val="1"/>
                <w:bCs w:val="1"/>
                <w:color w:val="FFFFFF"/>
                <w:w w:val="94"/>
              </w:rPr>
              <w:t>Number of</w:t>
            </w:r>
          </w:p>
        </w:tc>
        <w:tc>
          <w:tcPr>
            <w:tcW w:w="92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w w:val="98"/>
              </w:rPr>
              <w:t>Number of</w:t>
            </w:r>
          </w:p>
        </w:tc>
        <w:tc>
          <w:tcPr>
            <w:tcW w:w="76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w w:val="94"/>
              </w:rPr>
              <w:t>or Base</w:t>
            </w:r>
          </w:p>
        </w:tc>
        <w:tc>
          <w:tcPr>
            <w:tcW w:w="720" w:type="dxa"/>
            <w:vAlign w:val="bottom"/>
            <w:shd w:val="clear" w:color="auto" w:fill="BF2115"/>
          </w:tcPr>
          <w:p>
            <w:pPr>
              <w:jc w:val="center"/>
              <w:ind w:right="4"/>
              <w:spacing w:after="0"/>
              <w:rPr>
                <w:sz w:val="20"/>
                <w:szCs w:val="20"/>
                <w:color w:val="auto"/>
              </w:rPr>
            </w:pPr>
            <w:r>
              <w:rPr>
                <w:rFonts w:ascii="Arial" w:cs="Arial" w:eastAsia="Arial" w:hAnsi="Arial"/>
                <w:sz w:val="11"/>
                <w:szCs w:val="11"/>
                <w:b w:val="1"/>
                <w:bCs w:val="1"/>
                <w:color w:val="FFFFFF"/>
                <w:w w:val="98"/>
              </w:rPr>
              <w:t>Value of</w:t>
            </w:r>
          </w:p>
        </w:tc>
      </w:tr>
      <w:tr>
        <w:trPr>
          <w:trHeight w:val="133"/>
        </w:trPr>
        <w:tc>
          <w:tcPr>
            <w:tcW w:w="1680" w:type="dxa"/>
            <w:vAlign w:val="bottom"/>
            <w:shd w:val="clear" w:color="auto" w:fill="BF2115"/>
          </w:tcPr>
          <w:p>
            <w:pPr>
              <w:spacing w:after="0"/>
              <w:rPr>
                <w:sz w:val="11"/>
                <w:szCs w:val="11"/>
                <w:color w:val="auto"/>
              </w:rPr>
            </w:pPr>
          </w:p>
        </w:tc>
        <w:tc>
          <w:tcPr>
            <w:tcW w:w="760" w:type="dxa"/>
            <w:vAlign w:val="bottom"/>
            <w:shd w:val="clear" w:color="auto" w:fill="BF2115"/>
          </w:tcPr>
          <w:p>
            <w:pPr>
              <w:spacing w:after="0"/>
              <w:rPr>
                <w:sz w:val="11"/>
                <w:szCs w:val="11"/>
                <w:color w:val="auto"/>
              </w:rPr>
            </w:pPr>
          </w:p>
        </w:tc>
        <w:tc>
          <w:tcPr>
            <w:tcW w:w="720" w:type="dxa"/>
            <w:vAlign w:val="bottom"/>
            <w:shd w:val="clear" w:color="auto" w:fill="BF2115"/>
          </w:tcPr>
          <w:p>
            <w:pPr>
              <w:spacing w:after="0"/>
              <w:rPr>
                <w:sz w:val="11"/>
                <w:szCs w:val="11"/>
                <w:color w:val="auto"/>
              </w:rPr>
            </w:pPr>
          </w:p>
        </w:tc>
        <w:tc>
          <w:tcPr>
            <w:tcW w:w="2420" w:type="dxa"/>
            <w:vAlign w:val="bottom"/>
            <w:gridSpan w:val="3"/>
            <w:shd w:val="clear" w:color="auto" w:fill="BF2115"/>
          </w:tcPr>
          <w:p>
            <w:pPr>
              <w:jc w:val="center"/>
              <w:ind w:right="3"/>
              <w:spacing w:after="0"/>
              <w:rPr>
                <w:sz w:val="20"/>
                <w:szCs w:val="20"/>
                <w:color w:val="auto"/>
              </w:rPr>
            </w:pPr>
            <w:r>
              <w:rPr>
                <w:rFonts w:ascii="Arial" w:cs="Arial" w:eastAsia="Arial" w:hAnsi="Arial"/>
                <w:sz w:val="11"/>
                <w:szCs w:val="11"/>
                <w:b w:val="1"/>
                <w:bCs w:val="1"/>
                <w:color w:val="FFFFFF"/>
                <w:w w:val="97"/>
              </w:rPr>
              <w:t>Under Non-Equity Incentive</w:t>
            </w:r>
          </w:p>
        </w:tc>
        <w:tc>
          <w:tcPr>
            <w:tcW w:w="2180" w:type="dxa"/>
            <w:vAlign w:val="bottom"/>
            <w:gridSpan w:val="3"/>
            <w:shd w:val="clear" w:color="auto" w:fill="BF2115"/>
          </w:tcPr>
          <w:p>
            <w:pPr>
              <w:jc w:val="center"/>
              <w:ind w:right="63"/>
              <w:spacing w:after="0"/>
              <w:rPr>
                <w:sz w:val="20"/>
                <w:szCs w:val="20"/>
                <w:color w:val="auto"/>
              </w:rPr>
            </w:pPr>
            <w:r>
              <w:rPr>
                <w:rFonts w:ascii="Arial" w:cs="Arial" w:eastAsia="Arial" w:hAnsi="Arial"/>
                <w:sz w:val="11"/>
                <w:szCs w:val="11"/>
                <w:b w:val="1"/>
                <w:bCs w:val="1"/>
                <w:color w:val="FFFFFF"/>
                <w:w w:val="97"/>
              </w:rPr>
              <w:t>Under Equity Incentive Plan</w:t>
            </w:r>
          </w:p>
        </w:tc>
        <w:tc>
          <w:tcPr>
            <w:tcW w:w="780" w:type="dxa"/>
            <w:vAlign w:val="bottom"/>
            <w:shd w:val="clear" w:color="auto" w:fill="BF2115"/>
          </w:tcPr>
          <w:p>
            <w:pPr>
              <w:jc w:val="center"/>
              <w:ind w:right="45"/>
              <w:spacing w:after="0"/>
              <w:rPr>
                <w:sz w:val="20"/>
                <w:szCs w:val="20"/>
                <w:color w:val="auto"/>
              </w:rPr>
            </w:pPr>
            <w:r>
              <w:rPr>
                <w:rFonts w:ascii="Arial" w:cs="Arial" w:eastAsia="Arial" w:hAnsi="Arial"/>
                <w:sz w:val="11"/>
                <w:szCs w:val="11"/>
                <w:b w:val="1"/>
                <w:bCs w:val="1"/>
                <w:color w:val="FFFFFF"/>
                <w:w w:val="95"/>
              </w:rPr>
              <w:t>Shares of</w:t>
            </w:r>
          </w:p>
        </w:tc>
        <w:tc>
          <w:tcPr>
            <w:tcW w:w="92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w w:val="94"/>
              </w:rPr>
              <w:t>Securities</w:t>
            </w:r>
          </w:p>
        </w:tc>
        <w:tc>
          <w:tcPr>
            <w:tcW w:w="76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w w:val="94"/>
              </w:rPr>
              <w:t>Price of</w:t>
            </w:r>
          </w:p>
        </w:tc>
        <w:tc>
          <w:tcPr>
            <w:tcW w:w="720" w:type="dxa"/>
            <w:vAlign w:val="bottom"/>
            <w:shd w:val="clear" w:color="auto" w:fill="BF2115"/>
          </w:tcPr>
          <w:p>
            <w:pPr>
              <w:jc w:val="center"/>
              <w:ind w:right="4"/>
              <w:spacing w:after="0"/>
              <w:rPr>
                <w:sz w:val="20"/>
                <w:szCs w:val="20"/>
                <w:color w:val="auto"/>
              </w:rPr>
            </w:pPr>
            <w:r>
              <w:rPr>
                <w:rFonts w:ascii="Arial" w:cs="Arial" w:eastAsia="Arial" w:hAnsi="Arial"/>
                <w:sz w:val="11"/>
                <w:szCs w:val="11"/>
                <w:b w:val="1"/>
                <w:bCs w:val="1"/>
                <w:color w:val="FFFFFF"/>
                <w:w w:val="95"/>
              </w:rPr>
              <w:t>Stock and</w:t>
            </w:r>
          </w:p>
        </w:tc>
      </w:tr>
      <w:tr>
        <w:trPr>
          <w:trHeight w:val="160"/>
        </w:trPr>
        <w:tc>
          <w:tcPr>
            <w:tcW w:w="1680" w:type="dxa"/>
            <w:vAlign w:val="bottom"/>
            <w:shd w:val="clear" w:color="auto" w:fill="BF2115"/>
          </w:tcPr>
          <w:p>
            <w:pPr>
              <w:spacing w:after="0"/>
              <w:rPr>
                <w:sz w:val="13"/>
                <w:szCs w:val="13"/>
                <w:color w:val="auto"/>
              </w:rPr>
            </w:pPr>
          </w:p>
        </w:tc>
        <w:tc>
          <w:tcPr>
            <w:tcW w:w="760" w:type="dxa"/>
            <w:vAlign w:val="bottom"/>
            <w:shd w:val="clear" w:color="auto" w:fill="BF2115"/>
          </w:tcPr>
          <w:p>
            <w:pPr>
              <w:spacing w:after="0"/>
              <w:rPr>
                <w:sz w:val="13"/>
                <w:szCs w:val="13"/>
                <w:color w:val="auto"/>
              </w:rPr>
            </w:pPr>
          </w:p>
        </w:tc>
        <w:tc>
          <w:tcPr>
            <w:tcW w:w="720" w:type="dxa"/>
            <w:vAlign w:val="bottom"/>
            <w:shd w:val="clear" w:color="auto" w:fill="BF2115"/>
          </w:tcPr>
          <w:p>
            <w:pPr>
              <w:spacing w:after="0"/>
              <w:rPr>
                <w:sz w:val="13"/>
                <w:szCs w:val="13"/>
                <w:color w:val="auto"/>
              </w:rPr>
            </w:pPr>
          </w:p>
        </w:tc>
        <w:tc>
          <w:tcPr>
            <w:tcW w:w="780" w:type="dxa"/>
            <w:vAlign w:val="bottom"/>
            <w:shd w:val="clear" w:color="auto" w:fill="BF2115"/>
          </w:tcPr>
          <w:p>
            <w:pPr>
              <w:spacing w:after="0"/>
              <w:rPr>
                <w:sz w:val="13"/>
                <w:szCs w:val="13"/>
                <w:color w:val="auto"/>
              </w:rPr>
            </w:pPr>
          </w:p>
        </w:tc>
        <w:tc>
          <w:tcPr>
            <w:tcW w:w="860" w:type="dxa"/>
            <w:vAlign w:val="bottom"/>
            <w:shd w:val="clear" w:color="auto" w:fill="BF2115"/>
          </w:tcPr>
          <w:p>
            <w:pPr>
              <w:jc w:val="center"/>
              <w:ind w:right="4"/>
              <w:spacing w:after="0"/>
              <w:rPr>
                <w:sz w:val="20"/>
                <w:szCs w:val="20"/>
                <w:color w:val="auto"/>
              </w:rPr>
            </w:pPr>
            <w:r>
              <w:rPr>
                <w:rFonts w:ascii="Arial" w:cs="Arial" w:eastAsia="Arial" w:hAnsi="Arial"/>
                <w:sz w:val="11"/>
                <w:szCs w:val="11"/>
                <w:b w:val="1"/>
                <w:bCs w:val="1"/>
                <w:color w:val="FFFFFF"/>
                <w:w w:val="97"/>
              </w:rPr>
              <w:t>Plan Awards</w:t>
            </w:r>
            <w:r>
              <w:rPr>
                <w:rFonts w:ascii="Arial" w:cs="Arial" w:eastAsia="Arial" w:hAnsi="Arial"/>
                <w:sz w:val="6"/>
                <w:szCs w:val="6"/>
                <w:b w:val="1"/>
                <w:bCs w:val="1"/>
                <w:color w:val="FFFFFF"/>
                <w:w w:val="97"/>
              </w:rPr>
              <w:t>1</w:t>
            </w:r>
          </w:p>
        </w:tc>
        <w:tc>
          <w:tcPr>
            <w:tcW w:w="780" w:type="dxa"/>
            <w:vAlign w:val="bottom"/>
            <w:shd w:val="clear" w:color="auto" w:fill="BF2115"/>
          </w:tcPr>
          <w:p>
            <w:pPr>
              <w:spacing w:after="0"/>
              <w:rPr>
                <w:sz w:val="13"/>
                <w:szCs w:val="13"/>
                <w:color w:val="auto"/>
              </w:rPr>
            </w:pPr>
          </w:p>
        </w:tc>
        <w:tc>
          <w:tcPr>
            <w:tcW w:w="760" w:type="dxa"/>
            <w:vAlign w:val="bottom"/>
            <w:shd w:val="clear" w:color="auto" w:fill="BF2115"/>
          </w:tcPr>
          <w:p>
            <w:pPr>
              <w:spacing w:after="0"/>
              <w:rPr>
                <w:sz w:val="13"/>
                <w:szCs w:val="13"/>
                <w:color w:val="auto"/>
              </w:rPr>
            </w:pPr>
          </w:p>
        </w:tc>
        <w:tc>
          <w:tcPr>
            <w:tcW w:w="680" w:type="dxa"/>
            <w:vAlign w:val="bottom"/>
            <w:shd w:val="clear" w:color="auto" w:fill="BF2115"/>
          </w:tcPr>
          <w:p>
            <w:pPr>
              <w:jc w:val="center"/>
              <w:ind w:right="84"/>
              <w:spacing w:after="0"/>
              <w:rPr>
                <w:sz w:val="20"/>
                <w:szCs w:val="20"/>
                <w:color w:val="auto"/>
              </w:rPr>
            </w:pPr>
            <w:r>
              <w:rPr>
                <w:rFonts w:ascii="Arial" w:cs="Arial" w:eastAsia="Arial" w:hAnsi="Arial"/>
                <w:sz w:val="11"/>
                <w:szCs w:val="11"/>
                <w:b w:val="1"/>
                <w:bCs w:val="1"/>
                <w:color w:val="FFFFFF"/>
                <w:w w:val="97"/>
              </w:rPr>
              <w:t>Awards</w:t>
            </w:r>
            <w:r>
              <w:rPr>
                <w:rFonts w:ascii="Arial" w:cs="Arial" w:eastAsia="Arial" w:hAnsi="Arial"/>
                <w:sz w:val="6"/>
                <w:szCs w:val="6"/>
                <w:b w:val="1"/>
                <w:bCs w:val="1"/>
                <w:color w:val="FFFFFF"/>
                <w:w w:val="97"/>
              </w:rPr>
              <w:t>2</w:t>
            </w:r>
          </w:p>
        </w:tc>
        <w:tc>
          <w:tcPr>
            <w:tcW w:w="740" w:type="dxa"/>
            <w:vAlign w:val="bottom"/>
            <w:shd w:val="clear" w:color="auto" w:fill="BF2115"/>
          </w:tcPr>
          <w:p>
            <w:pPr>
              <w:spacing w:after="0"/>
              <w:rPr>
                <w:sz w:val="13"/>
                <w:szCs w:val="13"/>
                <w:color w:val="auto"/>
              </w:rPr>
            </w:pPr>
          </w:p>
        </w:tc>
        <w:tc>
          <w:tcPr>
            <w:tcW w:w="780" w:type="dxa"/>
            <w:vAlign w:val="bottom"/>
            <w:shd w:val="clear" w:color="auto" w:fill="BF2115"/>
          </w:tcPr>
          <w:p>
            <w:pPr>
              <w:jc w:val="center"/>
              <w:ind w:right="45"/>
              <w:spacing w:after="0"/>
              <w:rPr>
                <w:sz w:val="20"/>
                <w:szCs w:val="20"/>
                <w:color w:val="auto"/>
              </w:rPr>
            </w:pPr>
            <w:r>
              <w:rPr>
                <w:rFonts w:ascii="Arial" w:cs="Arial" w:eastAsia="Arial" w:hAnsi="Arial"/>
                <w:sz w:val="11"/>
                <w:szCs w:val="11"/>
                <w:b w:val="1"/>
                <w:bCs w:val="1"/>
                <w:color w:val="FFFFFF"/>
                <w:w w:val="99"/>
              </w:rPr>
              <w:t>Stock or</w:t>
            </w:r>
          </w:p>
        </w:tc>
        <w:tc>
          <w:tcPr>
            <w:tcW w:w="920" w:type="dxa"/>
            <w:vAlign w:val="bottom"/>
            <w:shd w:val="clear" w:color="auto" w:fill="BF2115"/>
          </w:tcPr>
          <w:p>
            <w:pPr>
              <w:jc w:val="center"/>
              <w:ind w:right="65"/>
              <w:spacing w:after="0"/>
              <w:rPr>
                <w:sz w:val="20"/>
                <w:szCs w:val="20"/>
                <w:color w:val="auto"/>
              </w:rPr>
            </w:pPr>
            <w:r>
              <w:rPr>
                <w:rFonts w:ascii="Arial" w:cs="Arial" w:eastAsia="Arial" w:hAnsi="Arial"/>
                <w:sz w:val="11"/>
                <w:szCs w:val="11"/>
                <w:b w:val="1"/>
                <w:bCs w:val="1"/>
                <w:color w:val="FFFFFF"/>
                <w:w w:val="97"/>
              </w:rPr>
              <w:t>Underlying</w:t>
            </w:r>
          </w:p>
        </w:tc>
        <w:tc>
          <w:tcPr>
            <w:tcW w:w="76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w w:val="95"/>
              </w:rPr>
              <w:t>Option</w:t>
            </w:r>
          </w:p>
        </w:tc>
        <w:tc>
          <w:tcPr>
            <w:tcW w:w="720" w:type="dxa"/>
            <w:vAlign w:val="bottom"/>
            <w:shd w:val="clear" w:color="auto" w:fill="BF2115"/>
          </w:tcPr>
          <w:p>
            <w:pPr>
              <w:jc w:val="center"/>
              <w:ind w:right="4"/>
              <w:spacing w:after="0"/>
              <w:rPr>
                <w:sz w:val="20"/>
                <w:szCs w:val="20"/>
                <w:color w:val="auto"/>
              </w:rPr>
            </w:pPr>
            <w:r>
              <w:rPr>
                <w:rFonts w:ascii="Arial" w:cs="Arial" w:eastAsia="Arial" w:hAnsi="Arial"/>
                <w:sz w:val="11"/>
                <w:szCs w:val="11"/>
                <w:b w:val="1"/>
                <w:bCs w:val="1"/>
                <w:color w:val="FFFFFF"/>
                <w:w w:val="95"/>
              </w:rPr>
              <w:t>Option</w:t>
            </w:r>
          </w:p>
        </w:tc>
      </w:tr>
      <w:tr>
        <w:trPr>
          <w:trHeight w:val="187"/>
        </w:trPr>
        <w:tc>
          <w:tcPr>
            <w:tcW w:w="1680" w:type="dxa"/>
            <w:vAlign w:val="bottom"/>
            <w:shd w:val="clear" w:color="auto" w:fill="BF2115"/>
          </w:tcPr>
          <w:p>
            <w:pPr>
              <w:spacing w:after="0"/>
              <w:rPr>
                <w:sz w:val="16"/>
                <w:szCs w:val="16"/>
                <w:color w:val="auto"/>
              </w:rPr>
            </w:pPr>
          </w:p>
        </w:tc>
        <w:tc>
          <w:tcPr>
            <w:tcW w:w="76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Grant</w:t>
            </w:r>
          </w:p>
        </w:tc>
        <w:tc>
          <w:tcPr>
            <w:tcW w:w="72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Approval</w:t>
            </w:r>
          </w:p>
        </w:tc>
        <w:tc>
          <w:tcPr>
            <w:tcW w:w="780" w:type="dxa"/>
            <w:vAlign w:val="bottom"/>
            <w:shd w:val="clear" w:color="auto" w:fill="BF2115"/>
          </w:tcPr>
          <w:p>
            <w:pPr>
              <w:jc w:val="right"/>
              <w:ind w:right="84"/>
              <w:spacing w:after="0"/>
              <w:rPr>
                <w:sz w:val="20"/>
                <w:szCs w:val="20"/>
                <w:color w:val="auto"/>
              </w:rPr>
            </w:pPr>
            <w:r>
              <w:rPr>
                <w:rFonts w:ascii="Arial" w:cs="Arial" w:eastAsia="Arial" w:hAnsi="Arial"/>
                <w:sz w:val="11"/>
                <w:szCs w:val="11"/>
                <w:b w:val="1"/>
                <w:bCs w:val="1"/>
                <w:color w:val="FFFFFF"/>
              </w:rPr>
              <w:t>Threshold</w:t>
            </w:r>
          </w:p>
        </w:tc>
        <w:tc>
          <w:tcPr>
            <w:tcW w:w="860" w:type="dxa"/>
            <w:vAlign w:val="bottom"/>
            <w:shd w:val="clear" w:color="auto" w:fill="BF2115"/>
          </w:tcPr>
          <w:p>
            <w:pPr>
              <w:jc w:val="center"/>
              <w:ind w:right="4"/>
              <w:spacing w:after="0"/>
              <w:rPr>
                <w:sz w:val="20"/>
                <w:szCs w:val="20"/>
                <w:color w:val="auto"/>
              </w:rPr>
            </w:pPr>
            <w:r>
              <w:rPr>
                <w:rFonts w:ascii="Arial" w:cs="Arial" w:eastAsia="Arial" w:hAnsi="Arial"/>
                <w:sz w:val="11"/>
                <w:szCs w:val="11"/>
                <w:b w:val="1"/>
                <w:bCs w:val="1"/>
                <w:color w:val="FFFFFF"/>
                <w:w w:val="95"/>
              </w:rPr>
              <w:t>Target</w:t>
            </w:r>
          </w:p>
        </w:tc>
        <w:tc>
          <w:tcPr>
            <w:tcW w:w="780" w:type="dxa"/>
            <w:vAlign w:val="bottom"/>
            <w:shd w:val="clear" w:color="auto" w:fill="BF2115"/>
          </w:tcPr>
          <w:p>
            <w:pPr>
              <w:jc w:val="right"/>
              <w:ind w:right="163"/>
              <w:spacing w:after="0"/>
              <w:rPr>
                <w:sz w:val="20"/>
                <w:szCs w:val="20"/>
                <w:color w:val="auto"/>
              </w:rPr>
            </w:pPr>
            <w:r>
              <w:rPr>
                <w:rFonts w:ascii="Arial" w:cs="Arial" w:eastAsia="Arial" w:hAnsi="Arial"/>
                <w:sz w:val="11"/>
                <w:szCs w:val="11"/>
                <w:b w:val="1"/>
                <w:bCs w:val="1"/>
                <w:color w:val="FFFFFF"/>
              </w:rPr>
              <w:t>Maximum</w:t>
            </w:r>
          </w:p>
        </w:tc>
        <w:tc>
          <w:tcPr>
            <w:tcW w:w="760" w:type="dxa"/>
            <w:vAlign w:val="bottom"/>
            <w:shd w:val="clear" w:color="auto" w:fill="BF2115"/>
          </w:tcPr>
          <w:p>
            <w:pPr>
              <w:jc w:val="right"/>
              <w:ind w:right="124"/>
              <w:spacing w:after="0"/>
              <w:rPr>
                <w:sz w:val="20"/>
                <w:szCs w:val="20"/>
                <w:color w:val="auto"/>
              </w:rPr>
            </w:pPr>
            <w:r>
              <w:rPr>
                <w:rFonts w:ascii="Arial" w:cs="Arial" w:eastAsia="Arial" w:hAnsi="Arial"/>
                <w:sz w:val="11"/>
                <w:szCs w:val="11"/>
                <w:b w:val="1"/>
                <w:bCs w:val="1"/>
                <w:color w:val="FFFFFF"/>
              </w:rPr>
              <w:t>Threshold</w:t>
            </w:r>
          </w:p>
        </w:tc>
        <w:tc>
          <w:tcPr>
            <w:tcW w:w="680" w:type="dxa"/>
            <w:vAlign w:val="bottom"/>
            <w:shd w:val="clear" w:color="auto" w:fill="BF2115"/>
          </w:tcPr>
          <w:p>
            <w:pPr>
              <w:jc w:val="right"/>
              <w:ind w:right="164"/>
              <w:spacing w:after="0"/>
              <w:rPr>
                <w:sz w:val="20"/>
                <w:szCs w:val="20"/>
                <w:color w:val="auto"/>
              </w:rPr>
            </w:pPr>
            <w:r>
              <w:rPr>
                <w:rFonts w:ascii="Arial" w:cs="Arial" w:eastAsia="Arial" w:hAnsi="Arial"/>
                <w:sz w:val="11"/>
                <w:szCs w:val="11"/>
                <w:b w:val="1"/>
                <w:bCs w:val="1"/>
                <w:color w:val="FFFFFF"/>
              </w:rPr>
              <w:t>Target</w:t>
            </w:r>
          </w:p>
        </w:tc>
        <w:tc>
          <w:tcPr>
            <w:tcW w:w="740" w:type="dxa"/>
            <w:vAlign w:val="bottom"/>
            <w:shd w:val="clear" w:color="auto" w:fill="BF2115"/>
          </w:tcPr>
          <w:p>
            <w:pPr>
              <w:jc w:val="right"/>
              <w:ind w:right="123"/>
              <w:spacing w:after="0"/>
              <w:rPr>
                <w:sz w:val="20"/>
                <w:szCs w:val="20"/>
                <w:color w:val="auto"/>
              </w:rPr>
            </w:pPr>
            <w:r>
              <w:rPr>
                <w:rFonts w:ascii="Arial" w:cs="Arial" w:eastAsia="Arial" w:hAnsi="Arial"/>
                <w:sz w:val="11"/>
                <w:szCs w:val="11"/>
                <w:b w:val="1"/>
                <w:bCs w:val="1"/>
                <w:color w:val="FFFFFF"/>
              </w:rPr>
              <w:t>Maximum</w:t>
            </w:r>
          </w:p>
        </w:tc>
        <w:tc>
          <w:tcPr>
            <w:tcW w:w="780" w:type="dxa"/>
            <w:vAlign w:val="bottom"/>
            <w:shd w:val="clear" w:color="auto" w:fill="BF2115"/>
          </w:tcPr>
          <w:p>
            <w:pPr>
              <w:jc w:val="center"/>
              <w:ind w:right="45"/>
              <w:spacing w:after="0"/>
              <w:rPr>
                <w:sz w:val="20"/>
                <w:szCs w:val="20"/>
                <w:color w:val="auto"/>
              </w:rPr>
            </w:pPr>
            <w:r>
              <w:rPr>
                <w:rFonts w:ascii="Arial" w:cs="Arial" w:eastAsia="Arial" w:hAnsi="Arial"/>
                <w:sz w:val="11"/>
                <w:szCs w:val="11"/>
                <w:b w:val="1"/>
                <w:bCs w:val="1"/>
                <w:color w:val="FFFFFF"/>
                <w:w w:val="98"/>
              </w:rPr>
              <w:t>Units</w:t>
            </w:r>
            <w:r>
              <w:rPr>
                <w:rFonts w:ascii="Arial" w:cs="Arial" w:eastAsia="Arial" w:hAnsi="Arial"/>
                <w:sz w:val="13"/>
                <w:szCs w:val="13"/>
                <w:b w:val="1"/>
                <w:bCs w:val="1"/>
                <w:color w:val="FFFFFF"/>
                <w:w w:val="98"/>
                <w:vertAlign w:val="superscript"/>
              </w:rPr>
              <w:t>3</w:t>
            </w:r>
          </w:p>
        </w:tc>
        <w:tc>
          <w:tcPr>
            <w:tcW w:w="920" w:type="dxa"/>
            <w:vAlign w:val="bottom"/>
            <w:shd w:val="clear" w:color="auto" w:fill="BF2115"/>
          </w:tcPr>
          <w:p>
            <w:pPr>
              <w:jc w:val="center"/>
              <w:ind w:right="65"/>
              <w:spacing w:after="0"/>
              <w:rPr>
                <w:sz w:val="20"/>
                <w:szCs w:val="20"/>
                <w:color w:val="auto"/>
              </w:rPr>
            </w:pPr>
            <w:r>
              <w:rPr>
                <w:rFonts w:ascii="Arial" w:cs="Arial" w:eastAsia="Arial" w:hAnsi="Arial"/>
                <w:sz w:val="11"/>
                <w:szCs w:val="11"/>
                <w:b w:val="1"/>
                <w:bCs w:val="1"/>
                <w:color w:val="FFFFFF"/>
                <w:w w:val="94"/>
              </w:rPr>
              <w:t>Options</w:t>
            </w:r>
            <w:r>
              <w:rPr>
                <w:rFonts w:ascii="Arial" w:cs="Arial" w:eastAsia="Arial" w:hAnsi="Arial"/>
                <w:sz w:val="13"/>
                <w:szCs w:val="13"/>
                <w:b w:val="1"/>
                <w:bCs w:val="1"/>
                <w:color w:val="FFFFFF"/>
                <w:w w:val="94"/>
                <w:vertAlign w:val="superscript"/>
              </w:rPr>
              <w:t>4</w:t>
            </w:r>
          </w:p>
        </w:tc>
        <w:tc>
          <w:tcPr>
            <w:tcW w:w="76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w w:val="94"/>
              </w:rPr>
              <w:t>Awards</w:t>
            </w:r>
            <w:r>
              <w:rPr>
                <w:rFonts w:ascii="Arial" w:cs="Arial" w:eastAsia="Arial" w:hAnsi="Arial"/>
                <w:sz w:val="13"/>
                <w:szCs w:val="13"/>
                <w:b w:val="1"/>
                <w:bCs w:val="1"/>
                <w:color w:val="FFFFFF"/>
                <w:w w:val="94"/>
                <w:vertAlign w:val="superscript"/>
              </w:rPr>
              <w:t>5</w:t>
            </w:r>
          </w:p>
        </w:tc>
        <w:tc>
          <w:tcPr>
            <w:tcW w:w="720" w:type="dxa"/>
            <w:vAlign w:val="bottom"/>
            <w:shd w:val="clear" w:color="auto" w:fill="BF2115"/>
          </w:tcPr>
          <w:p>
            <w:pPr>
              <w:jc w:val="center"/>
              <w:ind w:right="4"/>
              <w:spacing w:after="0"/>
              <w:rPr>
                <w:sz w:val="20"/>
                <w:szCs w:val="20"/>
                <w:color w:val="auto"/>
              </w:rPr>
            </w:pPr>
            <w:r>
              <w:rPr>
                <w:rFonts w:ascii="Arial" w:cs="Arial" w:eastAsia="Arial" w:hAnsi="Arial"/>
                <w:sz w:val="11"/>
                <w:szCs w:val="11"/>
                <w:b w:val="1"/>
                <w:bCs w:val="1"/>
                <w:color w:val="FFFFFF"/>
                <w:w w:val="94"/>
              </w:rPr>
              <w:t>Awards</w:t>
            </w:r>
            <w:r>
              <w:rPr>
                <w:rFonts w:ascii="Arial" w:cs="Arial" w:eastAsia="Arial" w:hAnsi="Arial"/>
                <w:sz w:val="13"/>
                <w:szCs w:val="13"/>
                <w:b w:val="1"/>
                <w:bCs w:val="1"/>
                <w:color w:val="FFFFFF"/>
                <w:w w:val="94"/>
                <w:vertAlign w:val="superscript"/>
              </w:rPr>
              <w:t>6</w:t>
            </w:r>
          </w:p>
        </w:tc>
      </w:tr>
      <w:tr>
        <w:trPr>
          <w:trHeight w:val="160"/>
        </w:trPr>
        <w:tc>
          <w:tcPr>
            <w:tcW w:w="1680" w:type="dxa"/>
            <w:vAlign w:val="bottom"/>
            <w:shd w:val="clear" w:color="auto" w:fill="BF2115"/>
          </w:tcPr>
          <w:p>
            <w:pPr>
              <w:ind w:left="20"/>
              <w:spacing w:after="0"/>
              <w:rPr>
                <w:sz w:val="20"/>
                <w:szCs w:val="20"/>
                <w:color w:val="auto"/>
              </w:rPr>
            </w:pPr>
            <w:r>
              <w:rPr>
                <w:rFonts w:ascii="Arial" w:cs="Arial" w:eastAsia="Arial" w:hAnsi="Arial"/>
                <w:sz w:val="11"/>
                <w:szCs w:val="11"/>
                <w:b w:val="1"/>
                <w:bCs w:val="1"/>
                <w:color w:val="FFFFFF"/>
              </w:rPr>
              <w:t>Name</w:t>
            </w:r>
          </w:p>
        </w:tc>
        <w:tc>
          <w:tcPr>
            <w:tcW w:w="76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rPr>
              <w:t>Date</w:t>
            </w:r>
          </w:p>
        </w:tc>
        <w:tc>
          <w:tcPr>
            <w:tcW w:w="72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rPr>
              <w:t>Date</w:t>
            </w:r>
          </w:p>
        </w:tc>
        <w:tc>
          <w:tcPr>
            <w:tcW w:w="780" w:type="dxa"/>
            <w:vAlign w:val="bottom"/>
            <w:shd w:val="clear" w:color="auto" w:fill="BF2115"/>
          </w:tcPr>
          <w:p>
            <w:pPr>
              <w:jc w:val="right"/>
              <w:ind w:right="264"/>
              <w:spacing w:after="0"/>
              <w:rPr>
                <w:sz w:val="20"/>
                <w:szCs w:val="20"/>
                <w:color w:val="auto"/>
              </w:rPr>
            </w:pPr>
            <w:r>
              <w:rPr>
                <w:rFonts w:ascii="Arial" w:cs="Arial" w:eastAsia="Arial" w:hAnsi="Arial"/>
                <w:sz w:val="11"/>
                <w:szCs w:val="11"/>
                <w:b w:val="1"/>
                <w:bCs w:val="1"/>
                <w:color w:val="FFFFFF"/>
              </w:rPr>
              <w:t>($)</w:t>
            </w:r>
          </w:p>
        </w:tc>
        <w:tc>
          <w:tcPr>
            <w:tcW w:w="860" w:type="dxa"/>
            <w:vAlign w:val="bottom"/>
            <w:shd w:val="clear" w:color="auto" w:fill="BF2115"/>
          </w:tcPr>
          <w:p>
            <w:pPr>
              <w:jc w:val="center"/>
              <w:ind w:right="4"/>
              <w:spacing w:after="0"/>
              <w:rPr>
                <w:sz w:val="20"/>
                <w:szCs w:val="20"/>
                <w:color w:val="auto"/>
              </w:rPr>
            </w:pPr>
            <w:r>
              <w:rPr>
                <w:rFonts w:ascii="Arial" w:cs="Arial" w:eastAsia="Arial" w:hAnsi="Arial"/>
                <w:sz w:val="11"/>
                <w:szCs w:val="11"/>
                <w:b w:val="1"/>
                <w:bCs w:val="1"/>
                <w:color w:val="FFFFFF"/>
                <w:w w:val="88"/>
              </w:rPr>
              <w:t>($)</w:t>
            </w:r>
          </w:p>
        </w:tc>
        <w:tc>
          <w:tcPr>
            <w:tcW w:w="780" w:type="dxa"/>
            <w:vAlign w:val="bottom"/>
            <w:shd w:val="clear" w:color="auto" w:fill="BF2115"/>
          </w:tcPr>
          <w:p>
            <w:pPr>
              <w:jc w:val="right"/>
              <w:ind w:right="343"/>
              <w:spacing w:after="0"/>
              <w:rPr>
                <w:sz w:val="20"/>
                <w:szCs w:val="20"/>
                <w:color w:val="auto"/>
              </w:rPr>
            </w:pPr>
            <w:r>
              <w:rPr>
                <w:rFonts w:ascii="Arial" w:cs="Arial" w:eastAsia="Arial" w:hAnsi="Arial"/>
                <w:sz w:val="11"/>
                <w:szCs w:val="11"/>
                <w:b w:val="1"/>
                <w:bCs w:val="1"/>
                <w:color w:val="FFFFFF"/>
              </w:rPr>
              <w:t>($)</w:t>
            </w:r>
          </w:p>
        </w:tc>
        <w:tc>
          <w:tcPr>
            <w:tcW w:w="760" w:type="dxa"/>
            <w:vAlign w:val="bottom"/>
            <w:shd w:val="clear" w:color="auto" w:fill="BF2115"/>
          </w:tcPr>
          <w:p>
            <w:pPr>
              <w:jc w:val="right"/>
              <w:ind w:right="304"/>
              <w:spacing w:after="0"/>
              <w:rPr>
                <w:sz w:val="20"/>
                <w:szCs w:val="20"/>
                <w:color w:val="auto"/>
              </w:rPr>
            </w:pPr>
            <w:r>
              <w:rPr>
                <w:rFonts w:ascii="Arial" w:cs="Arial" w:eastAsia="Arial" w:hAnsi="Arial"/>
                <w:sz w:val="11"/>
                <w:szCs w:val="11"/>
                <w:b w:val="1"/>
                <w:bCs w:val="1"/>
                <w:color w:val="FFFFFF"/>
              </w:rPr>
              <w:t>(#)</w:t>
            </w:r>
          </w:p>
        </w:tc>
        <w:tc>
          <w:tcPr>
            <w:tcW w:w="680" w:type="dxa"/>
            <w:vAlign w:val="bottom"/>
            <w:shd w:val="clear" w:color="auto" w:fill="BF2115"/>
          </w:tcPr>
          <w:p>
            <w:pPr>
              <w:jc w:val="right"/>
              <w:ind w:right="264"/>
              <w:spacing w:after="0"/>
              <w:rPr>
                <w:sz w:val="20"/>
                <w:szCs w:val="20"/>
                <w:color w:val="auto"/>
              </w:rPr>
            </w:pPr>
            <w:r>
              <w:rPr>
                <w:rFonts w:ascii="Arial" w:cs="Arial" w:eastAsia="Arial" w:hAnsi="Arial"/>
                <w:sz w:val="11"/>
                <w:szCs w:val="11"/>
                <w:b w:val="1"/>
                <w:bCs w:val="1"/>
                <w:color w:val="FFFFFF"/>
              </w:rPr>
              <w:t>(#)</w:t>
            </w:r>
          </w:p>
        </w:tc>
        <w:tc>
          <w:tcPr>
            <w:tcW w:w="740" w:type="dxa"/>
            <w:vAlign w:val="bottom"/>
            <w:shd w:val="clear" w:color="auto" w:fill="BF2115"/>
          </w:tcPr>
          <w:p>
            <w:pPr>
              <w:jc w:val="right"/>
              <w:ind w:right="303"/>
              <w:spacing w:after="0"/>
              <w:rPr>
                <w:sz w:val="20"/>
                <w:szCs w:val="20"/>
                <w:color w:val="auto"/>
              </w:rPr>
            </w:pPr>
            <w:r>
              <w:rPr>
                <w:rFonts w:ascii="Arial" w:cs="Arial" w:eastAsia="Arial" w:hAnsi="Arial"/>
                <w:sz w:val="11"/>
                <w:szCs w:val="11"/>
                <w:b w:val="1"/>
                <w:bCs w:val="1"/>
                <w:color w:val="FFFFFF"/>
              </w:rPr>
              <w:t>(#)</w:t>
            </w:r>
          </w:p>
        </w:tc>
        <w:tc>
          <w:tcPr>
            <w:tcW w:w="780" w:type="dxa"/>
            <w:vAlign w:val="bottom"/>
            <w:shd w:val="clear" w:color="auto" w:fill="BF2115"/>
          </w:tcPr>
          <w:p>
            <w:pPr>
              <w:jc w:val="center"/>
              <w:ind w:right="45"/>
              <w:spacing w:after="0"/>
              <w:rPr>
                <w:sz w:val="20"/>
                <w:szCs w:val="20"/>
                <w:color w:val="auto"/>
              </w:rPr>
            </w:pPr>
            <w:r>
              <w:rPr>
                <w:rFonts w:ascii="Arial" w:cs="Arial" w:eastAsia="Arial" w:hAnsi="Arial"/>
                <w:sz w:val="11"/>
                <w:szCs w:val="11"/>
                <w:b w:val="1"/>
                <w:bCs w:val="1"/>
                <w:color w:val="FFFFFF"/>
                <w:w w:val="88"/>
              </w:rPr>
              <w:t>(#)</w:t>
            </w:r>
          </w:p>
        </w:tc>
        <w:tc>
          <w:tcPr>
            <w:tcW w:w="92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rPr>
              <w:t>(#)</w:t>
            </w:r>
          </w:p>
        </w:tc>
        <w:tc>
          <w:tcPr>
            <w:tcW w:w="76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w w:val="98"/>
              </w:rPr>
              <w:t>($/Sh)</w:t>
            </w:r>
          </w:p>
        </w:tc>
        <w:tc>
          <w:tcPr>
            <w:tcW w:w="720" w:type="dxa"/>
            <w:vAlign w:val="bottom"/>
            <w:shd w:val="clear" w:color="auto" w:fill="BF2115"/>
          </w:tcPr>
          <w:p>
            <w:pPr>
              <w:jc w:val="center"/>
              <w:ind w:right="4"/>
              <w:spacing w:after="0"/>
              <w:rPr>
                <w:sz w:val="20"/>
                <w:szCs w:val="20"/>
                <w:color w:val="auto"/>
              </w:rPr>
            </w:pPr>
            <w:r>
              <w:rPr>
                <w:rFonts w:ascii="Arial" w:cs="Arial" w:eastAsia="Arial" w:hAnsi="Arial"/>
                <w:sz w:val="11"/>
                <w:szCs w:val="11"/>
                <w:b w:val="1"/>
                <w:bCs w:val="1"/>
                <w:color w:val="FFFFFF"/>
              </w:rPr>
              <w:t>($)</w:t>
            </w:r>
          </w:p>
        </w:tc>
      </w:tr>
      <w:tr>
        <w:trPr>
          <w:trHeight w:val="156"/>
        </w:trPr>
        <w:tc>
          <w:tcPr>
            <w:tcW w:w="1680" w:type="dxa"/>
            <w:vAlign w:val="bottom"/>
          </w:tcPr>
          <w:p>
            <w:pPr>
              <w:ind w:left="20"/>
              <w:spacing w:after="0"/>
              <w:rPr>
                <w:sz w:val="20"/>
                <w:szCs w:val="20"/>
                <w:color w:val="auto"/>
              </w:rPr>
            </w:pPr>
            <w:r>
              <w:rPr>
                <w:rFonts w:ascii="Arial" w:cs="Arial" w:eastAsia="Arial" w:hAnsi="Arial"/>
                <w:sz w:val="12"/>
                <w:szCs w:val="12"/>
                <w:color w:val="auto"/>
              </w:rPr>
              <w:t>Richard M. Olson</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Annual Cash Incentive</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805,881</w:t>
            </w:r>
          </w:p>
        </w:tc>
        <w:tc>
          <w:tcPr>
            <w:tcW w:w="860" w:type="dxa"/>
            <w:vAlign w:val="bottom"/>
          </w:tcPr>
          <w:p>
            <w:pPr>
              <w:jc w:val="right"/>
              <w:ind w:right="24"/>
              <w:spacing w:after="0"/>
              <w:rPr>
                <w:sz w:val="20"/>
                <w:szCs w:val="20"/>
                <w:color w:val="auto"/>
              </w:rPr>
            </w:pPr>
            <w:r>
              <w:rPr>
                <w:rFonts w:ascii="Arial" w:cs="Arial" w:eastAsia="Arial" w:hAnsi="Arial"/>
                <w:sz w:val="12"/>
                <w:szCs w:val="12"/>
                <w:color w:val="auto"/>
              </w:rPr>
              <w:t>1,611,761</w:t>
            </w:r>
          </w:p>
        </w:tc>
        <w:tc>
          <w:tcPr>
            <w:tcW w:w="780" w:type="dxa"/>
            <w:vAlign w:val="bottom"/>
          </w:tcPr>
          <w:p>
            <w:pPr>
              <w:jc w:val="right"/>
              <w:ind w:right="23"/>
              <w:spacing w:after="0"/>
              <w:rPr>
                <w:sz w:val="20"/>
                <w:szCs w:val="20"/>
                <w:color w:val="auto"/>
              </w:rPr>
            </w:pPr>
            <w:r>
              <w:rPr>
                <w:rFonts w:ascii="Arial" w:cs="Arial" w:eastAsia="Arial" w:hAnsi="Arial"/>
                <w:sz w:val="12"/>
                <w:szCs w:val="12"/>
                <w:color w:val="auto"/>
              </w:rPr>
              <w:t>3,223,522</w:t>
            </w: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Performance Shares</w:t>
            </w:r>
          </w:p>
        </w:tc>
        <w:tc>
          <w:tcPr>
            <w:tcW w:w="760" w:type="dxa"/>
            <w:vAlign w:val="bottom"/>
          </w:tcPr>
          <w:p>
            <w:pPr>
              <w:jc w:val="center"/>
              <w:spacing w:after="0"/>
              <w:rPr>
                <w:sz w:val="20"/>
                <w:szCs w:val="20"/>
                <w:color w:val="auto"/>
              </w:rPr>
            </w:pPr>
            <w:r>
              <w:rPr>
                <w:rFonts w:ascii="Arial" w:cs="Arial" w:eastAsia="Arial" w:hAnsi="Arial"/>
                <w:sz w:val="12"/>
                <w:szCs w:val="12"/>
                <w:color w:val="auto"/>
                <w:w w:val="94"/>
              </w:rPr>
              <w:t>12/23/24</w:t>
            </w: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12/10/24</w:t>
            </w: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jc w:val="right"/>
              <w:ind w:right="4"/>
              <w:spacing w:after="0"/>
              <w:rPr>
                <w:sz w:val="20"/>
                <w:szCs w:val="20"/>
                <w:color w:val="auto"/>
              </w:rPr>
            </w:pPr>
            <w:r>
              <w:rPr>
                <w:rFonts w:ascii="Arial" w:cs="Arial" w:eastAsia="Arial" w:hAnsi="Arial"/>
                <w:sz w:val="12"/>
                <w:szCs w:val="12"/>
                <w:color w:val="auto"/>
              </w:rPr>
              <w:t>20,575</w:t>
            </w:r>
          </w:p>
        </w:tc>
        <w:tc>
          <w:tcPr>
            <w:tcW w:w="680" w:type="dxa"/>
            <w:vAlign w:val="bottom"/>
          </w:tcPr>
          <w:p>
            <w:pPr>
              <w:jc w:val="right"/>
              <w:ind w:right="24"/>
              <w:spacing w:after="0"/>
              <w:rPr>
                <w:sz w:val="20"/>
                <w:szCs w:val="20"/>
                <w:color w:val="auto"/>
              </w:rPr>
            </w:pPr>
            <w:r>
              <w:rPr>
                <w:rFonts w:ascii="Arial" w:cs="Arial" w:eastAsia="Arial" w:hAnsi="Arial"/>
                <w:sz w:val="12"/>
                <w:szCs w:val="12"/>
                <w:color w:val="auto"/>
              </w:rPr>
              <w:t>41,150</w:t>
            </w:r>
          </w:p>
        </w:tc>
        <w:tc>
          <w:tcPr>
            <w:tcW w:w="740" w:type="dxa"/>
            <w:vAlign w:val="bottom"/>
          </w:tcPr>
          <w:p>
            <w:pPr>
              <w:jc w:val="right"/>
              <w:ind w:right="23"/>
              <w:spacing w:after="0"/>
              <w:rPr>
                <w:sz w:val="20"/>
                <w:szCs w:val="20"/>
                <w:color w:val="auto"/>
              </w:rPr>
            </w:pPr>
            <w:r>
              <w:rPr>
                <w:rFonts w:ascii="Arial" w:cs="Arial" w:eastAsia="Arial" w:hAnsi="Arial"/>
                <w:sz w:val="12"/>
                <w:szCs w:val="12"/>
                <w:color w:val="auto"/>
              </w:rPr>
              <w:t>82,300</w:t>
            </w: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3,300,642</w:t>
            </w: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Stock Options</w:t>
            </w:r>
          </w:p>
        </w:tc>
        <w:tc>
          <w:tcPr>
            <w:tcW w:w="760" w:type="dxa"/>
            <w:vAlign w:val="bottom"/>
          </w:tcPr>
          <w:p>
            <w:pPr>
              <w:jc w:val="center"/>
              <w:spacing w:after="0"/>
              <w:rPr>
                <w:sz w:val="20"/>
                <w:szCs w:val="20"/>
                <w:color w:val="auto"/>
              </w:rPr>
            </w:pPr>
            <w:r>
              <w:rPr>
                <w:rFonts w:ascii="Arial" w:cs="Arial" w:eastAsia="Arial" w:hAnsi="Arial"/>
                <w:sz w:val="12"/>
                <w:szCs w:val="12"/>
                <w:color w:val="auto"/>
                <w:w w:val="94"/>
              </w:rPr>
              <w:t>12/23/24</w:t>
            </w: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12/10/24</w:t>
            </w: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jc w:val="right"/>
              <w:ind w:right="45"/>
              <w:spacing w:after="0"/>
              <w:rPr>
                <w:sz w:val="20"/>
                <w:szCs w:val="20"/>
                <w:color w:val="auto"/>
              </w:rPr>
            </w:pPr>
            <w:r>
              <w:rPr>
                <w:rFonts w:ascii="Arial" w:cs="Arial" w:eastAsia="Arial" w:hAnsi="Arial"/>
                <w:sz w:val="12"/>
                <w:szCs w:val="12"/>
                <w:color w:val="auto"/>
              </w:rPr>
              <w:t>88,855</w:t>
            </w:r>
          </w:p>
        </w:tc>
        <w:tc>
          <w:tcPr>
            <w:tcW w:w="760" w:type="dxa"/>
            <w:vAlign w:val="bottom"/>
          </w:tcPr>
          <w:p>
            <w:pPr>
              <w:jc w:val="right"/>
              <w:ind w:right="25"/>
              <w:spacing w:after="0"/>
              <w:rPr>
                <w:sz w:val="20"/>
                <w:szCs w:val="20"/>
                <w:color w:val="auto"/>
              </w:rPr>
            </w:pPr>
            <w:r>
              <w:rPr>
                <w:rFonts w:ascii="Arial" w:cs="Arial" w:eastAsia="Arial" w:hAnsi="Arial"/>
                <w:sz w:val="12"/>
                <w:szCs w:val="12"/>
                <w:color w:val="auto"/>
              </w:rPr>
              <w:t>80.21</w:t>
            </w:r>
          </w:p>
        </w:tc>
        <w:tc>
          <w:tcPr>
            <w:tcW w:w="720" w:type="dxa"/>
            <w:vAlign w:val="bottom"/>
          </w:tcPr>
          <w:p>
            <w:pPr>
              <w:jc w:val="right"/>
              <w:spacing w:after="0"/>
              <w:rPr>
                <w:sz w:val="20"/>
                <w:szCs w:val="20"/>
                <w:color w:val="auto"/>
              </w:rPr>
            </w:pPr>
            <w:r>
              <w:rPr>
                <w:rFonts w:ascii="Arial" w:cs="Arial" w:eastAsia="Arial" w:hAnsi="Arial"/>
                <w:sz w:val="12"/>
                <w:szCs w:val="12"/>
                <w:color w:val="auto"/>
              </w:rPr>
              <w:t>2,326,224</w:t>
            </w:r>
          </w:p>
        </w:tc>
      </w:tr>
      <w:tr>
        <w:trPr>
          <w:trHeight w:val="31"/>
        </w:trPr>
        <w:tc>
          <w:tcPr>
            <w:tcW w:w="1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6"/>
        </w:trPr>
        <w:tc>
          <w:tcPr>
            <w:tcW w:w="1680" w:type="dxa"/>
            <w:vAlign w:val="bottom"/>
            <w:shd w:val="clear" w:color="auto" w:fill="DBDBDB"/>
          </w:tcPr>
          <w:p>
            <w:pPr>
              <w:ind w:left="20"/>
              <w:spacing w:after="0"/>
              <w:rPr>
                <w:sz w:val="20"/>
                <w:szCs w:val="20"/>
                <w:color w:val="auto"/>
              </w:rPr>
            </w:pPr>
            <w:r>
              <w:rPr>
                <w:rFonts w:ascii="Arial" w:cs="Arial" w:eastAsia="Arial" w:hAnsi="Arial"/>
                <w:sz w:val="12"/>
                <w:szCs w:val="12"/>
                <w:color w:val="auto"/>
              </w:rPr>
              <w:t>Angela C. Drake</w:t>
            </w:r>
          </w:p>
        </w:tc>
        <w:tc>
          <w:tcPr>
            <w:tcW w:w="76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r>
      <w:tr>
        <w:trPr>
          <w:trHeight w:val="187"/>
        </w:trPr>
        <w:tc>
          <w:tcPr>
            <w:tcW w:w="1680" w:type="dxa"/>
            <w:vAlign w:val="bottom"/>
            <w:shd w:val="clear" w:color="auto" w:fill="DBDBDB"/>
          </w:tcPr>
          <w:p>
            <w:pPr>
              <w:ind w:left="140"/>
              <w:spacing w:after="0"/>
              <w:rPr>
                <w:sz w:val="20"/>
                <w:szCs w:val="20"/>
                <w:color w:val="auto"/>
              </w:rPr>
            </w:pPr>
            <w:r>
              <w:rPr>
                <w:rFonts w:ascii="Arial" w:cs="Arial" w:eastAsia="Arial" w:hAnsi="Arial"/>
                <w:sz w:val="12"/>
                <w:szCs w:val="12"/>
                <w:color w:val="auto"/>
              </w:rPr>
              <w:t>Annual Cash Incentive</w:t>
            </w:r>
          </w:p>
        </w:tc>
        <w:tc>
          <w:tcPr>
            <w:tcW w:w="76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214,412</w:t>
            </w:r>
          </w:p>
        </w:tc>
        <w:tc>
          <w:tcPr>
            <w:tcW w:w="860" w:type="dxa"/>
            <w:vAlign w:val="bottom"/>
            <w:shd w:val="clear" w:color="auto" w:fill="DBDBDB"/>
          </w:tcPr>
          <w:p>
            <w:pPr>
              <w:jc w:val="right"/>
              <w:ind w:right="64"/>
              <w:spacing w:after="0"/>
              <w:rPr>
                <w:sz w:val="20"/>
                <w:szCs w:val="20"/>
                <w:color w:val="auto"/>
              </w:rPr>
            </w:pPr>
            <w:r>
              <w:rPr>
                <w:rFonts w:ascii="Arial" w:cs="Arial" w:eastAsia="Arial" w:hAnsi="Arial"/>
                <w:sz w:val="12"/>
                <w:szCs w:val="12"/>
                <w:color w:val="auto"/>
              </w:rPr>
              <w:t>428,824</w:t>
            </w:r>
          </w:p>
        </w:tc>
        <w:tc>
          <w:tcPr>
            <w:tcW w:w="780" w:type="dxa"/>
            <w:vAlign w:val="bottom"/>
            <w:shd w:val="clear" w:color="auto" w:fill="DBDBDB"/>
          </w:tcPr>
          <w:p>
            <w:pPr>
              <w:jc w:val="right"/>
              <w:ind w:right="23"/>
              <w:spacing w:after="0"/>
              <w:rPr>
                <w:sz w:val="20"/>
                <w:szCs w:val="20"/>
                <w:color w:val="auto"/>
              </w:rPr>
            </w:pPr>
            <w:r>
              <w:rPr>
                <w:rFonts w:ascii="Arial" w:cs="Arial" w:eastAsia="Arial" w:hAnsi="Arial"/>
                <w:sz w:val="12"/>
                <w:szCs w:val="12"/>
                <w:color w:val="auto"/>
              </w:rPr>
              <w:t>857,648</w:t>
            </w:r>
          </w:p>
        </w:tc>
        <w:tc>
          <w:tcPr>
            <w:tcW w:w="76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r>
      <w:tr>
        <w:trPr>
          <w:trHeight w:val="187"/>
        </w:trPr>
        <w:tc>
          <w:tcPr>
            <w:tcW w:w="1680" w:type="dxa"/>
            <w:vAlign w:val="bottom"/>
            <w:shd w:val="clear" w:color="auto" w:fill="DBDBDB"/>
          </w:tcPr>
          <w:p>
            <w:pPr>
              <w:ind w:left="140"/>
              <w:spacing w:after="0"/>
              <w:rPr>
                <w:sz w:val="20"/>
                <w:szCs w:val="20"/>
                <w:color w:val="auto"/>
              </w:rPr>
            </w:pPr>
            <w:r>
              <w:rPr>
                <w:rFonts w:ascii="Arial" w:cs="Arial" w:eastAsia="Arial" w:hAnsi="Arial"/>
                <w:sz w:val="12"/>
                <w:szCs w:val="12"/>
                <w:color w:val="auto"/>
              </w:rPr>
              <w:t>Performance Shares</w:t>
            </w:r>
          </w:p>
        </w:tc>
        <w:tc>
          <w:tcPr>
            <w:tcW w:w="76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4"/>
              </w:rPr>
              <w:t>12/23/24</w:t>
            </w:r>
          </w:p>
        </w:tc>
        <w:tc>
          <w:tcPr>
            <w:tcW w:w="72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4"/>
              </w:rPr>
              <w:t>12/10/24</w:t>
            </w:r>
          </w:p>
        </w:tc>
        <w:tc>
          <w:tcPr>
            <w:tcW w:w="7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760" w:type="dxa"/>
            <w:vAlign w:val="bottom"/>
            <w:shd w:val="clear" w:color="auto" w:fill="DBDBDB"/>
          </w:tcPr>
          <w:p>
            <w:pPr>
              <w:jc w:val="right"/>
              <w:ind w:right="4"/>
              <w:spacing w:after="0"/>
              <w:rPr>
                <w:sz w:val="20"/>
                <w:szCs w:val="20"/>
                <w:color w:val="auto"/>
              </w:rPr>
            </w:pPr>
            <w:r>
              <w:rPr>
                <w:rFonts w:ascii="Arial" w:cs="Arial" w:eastAsia="Arial" w:hAnsi="Arial"/>
                <w:sz w:val="12"/>
                <w:szCs w:val="12"/>
                <w:color w:val="auto"/>
              </w:rPr>
              <w:t>5,231</w:t>
            </w:r>
          </w:p>
        </w:tc>
        <w:tc>
          <w:tcPr>
            <w:tcW w:w="680" w:type="dxa"/>
            <w:vAlign w:val="bottom"/>
            <w:shd w:val="clear" w:color="auto" w:fill="DBDBDB"/>
          </w:tcPr>
          <w:p>
            <w:pPr>
              <w:jc w:val="right"/>
              <w:ind w:right="64"/>
              <w:spacing w:after="0"/>
              <w:rPr>
                <w:sz w:val="20"/>
                <w:szCs w:val="20"/>
                <w:color w:val="auto"/>
              </w:rPr>
            </w:pPr>
            <w:r>
              <w:rPr>
                <w:rFonts w:ascii="Arial" w:cs="Arial" w:eastAsia="Arial" w:hAnsi="Arial"/>
                <w:sz w:val="12"/>
                <w:szCs w:val="12"/>
                <w:color w:val="auto"/>
              </w:rPr>
              <w:t>10,462</w:t>
            </w:r>
          </w:p>
        </w:tc>
        <w:tc>
          <w:tcPr>
            <w:tcW w:w="740" w:type="dxa"/>
            <w:vAlign w:val="bottom"/>
            <w:shd w:val="clear" w:color="auto" w:fill="DBDBDB"/>
          </w:tcPr>
          <w:p>
            <w:pPr>
              <w:jc w:val="right"/>
              <w:ind w:right="23"/>
              <w:spacing w:after="0"/>
              <w:rPr>
                <w:sz w:val="20"/>
                <w:szCs w:val="20"/>
                <w:color w:val="auto"/>
              </w:rPr>
            </w:pPr>
            <w:r>
              <w:rPr>
                <w:rFonts w:ascii="Arial" w:cs="Arial" w:eastAsia="Arial" w:hAnsi="Arial"/>
                <w:sz w:val="12"/>
                <w:szCs w:val="12"/>
                <w:color w:val="auto"/>
              </w:rPr>
              <w:t>20,924</w:t>
            </w:r>
          </w:p>
        </w:tc>
        <w:tc>
          <w:tcPr>
            <w:tcW w:w="78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839,157</w:t>
            </w:r>
          </w:p>
        </w:tc>
      </w:tr>
      <w:tr>
        <w:trPr>
          <w:trHeight w:val="198"/>
        </w:trPr>
        <w:tc>
          <w:tcPr>
            <w:tcW w:w="16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2"/>
                <w:szCs w:val="12"/>
                <w:color w:val="auto"/>
              </w:rPr>
              <w:t>Stock Options</w:t>
            </w:r>
          </w:p>
        </w:tc>
        <w:tc>
          <w:tcPr>
            <w:tcW w:w="7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2"/>
                <w:szCs w:val="12"/>
                <w:color w:val="auto"/>
                <w:w w:val="94"/>
              </w:rPr>
              <w:t>12/23/24</w:t>
            </w:r>
          </w:p>
        </w:tc>
        <w:tc>
          <w:tcPr>
            <w:tcW w:w="7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2"/>
                <w:szCs w:val="12"/>
                <w:color w:val="auto"/>
                <w:w w:val="94"/>
              </w:rPr>
              <w:t>12/10/24</w:t>
            </w:r>
          </w:p>
        </w:tc>
        <w:tc>
          <w:tcPr>
            <w:tcW w:w="780" w:type="dxa"/>
            <w:vAlign w:val="bottom"/>
            <w:tcBorders>
              <w:bottom w:val="single" w:sz="8" w:color="DBDBDB"/>
            </w:tcBorders>
            <w:shd w:val="clear" w:color="auto" w:fill="DBDBDB"/>
          </w:tcPr>
          <w:p>
            <w:pPr>
              <w:spacing w:after="0"/>
              <w:rPr>
                <w:sz w:val="17"/>
                <w:szCs w:val="17"/>
                <w:color w:val="auto"/>
              </w:rPr>
            </w:pPr>
          </w:p>
        </w:tc>
        <w:tc>
          <w:tcPr>
            <w:tcW w:w="86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jc w:val="right"/>
              <w:ind w:right="85"/>
              <w:spacing w:after="0"/>
              <w:rPr>
                <w:sz w:val="20"/>
                <w:szCs w:val="20"/>
                <w:color w:val="auto"/>
              </w:rPr>
            </w:pPr>
            <w:r>
              <w:rPr>
                <w:rFonts w:ascii="Arial" w:cs="Arial" w:eastAsia="Arial" w:hAnsi="Arial"/>
                <w:sz w:val="12"/>
                <w:szCs w:val="12"/>
                <w:color w:val="auto"/>
              </w:rPr>
              <w:t>22,590</w:t>
            </w:r>
          </w:p>
        </w:tc>
        <w:tc>
          <w:tcPr>
            <w:tcW w:w="760" w:type="dxa"/>
            <w:vAlign w:val="bottom"/>
            <w:tcBorders>
              <w:bottom w:val="single" w:sz="8" w:color="DBDBDB"/>
            </w:tcBorders>
            <w:shd w:val="clear" w:color="auto" w:fill="DBDBDB"/>
          </w:tcPr>
          <w:p>
            <w:pPr>
              <w:jc w:val="right"/>
              <w:ind w:right="25"/>
              <w:spacing w:after="0"/>
              <w:rPr>
                <w:sz w:val="20"/>
                <w:szCs w:val="20"/>
                <w:color w:val="auto"/>
              </w:rPr>
            </w:pPr>
            <w:r>
              <w:rPr>
                <w:rFonts w:ascii="Arial" w:cs="Arial" w:eastAsia="Arial" w:hAnsi="Arial"/>
                <w:sz w:val="12"/>
                <w:szCs w:val="12"/>
                <w:color w:val="auto"/>
              </w:rPr>
              <w:t>80.21</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591,406</w:t>
            </w:r>
          </w:p>
        </w:tc>
      </w:tr>
      <w:tr>
        <w:trPr>
          <w:trHeight w:val="156"/>
        </w:trPr>
        <w:tc>
          <w:tcPr>
            <w:tcW w:w="1680" w:type="dxa"/>
            <w:vAlign w:val="bottom"/>
          </w:tcPr>
          <w:p>
            <w:pPr>
              <w:ind w:left="20"/>
              <w:spacing w:after="0"/>
              <w:rPr>
                <w:sz w:val="20"/>
                <w:szCs w:val="20"/>
                <w:color w:val="auto"/>
              </w:rPr>
            </w:pPr>
            <w:r>
              <w:rPr>
                <w:rFonts w:ascii="Arial" w:cs="Arial" w:eastAsia="Arial" w:hAnsi="Arial"/>
                <w:sz w:val="12"/>
                <w:szCs w:val="12"/>
                <w:color w:val="auto"/>
              </w:rPr>
              <w:t>Edric C. Funk</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Annual Cash Incentive</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182,835</w:t>
            </w:r>
          </w:p>
        </w:tc>
        <w:tc>
          <w:tcPr>
            <w:tcW w:w="860" w:type="dxa"/>
            <w:vAlign w:val="bottom"/>
          </w:tcPr>
          <w:p>
            <w:pPr>
              <w:jc w:val="right"/>
              <w:ind w:right="24"/>
              <w:spacing w:after="0"/>
              <w:rPr>
                <w:sz w:val="20"/>
                <w:szCs w:val="20"/>
                <w:color w:val="auto"/>
              </w:rPr>
            </w:pPr>
            <w:r>
              <w:rPr>
                <w:rFonts w:ascii="Arial" w:cs="Arial" w:eastAsia="Arial" w:hAnsi="Arial"/>
                <w:sz w:val="12"/>
                <w:szCs w:val="12"/>
                <w:color w:val="auto"/>
              </w:rPr>
              <w:t>365,669</w:t>
            </w:r>
          </w:p>
        </w:tc>
        <w:tc>
          <w:tcPr>
            <w:tcW w:w="780" w:type="dxa"/>
            <w:vAlign w:val="bottom"/>
          </w:tcPr>
          <w:p>
            <w:pPr>
              <w:jc w:val="right"/>
              <w:ind w:right="23"/>
              <w:spacing w:after="0"/>
              <w:rPr>
                <w:sz w:val="20"/>
                <w:szCs w:val="20"/>
                <w:color w:val="auto"/>
              </w:rPr>
            </w:pPr>
            <w:r>
              <w:rPr>
                <w:rFonts w:ascii="Arial" w:cs="Arial" w:eastAsia="Arial" w:hAnsi="Arial"/>
                <w:sz w:val="12"/>
                <w:szCs w:val="12"/>
                <w:color w:val="auto"/>
              </w:rPr>
              <w:t>731,338</w:t>
            </w: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Performance Shares</w:t>
            </w:r>
          </w:p>
        </w:tc>
        <w:tc>
          <w:tcPr>
            <w:tcW w:w="760" w:type="dxa"/>
            <w:vAlign w:val="bottom"/>
          </w:tcPr>
          <w:p>
            <w:pPr>
              <w:jc w:val="center"/>
              <w:spacing w:after="0"/>
              <w:rPr>
                <w:sz w:val="20"/>
                <w:szCs w:val="20"/>
                <w:color w:val="auto"/>
              </w:rPr>
            </w:pPr>
            <w:r>
              <w:rPr>
                <w:rFonts w:ascii="Arial" w:cs="Arial" w:eastAsia="Arial" w:hAnsi="Arial"/>
                <w:sz w:val="12"/>
                <w:szCs w:val="12"/>
                <w:color w:val="auto"/>
                <w:w w:val="94"/>
              </w:rPr>
              <w:t>12/23/24</w:t>
            </w: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12/10/24</w:t>
            </w: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jc w:val="right"/>
              <w:ind w:right="4"/>
              <w:spacing w:after="0"/>
              <w:rPr>
                <w:sz w:val="20"/>
                <w:szCs w:val="20"/>
                <w:color w:val="auto"/>
              </w:rPr>
            </w:pPr>
            <w:r>
              <w:rPr>
                <w:rFonts w:ascii="Arial" w:cs="Arial" w:eastAsia="Arial" w:hAnsi="Arial"/>
                <w:sz w:val="12"/>
                <w:szCs w:val="12"/>
                <w:color w:val="auto"/>
              </w:rPr>
              <w:t>3,487</w:t>
            </w:r>
          </w:p>
        </w:tc>
        <w:tc>
          <w:tcPr>
            <w:tcW w:w="680" w:type="dxa"/>
            <w:vAlign w:val="bottom"/>
          </w:tcPr>
          <w:p>
            <w:pPr>
              <w:jc w:val="right"/>
              <w:ind w:right="24"/>
              <w:spacing w:after="0"/>
              <w:rPr>
                <w:sz w:val="20"/>
                <w:szCs w:val="20"/>
                <w:color w:val="auto"/>
              </w:rPr>
            </w:pPr>
            <w:r>
              <w:rPr>
                <w:rFonts w:ascii="Arial" w:cs="Arial" w:eastAsia="Arial" w:hAnsi="Arial"/>
                <w:sz w:val="12"/>
                <w:szCs w:val="12"/>
                <w:color w:val="auto"/>
              </w:rPr>
              <w:t>6,974</w:t>
            </w:r>
          </w:p>
        </w:tc>
        <w:tc>
          <w:tcPr>
            <w:tcW w:w="740" w:type="dxa"/>
            <w:vAlign w:val="bottom"/>
          </w:tcPr>
          <w:p>
            <w:pPr>
              <w:jc w:val="right"/>
              <w:ind w:right="23"/>
              <w:spacing w:after="0"/>
              <w:rPr>
                <w:sz w:val="20"/>
                <w:szCs w:val="20"/>
                <w:color w:val="auto"/>
              </w:rPr>
            </w:pPr>
            <w:r>
              <w:rPr>
                <w:rFonts w:ascii="Arial" w:cs="Arial" w:eastAsia="Arial" w:hAnsi="Arial"/>
                <w:sz w:val="12"/>
                <w:szCs w:val="12"/>
                <w:color w:val="auto"/>
              </w:rPr>
              <w:t>13,948</w:t>
            </w: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559,385</w:t>
            </w: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Stock Options</w:t>
            </w:r>
          </w:p>
        </w:tc>
        <w:tc>
          <w:tcPr>
            <w:tcW w:w="760" w:type="dxa"/>
            <w:vAlign w:val="bottom"/>
          </w:tcPr>
          <w:p>
            <w:pPr>
              <w:jc w:val="center"/>
              <w:spacing w:after="0"/>
              <w:rPr>
                <w:sz w:val="20"/>
                <w:szCs w:val="20"/>
                <w:color w:val="auto"/>
              </w:rPr>
            </w:pPr>
            <w:r>
              <w:rPr>
                <w:rFonts w:ascii="Arial" w:cs="Arial" w:eastAsia="Arial" w:hAnsi="Arial"/>
                <w:sz w:val="12"/>
                <w:szCs w:val="12"/>
                <w:color w:val="auto"/>
                <w:w w:val="94"/>
              </w:rPr>
              <w:t>12/23/24</w:t>
            </w: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12/10/24</w:t>
            </w: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jc w:val="right"/>
              <w:ind w:right="45"/>
              <w:spacing w:after="0"/>
              <w:rPr>
                <w:sz w:val="20"/>
                <w:szCs w:val="20"/>
                <w:color w:val="auto"/>
              </w:rPr>
            </w:pPr>
            <w:r>
              <w:rPr>
                <w:rFonts w:ascii="Arial" w:cs="Arial" w:eastAsia="Arial" w:hAnsi="Arial"/>
                <w:sz w:val="12"/>
                <w:szCs w:val="12"/>
                <w:color w:val="auto"/>
              </w:rPr>
              <w:t>15,060</w:t>
            </w:r>
          </w:p>
        </w:tc>
        <w:tc>
          <w:tcPr>
            <w:tcW w:w="760" w:type="dxa"/>
            <w:vAlign w:val="bottom"/>
          </w:tcPr>
          <w:p>
            <w:pPr>
              <w:jc w:val="right"/>
              <w:ind w:right="25"/>
              <w:spacing w:after="0"/>
              <w:rPr>
                <w:sz w:val="20"/>
                <w:szCs w:val="20"/>
                <w:color w:val="auto"/>
              </w:rPr>
            </w:pPr>
            <w:r>
              <w:rPr>
                <w:rFonts w:ascii="Arial" w:cs="Arial" w:eastAsia="Arial" w:hAnsi="Arial"/>
                <w:sz w:val="12"/>
                <w:szCs w:val="12"/>
                <w:color w:val="auto"/>
              </w:rPr>
              <w:t>80.21</w:t>
            </w:r>
          </w:p>
        </w:tc>
        <w:tc>
          <w:tcPr>
            <w:tcW w:w="720" w:type="dxa"/>
            <w:vAlign w:val="bottom"/>
          </w:tcPr>
          <w:p>
            <w:pPr>
              <w:jc w:val="right"/>
              <w:spacing w:after="0"/>
              <w:rPr>
                <w:sz w:val="20"/>
                <w:szCs w:val="20"/>
                <w:color w:val="auto"/>
              </w:rPr>
            </w:pPr>
            <w:r>
              <w:rPr>
                <w:rFonts w:ascii="Arial" w:cs="Arial" w:eastAsia="Arial" w:hAnsi="Arial"/>
                <w:sz w:val="12"/>
                <w:szCs w:val="12"/>
                <w:color w:val="auto"/>
              </w:rPr>
              <w:t>394,271</w:t>
            </w: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Restricted Stock Units</w:t>
            </w:r>
          </w:p>
        </w:tc>
        <w:tc>
          <w:tcPr>
            <w:tcW w:w="760" w:type="dxa"/>
            <w:vAlign w:val="bottom"/>
          </w:tcPr>
          <w:p>
            <w:pPr>
              <w:jc w:val="center"/>
              <w:spacing w:after="0"/>
              <w:rPr>
                <w:sz w:val="20"/>
                <w:szCs w:val="20"/>
                <w:color w:val="auto"/>
              </w:rPr>
            </w:pPr>
            <w:r>
              <w:rPr>
                <w:rFonts w:ascii="Arial" w:cs="Arial" w:eastAsia="Arial" w:hAnsi="Arial"/>
                <w:sz w:val="12"/>
                <w:szCs w:val="12"/>
                <w:color w:val="auto"/>
                <w:w w:val="94"/>
              </w:rPr>
              <w:t>09/02/25</w:t>
            </w: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08/06/25</w:t>
            </w: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Arial" w:cs="Arial" w:eastAsia="Arial" w:hAnsi="Arial"/>
                <w:sz w:val="12"/>
                <w:szCs w:val="12"/>
                <w:color w:val="auto"/>
              </w:rPr>
              <w:t>18,418</w:t>
            </w: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1,499,962</w:t>
            </w:r>
          </w:p>
        </w:tc>
      </w:tr>
      <w:tr>
        <w:trPr>
          <w:trHeight w:val="31"/>
        </w:trPr>
        <w:tc>
          <w:tcPr>
            <w:tcW w:w="1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6"/>
        </w:trPr>
        <w:tc>
          <w:tcPr>
            <w:tcW w:w="1680" w:type="dxa"/>
            <w:vAlign w:val="bottom"/>
            <w:shd w:val="clear" w:color="auto" w:fill="DBDBDB"/>
          </w:tcPr>
          <w:p>
            <w:pPr>
              <w:ind w:left="20"/>
              <w:spacing w:after="0"/>
              <w:rPr>
                <w:sz w:val="20"/>
                <w:szCs w:val="20"/>
                <w:color w:val="auto"/>
              </w:rPr>
            </w:pPr>
            <w:r>
              <w:rPr>
                <w:rFonts w:ascii="Arial" w:cs="Arial" w:eastAsia="Arial" w:hAnsi="Arial"/>
                <w:sz w:val="12"/>
                <w:szCs w:val="12"/>
                <w:color w:val="auto"/>
              </w:rPr>
              <w:t>Peter D. Moeller</w:t>
            </w:r>
          </w:p>
        </w:tc>
        <w:tc>
          <w:tcPr>
            <w:tcW w:w="76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r>
      <w:tr>
        <w:trPr>
          <w:trHeight w:val="187"/>
        </w:trPr>
        <w:tc>
          <w:tcPr>
            <w:tcW w:w="1680" w:type="dxa"/>
            <w:vAlign w:val="bottom"/>
            <w:shd w:val="clear" w:color="auto" w:fill="DBDBDB"/>
          </w:tcPr>
          <w:p>
            <w:pPr>
              <w:ind w:left="140"/>
              <w:spacing w:after="0"/>
              <w:rPr>
                <w:sz w:val="20"/>
                <w:szCs w:val="20"/>
                <w:color w:val="auto"/>
              </w:rPr>
            </w:pPr>
            <w:r>
              <w:rPr>
                <w:rFonts w:ascii="Arial" w:cs="Arial" w:eastAsia="Arial" w:hAnsi="Arial"/>
                <w:sz w:val="12"/>
                <w:szCs w:val="12"/>
                <w:color w:val="auto"/>
              </w:rPr>
              <w:t>Annual Cash Incentive</w:t>
            </w:r>
          </w:p>
        </w:tc>
        <w:tc>
          <w:tcPr>
            <w:tcW w:w="76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144,128</w:t>
            </w:r>
          </w:p>
        </w:tc>
        <w:tc>
          <w:tcPr>
            <w:tcW w:w="860" w:type="dxa"/>
            <w:vAlign w:val="bottom"/>
            <w:shd w:val="clear" w:color="auto" w:fill="DBDBDB"/>
          </w:tcPr>
          <w:p>
            <w:pPr>
              <w:jc w:val="right"/>
              <w:ind w:right="24"/>
              <w:spacing w:after="0"/>
              <w:rPr>
                <w:sz w:val="20"/>
                <w:szCs w:val="20"/>
                <w:color w:val="auto"/>
              </w:rPr>
            </w:pPr>
            <w:r>
              <w:rPr>
                <w:rFonts w:ascii="Arial" w:cs="Arial" w:eastAsia="Arial" w:hAnsi="Arial"/>
                <w:sz w:val="12"/>
                <w:szCs w:val="12"/>
                <w:color w:val="auto"/>
              </w:rPr>
              <w:t>288,255</w:t>
            </w:r>
          </w:p>
        </w:tc>
        <w:tc>
          <w:tcPr>
            <w:tcW w:w="780" w:type="dxa"/>
            <w:vAlign w:val="bottom"/>
            <w:shd w:val="clear" w:color="auto" w:fill="DBDBDB"/>
          </w:tcPr>
          <w:p>
            <w:pPr>
              <w:jc w:val="right"/>
              <w:ind w:right="23"/>
              <w:spacing w:after="0"/>
              <w:rPr>
                <w:sz w:val="20"/>
                <w:szCs w:val="20"/>
                <w:color w:val="auto"/>
              </w:rPr>
            </w:pPr>
            <w:r>
              <w:rPr>
                <w:rFonts w:ascii="Arial" w:cs="Arial" w:eastAsia="Arial" w:hAnsi="Arial"/>
                <w:sz w:val="12"/>
                <w:szCs w:val="12"/>
                <w:color w:val="auto"/>
              </w:rPr>
              <w:t>576,510</w:t>
            </w:r>
          </w:p>
        </w:tc>
        <w:tc>
          <w:tcPr>
            <w:tcW w:w="76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r>
      <w:tr>
        <w:trPr>
          <w:trHeight w:val="187"/>
        </w:trPr>
        <w:tc>
          <w:tcPr>
            <w:tcW w:w="1680" w:type="dxa"/>
            <w:vAlign w:val="bottom"/>
            <w:shd w:val="clear" w:color="auto" w:fill="DBDBDB"/>
          </w:tcPr>
          <w:p>
            <w:pPr>
              <w:ind w:left="140"/>
              <w:spacing w:after="0"/>
              <w:rPr>
                <w:sz w:val="20"/>
                <w:szCs w:val="20"/>
                <w:color w:val="auto"/>
              </w:rPr>
            </w:pPr>
            <w:r>
              <w:rPr>
                <w:rFonts w:ascii="Arial" w:cs="Arial" w:eastAsia="Arial" w:hAnsi="Arial"/>
                <w:sz w:val="12"/>
                <w:szCs w:val="12"/>
                <w:color w:val="auto"/>
              </w:rPr>
              <w:t>Performance Shares</w:t>
            </w:r>
          </w:p>
        </w:tc>
        <w:tc>
          <w:tcPr>
            <w:tcW w:w="76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4"/>
              </w:rPr>
              <w:t>12/23/24</w:t>
            </w:r>
          </w:p>
        </w:tc>
        <w:tc>
          <w:tcPr>
            <w:tcW w:w="72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4"/>
              </w:rPr>
              <w:t>12/10/24</w:t>
            </w:r>
          </w:p>
        </w:tc>
        <w:tc>
          <w:tcPr>
            <w:tcW w:w="7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760" w:type="dxa"/>
            <w:vAlign w:val="bottom"/>
            <w:shd w:val="clear" w:color="auto" w:fill="DBDBDB"/>
          </w:tcPr>
          <w:p>
            <w:pPr>
              <w:jc w:val="right"/>
              <w:ind w:right="4"/>
              <w:spacing w:after="0"/>
              <w:rPr>
                <w:sz w:val="20"/>
                <w:szCs w:val="20"/>
                <w:color w:val="auto"/>
              </w:rPr>
            </w:pPr>
            <w:r>
              <w:rPr>
                <w:rFonts w:ascii="Arial" w:cs="Arial" w:eastAsia="Arial" w:hAnsi="Arial"/>
                <w:sz w:val="12"/>
                <w:szCs w:val="12"/>
                <w:color w:val="auto"/>
              </w:rPr>
              <w:t>3,139</w:t>
            </w:r>
          </w:p>
        </w:tc>
        <w:tc>
          <w:tcPr>
            <w:tcW w:w="680" w:type="dxa"/>
            <w:vAlign w:val="bottom"/>
            <w:shd w:val="clear" w:color="auto" w:fill="DBDBDB"/>
          </w:tcPr>
          <w:p>
            <w:pPr>
              <w:jc w:val="right"/>
              <w:ind w:right="24"/>
              <w:spacing w:after="0"/>
              <w:rPr>
                <w:sz w:val="20"/>
                <w:szCs w:val="20"/>
                <w:color w:val="auto"/>
              </w:rPr>
            </w:pPr>
            <w:r>
              <w:rPr>
                <w:rFonts w:ascii="Arial" w:cs="Arial" w:eastAsia="Arial" w:hAnsi="Arial"/>
                <w:sz w:val="12"/>
                <w:szCs w:val="12"/>
                <w:color w:val="auto"/>
              </w:rPr>
              <w:t>6,277</w:t>
            </w:r>
          </w:p>
        </w:tc>
        <w:tc>
          <w:tcPr>
            <w:tcW w:w="740" w:type="dxa"/>
            <w:vAlign w:val="bottom"/>
            <w:shd w:val="clear" w:color="auto" w:fill="DBDBDB"/>
          </w:tcPr>
          <w:p>
            <w:pPr>
              <w:jc w:val="right"/>
              <w:ind w:right="23"/>
              <w:spacing w:after="0"/>
              <w:rPr>
                <w:sz w:val="20"/>
                <w:szCs w:val="20"/>
                <w:color w:val="auto"/>
              </w:rPr>
            </w:pPr>
            <w:r>
              <w:rPr>
                <w:rFonts w:ascii="Arial" w:cs="Arial" w:eastAsia="Arial" w:hAnsi="Arial"/>
                <w:sz w:val="12"/>
                <w:szCs w:val="12"/>
                <w:color w:val="auto"/>
              </w:rPr>
              <w:t>12,554</w:t>
            </w:r>
          </w:p>
        </w:tc>
        <w:tc>
          <w:tcPr>
            <w:tcW w:w="78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503,478</w:t>
            </w:r>
          </w:p>
        </w:tc>
      </w:tr>
      <w:tr>
        <w:trPr>
          <w:trHeight w:val="187"/>
        </w:trPr>
        <w:tc>
          <w:tcPr>
            <w:tcW w:w="1680" w:type="dxa"/>
            <w:vAlign w:val="bottom"/>
            <w:shd w:val="clear" w:color="auto" w:fill="DBDBDB"/>
          </w:tcPr>
          <w:p>
            <w:pPr>
              <w:ind w:left="140"/>
              <w:spacing w:after="0"/>
              <w:rPr>
                <w:sz w:val="20"/>
                <w:szCs w:val="20"/>
                <w:color w:val="auto"/>
              </w:rPr>
            </w:pPr>
            <w:r>
              <w:rPr>
                <w:rFonts w:ascii="Arial" w:cs="Arial" w:eastAsia="Arial" w:hAnsi="Arial"/>
                <w:sz w:val="12"/>
                <w:szCs w:val="12"/>
                <w:color w:val="auto"/>
              </w:rPr>
              <w:t>Stock Options</w:t>
            </w:r>
          </w:p>
        </w:tc>
        <w:tc>
          <w:tcPr>
            <w:tcW w:w="76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4"/>
              </w:rPr>
              <w:t>12/23/24</w:t>
            </w:r>
          </w:p>
        </w:tc>
        <w:tc>
          <w:tcPr>
            <w:tcW w:w="72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4"/>
              </w:rPr>
              <w:t>12/10/24</w:t>
            </w:r>
          </w:p>
        </w:tc>
        <w:tc>
          <w:tcPr>
            <w:tcW w:w="7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45"/>
              <w:spacing w:after="0"/>
              <w:rPr>
                <w:sz w:val="20"/>
                <w:szCs w:val="20"/>
                <w:color w:val="auto"/>
              </w:rPr>
            </w:pPr>
            <w:r>
              <w:rPr>
                <w:rFonts w:ascii="Arial" w:cs="Arial" w:eastAsia="Arial" w:hAnsi="Arial"/>
                <w:sz w:val="12"/>
                <w:szCs w:val="12"/>
                <w:color w:val="auto"/>
              </w:rPr>
              <w:t>13,554</w:t>
            </w:r>
          </w:p>
        </w:tc>
        <w:tc>
          <w:tcPr>
            <w:tcW w:w="760" w:type="dxa"/>
            <w:vAlign w:val="bottom"/>
            <w:shd w:val="clear" w:color="auto" w:fill="DBDBDB"/>
          </w:tcPr>
          <w:p>
            <w:pPr>
              <w:jc w:val="right"/>
              <w:ind w:right="25"/>
              <w:spacing w:after="0"/>
              <w:rPr>
                <w:sz w:val="20"/>
                <w:szCs w:val="20"/>
                <w:color w:val="auto"/>
              </w:rPr>
            </w:pPr>
            <w:r>
              <w:rPr>
                <w:rFonts w:ascii="Arial" w:cs="Arial" w:eastAsia="Arial" w:hAnsi="Arial"/>
                <w:sz w:val="12"/>
                <w:szCs w:val="12"/>
                <w:color w:val="auto"/>
              </w:rPr>
              <w:t>80.21</w:t>
            </w:r>
          </w:p>
        </w:tc>
        <w:tc>
          <w:tcPr>
            <w:tcW w:w="7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354,844</w:t>
            </w:r>
          </w:p>
        </w:tc>
      </w:tr>
      <w:tr>
        <w:trPr>
          <w:trHeight w:val="198"/>
        </w:trPr>
        <w:tc>
          <w:tcPr>
            <w:tcW w:w="16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2"/>
                <w:szCs w:val="12"/>
                <w:color w:val="auto"/>
              </w:rPr>
              <w:t>Restricted Stock Units</w:t>
            </w:r>
          </w:p>
        </w:tc>
        <w:tc>
          <w:tcPr>
            <w:tcW w:w="7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2"/>
                <w:szCs w:val="12"/>
                <w:color w:val="auto"/>
                <w:w w:val="94"/>
              </w:rPr>
              <w:t>10/10/25</w:t>
            </w:r>
          </w:p>
        </w:tc>
        <w:tc>
          <w:tcPr>
            <w:tcW w:w="7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2"/>
                <w:szCs w:val="12"/>
                <w:color w:val="auto"/>
                <w:w w:val="94"/>
              </w:rPr>
              <w:t>09/23/25</w:t>
            </w:r>
          </w:p>
        </w:tc>
        <w:tc>
          <w:tcPr>
            <w:tcW w:w="780" w:type="dxa"/>
            <w:vAlign w:val="bottom"/>
            <w:tcBorders>
              <w:bottom w:val="single" w:sz="8" w:color="DBDBDB"/>
            </w:tcBorders>
            <w:shd w:val="clear" w:color="auto" w:fill="DBDBDB"/>
          </w:tcPr>
          <w:p>
            <w:pPr>
              <w:spacing w:after="0"/>
              <w:rPr>
                <w:sz w:val="17"/>
                <w:szCs w:val="17"/>
                <w:color w:val="auto"/>
              </w:rPr>
            </w:pPr>
          </w:p>
        </w:tc>
        <w:tc>
          <w:tcPr>
            <w:tcW w:w="86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ind w:right="45"/>
              <w:spacing w:after="0"/>
              <w:rPr>
                <w:sz w:val="20"/>
                <w:szCs w:val="20"/>
                <w:color w:val="auto"/>
              </w:rPr>
            </w:pPr>
            <w:r>
              <w:rPr>
                <w:rFonts w:ascii="Arial" w:cs="Arial" w:eastAsia="Arial" w:hAnsi="Arial"/>
                <w:sz w:val="12"/>
                <w:szCs w:val="12"/>
                <w:color w:val="auto"/>
              </w:rPr>
              <w:t>20,632</w:t>
            </w:r>
          </w:p>
        </w:tc>
        <w:tc>
          <w:tcPr>
            <w:tcW w:w="92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1,499,946</w:t>
            </w:r>
          </w:p>
        </w:tc>
      </w:tr>
      <w:tr>
        <w:trPr>
          <w:trHeight w:val="156"/>
        </w:trPr>
        <w:tc>
          <w:tcPr>
            <w:tcW w:w="1680" w:type="dxa"/>
            <w:vAlign w:val="bottom"/>
          </w:tcPr>
          <w:p>
            <w:pPr>
              <w:ind w:left="20"/>
              <w:spacing w:after="0"/>
              <w:rPr>
                <w:sz w:val="20"/>
                <w:szCs w:val="20"/>
                <w:color w:val="auto"/>
              </w:rPr>
            </w:pPr>
            <w:r>
              <w:rPr>
                <w:rFonts w:ascii="Arial" w:cs="Arial" w:eastAsia="Arial" w:hAnsi="Arial"/>
                <w:sz w:val="12"/>
                <w:szCs w:val="12"/>
                <w:color w:val="auto"/>
              </w:rPr>
              <w:t>Gregory S. Janey</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Annual Cash Incentive</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154,217</w:t>
            </w:r>
          </w:p>
        </w:tc>
        <w:tc>
          <w:tcPr>
            <w:tcW w:w="860" w:type="dxa"/>
            <w:vAlign w:val="bottom"/>
          </w:tcPr>
          <w:p>
            <w:pPr>
              <w:jc w:val="right"/>
              <w:ind w:right="24"/>
              <w:spacing w:after="0"/>
              <w:rPr>
                <w:sz w:val="20"/>
                <w:szCs w:val="20"/>
                <w:color w:val="auto"/>
              </w:rPr>
            </w:pPr>
            <w:r>
              <w:rPr>
                <w:rFonts w:ascii="Arial" w:cs="Arial" w:eastAsia="Arial" w:hAnsi="Arial"/>
                <w:sz w:val="12"/>
                <w:szCs w:val="12"/>
                <w:color w:val="auto"/>
              </w:rPr>
              <w:t>308,433</w:t>
            </w:r>
          </w:p>
        </w:tc>
        <w:tc>
          <w:tcPr>
            <w:tcW w:w="780" w:type="dxa"/>
            <w:vAlign w:val="bottom"/>
          </w:tcPr>
          <w:p>
            <w:pPr>
              <w:jc w:val="right"/>
              <w:ind w:right="23"/>
              <w:spacing w:after="0"/>
              <w:rPr>
                <w:sz w:val="20"/>
                <w:szCs w:val="20"/>
                <w:color w:val="auto"/>
              </w:rPr>
            </w:pPr>
            <w:r>
              <w:rPr>
                <w:rFonts w:ascii="Arial" w:cs="Arial" w:eastAsia="Arial" w:hAnsi="Arial"/>
                <w:sz w:val="12"/>
                <w:szCs w:val="12"/>
                <w:color w:val="auto"/>
              </w:rPr>
              <w:t>616,866</w:t>
            </w: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Performance Shares</w:t>
            </w:r>
          </w:p>
        </w:tc>
        <w:tc>
          <w:tcPr>
            <w:tcW w:w="760" w:type="dxa"/>
            <w:vAlign w:val="bottom"/>
          </w:tcPr>
          <w:p>
            <w:pPr>
              <w:jc w:val="center"/>
              <w:spacing w:after="0"/>
              <w:rPr>
                <w:sz w:val="20"/>
                <w:szCs w:val="20"/>
                <w:color w:val="auto"/>
              </w:rPr>
            </w:pPr>
            <w:r>
              <w:rPr>
                <w:rFonts w:ascii="Arial" w:cs="Arial" w:eastAsia="Arial" w:hAnsi="Arial"/>
                <w:sz w:val="12"/>
                <w:szCs w:val="12"/>
                <w:color w:val="auto"/>
                <w:w w:val="94"/>
              </w:rPr>
              <w:t>12/23/24</w:t>
            </w: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12/10/24</w:t>
            </w: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jc w:val="right"/>
              <w:ind w:right="4"/>
              <w:spacing w:after="0"/>
              <w:rPr>
                <w:sz w:val="20"/>
                <w:szCs w:val="20"/>
                <w:color w:val="auto"/>
              </w:rPr>
            </w:pPr>
            <w:r>
              <w:rPr>
                <w:rFonts w:ascii="Arial" w:cs="Arial" w:eastAsia="Arial" w:hAnsi="Arial"/>
                <w:sz w:val="12"/>
                <w:szCs w:val="12"/>
                <w:color w:val="auto"/>
              </w:rPr>
              <w:t>3,139</w:t>
            </w:r>
          </w:p>
        </w:tc>
        <w:tc>
          <w:tcPr>
            <w:tcW w:w="680" w:type="dxa"/>
            <w:vAlign w:val="bottom"/>
          </w:tcPr>
          <w:p>
            <w:pPr>
              <w:jc w:val="right"/>
              <w:ind w:right="24"/>
              <w:spacing w:after="0"/>
              <w:rPr>
                <w:sz w:val="20"/>
                <w:szCs w:val="20"/>
                <w:color w:val="auto"/>
              </w:rPr>
            </w:pPr>
            <w:r>
              <w:rPr>
                <w:rFonts w:ascii="Arial" w:cs="Arial" w:eastAsia="Arial" w:hAnsi="Arial"/>
                <w:sz w:val="12"/>
                <w:szCs w:val="12"/>
                <w:color w:val="auto"/>
              </w:rPr>
              <w:t>6,277</w:t>
            </w:r>
          </w:p>
        </w:tc>
        <w:tc>
          <w:tcPr>
            <w:tcW w:w="740" w:type="dxa"/>
            <w:vAlign w:val="bottom"/>
          </w:tcPr>
          <w:p>
            <w:pPr>
              <w:jc w:val="right"/>
              <w:ind w:right="23"/>
              <w:spacing w:after="0"/>
              <w:rPr>
                <w:sz w:val="20"/>
                <w:szCs w:val="20"/>
                <w:color w:val="auto"/>
              </w:rPr>
            </w:pPr>
            <w:r>
              <w:rPr>
                <w:rFonts w:ascii="Arial" w:cs="Arial" w:eastAsia="Arial" w:hAnsi="Arial"/>
                <w:sz w:val="12"/>
                <w:szCs w:val="12"/>
                <w:color w:val="auto"/>
              </w:rPr>
              <w:t>12,554</w:t>
            </w: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503,478</w:t>
            </w: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Stock Options</w:t>
            </w:r>
          </w:p>
        </w:tc>
        <w:tc>
          <w:tcPr>
            <w:tcW w:w="760" w:type="dxa"/>
            <w:vAlign w:val="bottom"/>
          </w:tcPr>
          <w:p>
            <w:pPr>
              <w:jc w:val="center"/>
              <w:spacing w:after="0"/>
              <w:rPr>
                <w:sz w:val="20"/>
                <w:szCs w:val="20"/>
                <w:color w:val="auto"/>
              </w:rPr>
            </w:pPr>
            <w:r>
              <w:rPr>
                <w:rFonts w:ascii="Arial" w:cs="Arial" w:eastAsia="Arial" w:hAnsi="Arial"/>
                <w:sz w:val="12"/>
                <w:szCs w:val="12"/>
                <w:color w:val="auto"/>
                <w:w w:val="94"/>
              </w:rPr>
              <w:t>12/23/24</w:t>
            </w: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12/10/24</w:t>
            </w: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jc w:val="right"/>
              <w:ind w:right="85"/>
              <w:spacing w:after="0"/>
              <w:rPr>
                <w:sz w:val="20"/>
                <w:szCs w:val="20"/>
                <w:color w:val="auto"/>
              </w:rPr>
            </w:pPr>
            <w:r>
              <w:rPr>
                <w:rFonts w:ascii="Arial" w:cs="Arial" w:eastAsia="Arial" w:hAnsi="Arial"/>
                <w:sz w:val="12"/>
                <w:szCs w:val="12"/>
                <w:color w:val="auto"/>
              </w:rPr>
              <w:t>13,554</w:t>
            </w:r>
          </w:p>
        </w:tc>
        <w:tc>
          <w:tcPr>
            <w:tcW w:w="760" w:type="dxa"/>
            <w:vAlign w:val="bottom"/>
          </w:tcPr>
          <w:p>
            <w:pPr>
              <w:jc w:val="right"/>
              <w:ind w:right="25"/>
              <w:spacing w:after="0"/>
              <w:rPr>
                <w:sz w:val="20"/>
                <w:szCs w:val="20"/>
                <w:color w:val="auto"/>
              </w:rPr>
            </w:pPr>
            <w:r>
              <w:rPr>
                <w:rFonts w:ascii="Arial" w:cs="Arial" w:eastAsia="Arial" w:hAnsi="Arial"/>
                <w:sz w:val="12"/>
                <w:szCs w:val="12"/>
                <w:color w:val="auto"/>
              </w:rPr>
              <w:t>80.21</w:t>
            </w:r>
          </w:p>
        </w:tc>
        <w:tc>
          <w:tcPr>
            <w:tcW w:w="720" w:type="dxa"/>
            <w:vAlign w:val="bottom"/>
          </w:tcPr>
          <w:p>
            <w:pPr>
              <w:jc w:val="right"/>
              <w:spacing w:after="0"/>
              <w:rPr>
                <w:sz w:val="20"/>
                <w:szCs w:val="20"/>
                <w:color w:val="auto"/>
              </w:rPr>
            </w:pPr>
            <w:r>
              <w:rPr>
                <w:rFonts w:ascii="Arial" w:cs="Arial" w:eastAsia="Arial" w:hAnsi="Arial"/>
                <w:sz w:val="12"/>
                <w:szCs w:val="12"/>
                <w:color w:val="auto"/>
              </w:rPr>
              <w:t>354,844</w:t>
            </w: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Restricted Stock Units</w:t>
            </w:r>
          </w:p>
        </w:tc>
        <w:tc>
          <w:tcPr>
            <w:tcW w:w="760" w:type="dxa"/>
            <w:vAlign w:val="bottom"/>
          </w:tcPr>
          <w:p>
            <w:pPr>
              <w:jc w:val="center"/>
              <w:spacing w:after="0"/>
              <w:rPr>
                <w:sz w:val="20"/>
                <w:szCs w:val="20"/>
                <w:color w:val="auto"/>
              </w:rPr>
            </w:pPr>
            <w:r>
              <w:rPr>
                <w:rFonts w:ascii="Arial" w:cs="Arial" w:eastAsia="Arial" w:hAnsi="Arial"/>
                <w:sz w:val="12"/>
                <w:szCs w:val="12"/>
                <w:color w:val="auto"/>
                <w:w w:val="94"/>
              </w:rPr>
              <w:t>10/10/25</w:t>
            </w: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09/23/25</w:t>
            </w: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Arial" w:cs="Arial" w:eastAsia="Arial" w:hAnsi="Arial"/>
                <w:sz w:val="12"/>
                <w:szCs w:val="12"/>
                <w:color w:val="auto"/>
              </w:rPr>
              <w:t>20,632</w:t>
            </w: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1,499,946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2004060</wp:posOffset>
            </wp:positionH>
            <wp:positionV relativeFrom="paragraph">
              <wp:posOffset>-2919730</wp:posOffset>
            </wp:positionV>
            <wp:extent cx="28892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88925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138430</wp:posOffset>
            </wp:positionV>
            <wp:extent cx="19913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314" w:lineRule="exact"/>
        <w:rPr>
          <w:sz w:val="20"/>
          <w:szCs w:val="20"/>
          <w:color w:val="auto"/>
        </w:rPr>
      </w:pPr>
    </w:p>
    <w:p>
      <w:pPr>
        <w:ind w:left="320" w:hanging="313"/>
        <w:spacing w:after="0" w:line="262" w:lineRule="auto"/>
        <w:tabs>
          <w:tab w:leader="none" w:pos="308"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Amounts reported represent the range of payouts of annual cash incentive awards for fiscal 2025. Actual payout amounts for fiscal 2025 are included in the Summary Compensation Table in the Non-Equity Incentive Plan Compensation column.</w:t>
      </w:r>
    </w:p>
    <w:p>
      <w:pPr>
        <w:spacing w:after="0" w:line="1" w:lineRule="exact"/>
        <w:rPr>
          <w:rFonts w:ascii="Arial" w:cs="Arial" w:eastAsia="Arial" w:hAnsi="Arial"/>
          <w:sz w:val="18"/>
          <w:szCs w:val="18"/>
          <w:color w:val="auto"/>
        </w:rPr>
      </w:pPr>
    </w:p>
    <w:p>
      <w:pPr>
        <w:jc w:val="both"/>
        <w:ind w:left="320" w:hanging="313"/>
        <w:spacing w:after="0" w:line="239" w:lineRule="auto"/>
        <w:tabs>
          <w:tab w:leader="none" w:pos="308"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Amounts reported represent the range of performance share award payouts for the fiscal 2025 to fiscal 2027 performance period. Information regarding the performance share awards is set forth within the Compensation Discussion and Analysis under Long-Term Incentives—Performance Share Awards.</w:t>
      </w:r>
    </w:p>
    <w:p>
      <w:pPr>
        <w:spacing w:after="0" w:line="22" w:lineRule="exact"/>
        <w:rPr>
          <w:rFonts w:ascii="Arial" w:cs="Arial" w:eastAsia="Arial" w:hAnsi="Arial"/>
          <w:sz w:val="18"/>
          <w:szCs w:val="18"/>
          <w:color w:val="auto"/>
        </w:rPr>
      </w:pPr>
    </w:p>
    <w:p>
      <w:pPr>
        <w:ind w:left="320" w:hanging="313"/>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Amount reported represents restricted stock unit awards granted to each of Messrs. Funk, Moeller and Janey.</w:t>
      </w:r>
    </w:p>
    <w:p>
      <w:pPr>
        <w:spacing w:after="0" w:line="33" w:lineRule="exact"/>
        <w:rPr>
          <w:rFonts w:ascii="Arial" w:cs="Arial" w:eastAsia="Arial" w:hAnsi="Arial"/>
          <w:sz w:val="18"/>
          <w:szCs w:val="18"/>
          <w:color w:val="auto"/>
        </w:rPr>
      </w:pPr>
    </w:p>
    <w:p>
      <w:pPr>
        <w:ind w:left="320" w:hanging="313"/>
        <w:spacing w:after="0" w:line="262" w:lineRule="auto"/>
        <w:tabs>
          <w:tab w:leader="none" w:pos="308"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Amounts reported represent stock options granted during fiscal 2025, all of which were granted on December 23, 2024, have a ten-year term and vest in three equal installments on each of the first, second and third year anniversaries of the grant date.</w:t>
      </w:r>
    </w:p>
    <w:p>
      <w:pPr>
        <w:spacing w:after="0" w:line="1" w:lineRule="exact"/>
        <w:rPr>
          <w:rFonts w:ascii="Arial" w:cs="Arial" w:eastAsia="Arial" w:hAnsi="Arial"/>
          <w:sz w:val="18"/>
          <w:szCs w:val="18"/>
          <w:color w:val="auto"/>
        </w:rPr>
      </w:pPr>
    </w:p>
    <w:p>
      <w:pPr>
        <w:ind w:left="320" w:hanging="313"/>
        <w:spacing w:after="0" w:line="246" w:lineRule="auto"/>
        <w:tabs>
          <w:tab w:leader="none" w:pos="308"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Amounts reported represent the exercise price of stock options granted during fiscal 2025, which equals the closing price of our common stock on December 23, 2024, of $80.21.</w:t>
      </w:r>
    </w:p>
    <w:p>
      <w:pPr>
        <w:spacing w:after="0" w:line="15" w:lineRule="exact"/>
        <w:rPr>
          <w:rFonts w:ascii="Arial" w:cs="Arial" w:eastAsia="Arial" w:hAnsi="Arial"/>
          <w:sz w:val="18"/>
          <w:szCs w:val="18"/>
          <w:color w:val="auto"/>
        </w:rPr>
      </w:pPr>
    </w:p>
    <w:p>
      <w:pPr>
        <w:jc w:val="both"/>
        <w:ind w:left="320" w:hanging="313"/>
        <w:spacing w:after="0" w:line="231" w:lineRule="auto"/>
        <w:tabs>
          <w:tab w:leader="none" w:pos="308"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Amounts reported represent the grant date fair value of performance share awards at target granted for the fiscal 2025 to fiscal 2027 performance period and option awards for all NEOs, each as computed in accordance with FASB ASC Topic 718. The grant date fair value of the performance share awards is based on the closing price of our common stock on December 23, 2024, the grant date, of $80.21. The grant date fair value of the restricted stock unit award granted to Mr. Funk is based on the closing price of our common stock on September 2, 2025, the grant date, of $81.44. The grant date fair value of the restricted stock unit awards granted to Messrs. Moeller and Janey is based on the closing price of our common stock on October 10, 2025, the grant date, of $72.70. The grant date fair value of the performance share awards and restricted stock unit awards are also set forth in the Summary Compensation Table in the Stock Awards column. The grant date fair value of the option awards is based on a Black-Scholes model valuation of $26.18 on the December 23, 2024 grant date. The specific assumptions used in the valuation of the options are included in footnote 4 to the Summary Compensation Table. The option amounts are also set forth in the Summary Compensation Table in the Option Awards column.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62" w:name="page63"/>
    <w:bookmarkEnd w:id="62"/>
    <w:p>
      <w:pPr>
        <w:ind w:right="120"/>
        <w:spacing w:after="0" w:line="277" w:lineRule="auto"/>
        <w:rPr>
          <w:sz w:val="20"/>
          <w:szCs w:val="20"/>
          <w:color w:val="auto"/>
        </w:rPr>
      </w:pPr>
      <w:r>
        <w:rPr>
          <w:rFonts w:ascii="Arial" w:cs="Arial" w:eastAsia="Arial" w:hAnsi="Arial"/>
          <w:sz w:val="20"/>
          <w:szCs w:val="20"/>
          <w:b w:val="1"/>
          <w:bCs w:val="1"/>
          <w:color w:val="C00000"/>
        </w:rPr>
        <w:t>Policies and Practices Related to the Grant of Certain Equity Awards Close in Time to the Release of Material Nonpublic Information</w:t>
      </w:r>
    </w:p>
    <w:p>
      <w:pPr>
        <w:spacing w:after="0" w:line="23" w:lineRule="exact"/>
        <w:rPr>
          <w:sz w:val="20"/>
          <w:szCs w:val="20"/>
          <w:color w:val="auto"/>
        </w:rPr>
      </w:pPr>
    </w:p>
    <w:p>
      <w:pPr>
        <w:jc w:val="both"/>
        <w:ind w:firstLine="388"/>
        <w:spacing w:after="0" w:line="241" w:lineRule="auto"/>
        <w:rPr>
          <w:sz w:val="20"/>
          <w:szCs w:val="20"/>
          <w:color w:val="auto"/>
        </w:rPr>
      </w:pPr>
      <w:r>
        <w:rPr>
          <w:rFonts w:ascii="Arial" w:cs="Arial" w:eastAsia="Arial" w:hAnsi="Arial"/>
          <w:sz w:val="18"/>
          <w:szCs w:val="18"/>
          <w:color w:val="242424"/>
        </w:rPr>
        <w:t>Our policy is to not grant stock options or similar awards in anticipation of the release of material nonpublic information that is likely to result in no changes to the price of our common stock, such as a significant positive or negative earnings announcement, and not time the</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242424"/>
        </w:rPr>
        <w:t>public release of such information based on stock option grant dates. In addition, it is our policy to not grant stock options or similar awards during periods in which there is material nonpublic information about our company, including (i) during “blackout” periods or outside a “trading</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242424"/>
        </w:rPr>
        <w:t>window” established in connection with the public release of earnings information under our insider trading policy or (ii) at any time during the four business days prior to or the one business day following the filing of our periodic reports or the filing or furnishing of a Form 8-K that discloses material nonpublic information. With respect to our annual equity grants, the Compensation &amp; Human Resources Committee typically approves such grants at its regular meeting held in December of each year. If the Committee’s meeting is held before the filing of our annual report on Form 10-K for the recently completed fiscal year, then such equity grants will typically be granted effective as of the fourth trading day following the filing of our annual report on Form 10-K for such recently completed fiscal year (with the first day being the filing date), and any options granted will have a per share exercise price equal to the closing price of our common stock on the grant date. Although the Committee may decide, in its sole discretion, to deviate from this equity grant timing depending upon facts and circumstances (i.e., a pending material business development), we did not deviate from this timing during fiscal 2025 or time the disclosure of material nonpublic information for the purpose of affecting the value of executive compensation.</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Outstanding Equity Awards at Fiscal Year-End for 2025</w:t>
      </w:r>
    </w:p>
    <w:p>
      <w:pPr>
        <w:spacing w:after="0" w:line="97" w:lineRule="exact"/>
        <w:rPr>
          <w:sz w:val="20"/>
          <w:szCs w:val="20"/>
          <w:color w:val="auto"/>
        </w:rPr>
      </w:pPr>
    </w:p>
    <w:p>
      <w:pPr>
        <w:jc w:val="both"/>
        <w:ind w:firstLine="388"/>
        <w:spacing w:after="0" w:line="254" w:lineRule="auto"/>
        <w:rPr>
          <w:sz w:val="20"/>
          <w:szCs w:val="20"/>
          <w:color w:val="auto"/>
        </w:rPr>
      </w:pPr>
      <w:r>
        <w:rPr>
          <w:rFonts w:ascii="Arial" w:cs="Arial" w:eastAsia="Arial" w:hAnsi="Arial"/>
          <w:sz w:val="18"/>
          <w:szCs w:val="18"/>
          <w:color w:val="auto"/>
        </w:rPr>
        <w:t>The following table summarizes all outstanding equity awards previously granted to our NEOs that were outstanding on October 31, 2025, the last day of fiscal 2025. Specifically, it reflects exercisable and unexercisable stock options, unvested restricted stock unit awards and unvested performance share awards.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40" w:type="dxa"/>
            <w:vAlign w:val="bottom"/>
            <w:shd w:val="clear" w:color="auto" w:fill="BF2115"/>
          </w:tcPr>
          <w:p>
            <w:pPr>
              <w:spacing w:after="0"/>
              <w:rPr>
                <w:sz w:val="14"/>
                <w:szCs w:val="14"/>
                <w:color w:val="auto"/>
              </w:rPr>
            </w:pPr>
          </w:p>
        </w:tc>
        <w:tc>
          <w:tcPr>
            <w:tcW w:w="1160" w:type="dxa"/>
            <w:vAlign w:val="bottom"/>
            <w:shd w:val="clear" w:color="auto" w:fill="BF2115"/>
          </w:tcPr>
          <w:p>
            <w:pPr>
              <w:spacing w:after="0"/>
              <w:rPr>
                <w:sz w:val="14"/>
                <w:szCs w:val="14"/>
                <w:color w:val="auto"/>
              </w:rPr>
            </w:pPr>
          </w:p>
        </w:tc>
        <w:tc>
          <w:tcPr>
            <w:tcW w:w="2380" w:type="dxa"/>
            <w:vAlign w:val="bottom"/>
            <w:gridSpan w:val="2"/>
            <w:shd w:val="clear" w:color="auto" w:fill="BF2115"/>
          </w:tcPr>
          <w:p>
            <w:pPr>
              <w:jc w:val="right"/>
              <w:ind w:right="740"/>
              <w:spacing w:after="0"/>
              <w:rPr>
                <w:sz w:val="20"/>
                <w:szCs w:val="20"/>
                <w:color w:val="auto"/>
              </w:rPr>
            </w:pPr>
            <w:r>
              <w:rPr>
                <w:rFonts w:ascii="Arial" w:cs="Arial" w:eastAsia="Arial" w:hAnsi="Arial"/>
                <w:sz w:val="11"/>
                <w:szCs w:val="11"/>
                <w:b w:val="1"/>
                <w:bCs w:val="1"/>
                <w:color w:val="FFFFFF"/>
              </w:rPr>
              <w:t>Option Awards</w:t>
            </w:r>
          </w:p>
        </w:tc>
        <w:tc>
          <w:tcPr>
            <w:tcW w:w="1180" w:type="dxa"/>
            <w:vAlign w:val="bottom"/>
            <w:shd w:val="clear" w:color="auto" w:fill="BF2115"/>
          </w:tcPr>
          <w:p>
            <w:pPr>
              <w:spacing w:after="0"/>
              <w:rPr>
                <w:sz w:val="14"/>
                <w:szCs w:val="14"/>
                <w:color w:val="auto"/>
              </w:rPr>
            </w:pPr>
          </w:p>
        </w:tc>
        <w:tc>
          <w:tcPr>
            <w:tcW w:w="720" w:type="dxa"/>
            <w:vAlign w:val="bottom"/>
            <w:shd w:val="clear" w:color="auto" w:fill="BF2115"/>
          </w:tcPr>
          <w:p>
            <w:pPr>
              <w:spacing w:after="0"/>
              <w:rPr>
                <w:sz w:val="14"/>
                <w:szCs w:val="14"/>
                <w:color w:val="auto"/>
              </w:rPr>
            </w:pPr>
          </w:p>
        </w:tc>
        <w:tc>
          <w:tcPr>
            <w:tcW w:w="960" w:type="dxa"/>
            <w:vAlign w:val="bottom"/>
            <w:shd w:val="clear" w:color="auto" w:fill="BF2115"/>
          </w:tcPr>
          <w:p>
            <w:pPr>
              <w:spacing w:after="0"/>
              <w:rPr>
                <w:sz w:val="14"/>
                <w:szCs w:val="14"/>
                <w:color w:val="auto"/>
              </w:rPr>
            </w:pPr>
          </w:p>
        </w:tc>
        <w:tc>
          <w:tcPr>
            <w:tcW w:w="1420" w:type="dxa"/>
            <w:vAlign w:val="bottom"/>
            <w:gridSpan w:val="2"/>
            <w:shd w:val="clear" w:color="auto" w:fill="BF2115"/>
          </w:tcPr>
          <w:p>
            <w:pPr>
              <w:jc w:val="right"/>
              <w:ind w:right="545"/>
              <w:spacing w:after="0"/>
              <w:rPr>
                <w:sz w:val="20"/>
                <w:szCs w:val="20"/>
                <w:color w:val="auto"/>
              </w:rPr>
            </w:pPr>
            <w:r>
              <w:rPr>
                <w:rFonts w:ascii="Arial" w:cs="Arial" w:eastAsia="Arial" w:hAnsi="Arial"/>
                <w:sz w:val="11"/>
                <w:szCs w:val="11"/>
                <w:b w:val="1"/>
                <w:bCs w:val="1"/>
                <w:color w:val="FFFFFF"/>
              </w:rPr>
              <w:t>Stock Awards</w:t>
            </w:r>
          </w:p>
        </w:tc>
        <w:tc>
          <w:tcPr>
            <w:tcW w:w="1180" w:type="dxa"/>
            <w:vAlign w:val="bottom"/>
            <w:shd w:val="clear" w:color="auto" w:fill="BF2115"/>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40" w:type="dxa"/>
            <w:vAlign w:val="bottom"/>
            <w:shd w:val="clear" w:color="auto" w:fill="BF2115"/>
          </w:tcPr>
          <w:p>
            <w:pPr>
              <w:spacing w:after="0"/>
              <w:rPr>
                <w:sz w:val="16"/>
                <w:szCs w:val="16"/>
                <w:color w:val="auto"/>
              </w:rPr>
            </w:pPr>
          </w:p>
        </w:tc>
        <w:tc>
          <w:tcPr>
            <w:tcW w:w="1160" w:type="dxa"/>
            <w:vAlign w:val="bottom"/>
            <w:shd w:val="clear" w:color="auto" w:fill="BF2115"/>
          </w:tcPr>
          <w:p>
            <w:pPr>
              <w:spacing w:after="0"/>
              <w:rPr>
                <w:sz w:val="16"/>
                <w:szCs w:val="16"/>
                <w:color w:val="auto"/>
              </w:rPr>
            </w:pPr>
          </w:p>
        </w:tc>
        <w:tc>
          <w:tcPr>
            <w:tcW w:w="1200" w:type="dxa"/>
            <w:vAlign w:val="bottom"/>
            <w:shd w:val="clear" w:color="auto" w:fill="BF2115"/>
          </w:tcPr>
          <w:p>
            <w:pPr>
              <w:spacing w:after="0"/>
              <w:rPr>
                <w:sz w:val="16"/>
                <w:szCs w:val="16"/>
                <w:color w:val="auto"/>
              </w:rPr>
            </w:pPr>
          </w:p>
        </w:tc>
        <w:tc>
          <w:tcPr>
            <w:tcW w:w="1180" w:type="dxa"/>
            <w:vAlign w:val="bottom"/>
            <w:shd w:val="clear" w:color="auto" w:fill="BF2115"/>
          </w:tcPr>
          <w:p>
            <w:pPr>
              <w:spacing w:after="0"/>
              <w:rPr>
                <w:sz w:val="16"/>
                <w:szCs w:val="16"/>
                <w:color w:val="auto"/>
              </w:rPr>
            </w:pPr>
          </w:p>
        </w:tc>
        <w:tc>
          <w:tcPr>
            <w:tcW w:w="1180" w:type="dxa"/>
            <w:vAlign w:val="bottom"/>
            <w:shd w:val="clear" w:color="auto" w:fill="BF2115"/>
          </w:tcPr>
          <w:p>
            <w:pPr>
              <w:spacing w:after="0"/>
              <w:rPr>
                <w:sz w:val="16"/>
                <w:szCs w:val="16"/>
                <w:color w:val="auto"/>
              </w:rPr>
            </w:pPr>
          </w:p>
        </w:tc>
        <w:tc>
          <w:tcPr>
            <w:tcW w:w="720" w:type="dxa"/>
            <w:vAlign w:val="bottom"/>
            <w:shd w:val="clear" w:color="auto" w:fill="BF2115"/>
          </w:tcPr>
          <w:p>
            <w:pPr>
              <w:spacing w:after="0"/>
              <w:rPr>
                <w:sz w:val="16"/>
                <w:szCs w:val="16"/>
                <w:color w:val="auto"/>
              </w:rPr>
            </w:pPr>
          </w:p>
        </w:tc>
        <w:tc>
          <w:tcPr>
            <w:tcW w:w="960" w:type="dxa"/>
            <w:vAlign w:val="bottom"/>
            <w:shd w:val="clear" w:color="auto" w:fill="BF2115"/>
          </w:tcPr>
          <w:p>
            <w:pPr>
              <w:spacing w:after="0"/>
              <w:rPr>
                <w:sz w:val="16"/>
                <w:szCs w:val="16"/>
                <w:color w:val="auto"/>
              </w:rPr>
            </w:pPr>
          </w:p>
        </w:tc>
        <w:tc>
          <w:tcPr>
            <w:tcW w:w="220" w:type="dxa"/>
            <w:vAlign w:val="bottom"/>
            <w:shd w:val="clear" w:color="auto" w:fill="BF2115"/>
          </w:tcPr>
          <w:p>
            <w:pPr>
              <w:spacing w:after="0"/>
              <w:rPr>
                <w:sz w:val="16"/>
                <w:szCs w:val="16"/>
                <w:color w:val="auto"/>
              </w:rPr>
            </w:pP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Equity</w:t>
            </w:r>
          </w:p>
        </w:tc>
        <w:tc>
          <w:tcPr>
            <w:tcW w:w="118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rPr>
              <w:t>Equity</w:t>
            </w:r>
          </w:p>
        </w:tc>
        <w:tc>
          <w:tcPr>
            <w:tcW w:w="0" w:type="dxa"/>
            <w:vAlign w:val="bottom"/>
          </w:tcPr>
          <w:p>
            <w:pPr>
              <w:spacing w:after="0"/>
              <w:rPr>
                <w:sz w:val="1"/>
                <w:szCs w:val="1"/>
                <w:color w:val="auto"/>
              </w:rPr>
            </w:pPr>
          </w:p>
        </w:tc>
      </w:tr>
      <w:tr>
        <w:trPr>
          <w:trHeight w:val="93"/>
        </w:trPr>
        <w:tc>
          <w:tcPr>
            <w:tcW w:w="2240" w:type="dxa"/>
            <w:vAlign w:val="bottom"/>
            <w:shd w:val="clear" w:color="auto" w:fill="BF2115"/>
          </w:tcPr>
          <w:p>
            <w:pPr>
              <w:spacing w:after="0"/>
              <w:rPr>
                <w:sz w:val="8"/>
                <w:szCs w:val="8"/>
                <w:color w:val="auto"/>
              </w:rPr>
            </w:pPr>
          </w:p>
        </w:tc>
        <w:tc>
          <w:tcPr>
            <w:tcW w:w="1160" w:type="dxa"/>
            <w:vAlign w:val="bottom"/>
            <w:shd w:val="clear" w:color="auto" w:fill="BF2115"/>
          </w:tcPr>
          <w:p>
            <w:pPr>
              <w:spacing w:after="0"/>
              <w:rPr>
                <w:sz w:val="8"/>
                <w:szCs w:val="8"/>
                <w:color w:val="auto"/>
              </w:rPr>
            </w:pPr>
          </w:p>
        </w:tc>
        <w:tc>
          <w:tcPr>
            <w:tcW w:w="120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720" w:type="dxa"/>
            <w:vAlign w:val="bottom"/>
            <w:shd w:val="clear" w:color="auto" w:fill="BF2115"/>
          </w:tcPr>
          <w:p>
            <w:pPr>
              <w:spacing w:after="0"/>
              <w:rPr>
                <w:sz w:val="8"/>
                <w:szCs w:val="8"/>
                <w:color w:val="auto"/>
              </w:rPr>
            </w:pPr>
          </w:p>
        </w:tc>
        <w:tc>
          <w:tcPr>
            <w:tcW w:w="960" w:type="dxa"/>
            <w:vAlign w:val="bottom"/>
            <w:shd w:val="clear" w:color="auto" w:fill="BF2115"/>
          </w:tcPr>
          <w:p>
            <w:pPr>
              <w:spacing w:after="0"/>
              <w:rPr>
                <w:sz w:val="8"/>
                <w:szCs w:val="8"/>
                <w:color w:val="auto"/>
              </w:rPr>
            </w:pPr>
          </w:p>
        </w:tc>
        <w:tc>
          <w:tcPr>
            <w:tcW w:w="220" w:type="dxa"/>
            <w:vAlign w:val="bottom"/>
            <w:shd w:val="clear" w:color="auto" w:fill="BF2115"/>
          </w:tcPr>
          <w:p>
            <w:pPr>
              <w:spacing w:after="0"/>
              <w:rPr>
                <w:sz w:val="8"/>
                <w:szCs w:val="8"/>
                <w:color w:val="auto"/>
              </w:rPr>
            </w:pPr>
          </w:p>
        </w:tc>
        <w:tc>
          <w:tcPr>
            <w:tcW w:w="1200" w:type="dxa"/>
            <w:vAlign w:val="bottom"/>
            <w:vMerge w:val="continue"/>
            <w:shd w:val="clear" w:color="auto" w:fill="BF2115"/>
          </w:tcPr>
          <w:p>
            <w:pPr>
              <w:spacing w:after="0"/>
              <w:rPr>
                <w:sz w:val="8"/>
                <w:szCs w:val="8"/>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Incentive</w:t>
            </w:r>
          </w:p>
        </w:tc>
        <w:tc>
          <w:tcPr>
            <w:tcW w:w="0" w:type="dxa"/>
            <w:vAlign w:val="bottom"/>
          </w:tcPr>
          <w:p>
            <w:pPr>
              <w:spacing w:after="0"/>
              <w:rPr>
                <w:sz w:val="1"/>
                <w:szCs w:val="1"/>
                <w:color w:val="auto"/>
              </w:rPr>
            </w:pPr>
          </w:p>
        </w:tc>
      </w:tr>
      <w:tr>
        <w:trPr>
          <w:trHeight w:val="40"/>
        </w:trPr>
        <w:tc>
          <w:tcPr>
            <w:tcW w:w="2240" w:type="dxa"/>
            <w:vAlign w:val="bottom"/>
            <w:shd w:val="clear" w:color="auto" w:fill="BF2115"/>
          </w:tcPr>
          <w:p>
            <w:pPr>
              <w:spacing w:after="0"/>
              <w:rPr>
                <w:sz w:val="3"/>
                <w:szCs w:val="3"/>
                <w:color w:val="auto"/>
              </w:rPr>
            </w:pPr>
          </w:p>
        </w:tc>
        <w:tc>
          <w:tcPr>
            <w:tcW w:w="1160" w:type="dxa"/>
            <w:vAlign w:val="bottom"/>
            <w:shd w:val="clear" w:color="auto" w:fill="BF2115"/>
          </w:tcPr>
          <w:p>
            <w:pPr>
              <w:spacing w:after="0"/>
              <w:rPr>
                <w:sz w:val="3"/>
                <w:szCs w:val="3"/>
                <w:color w:val="auto"/>
              </w:rPr>
            </w:pPr>
          </w:p>
        </w:tc>
        <w:tc>
          <w:tcPr>
            <w:tcW w:w="1200" w:type="dxa"/>
            <w:vAlign w:val="bottom"/>
            <w:shd w:val="clear" w:color="auto" w:fill="BF2115"/>
          </w:tcPr>
          <w:p>
            <w:pPr>
              <w:spacing w:after="0"/>
              <w:rPr>
                <w:sz w:val="3"/>
                <w:szCs w:val="3"/>
                <w:color w:val="auto"/>
              </w:rPr>
            </w:pPr>
          </w:p>
        </w:tc>
        <w:tc>
          <w:tcPr>
            <w:tcW w:w="1180" w:type="dxa"/>
            <w:vAlign w:val="bottom"/>
            <w:shd w:val="clear" w:color="auto" w:fill="BF2115"/>
          </w:tcPr>
          <w:p>
            <w:pPr>
              <w:spacing w:after="0"/>
              <w:rPr>
                <w:sz w:val="3"/>
                <w:szCs w:val="3"/>
                <w:color w:val="auto"/>
              </w:rPr>
            </w:pPr>
          </w:p>
        </w:tc>
        <w:tc>
          <w:tcPr>
            <w:tcW w:w="1180" w:type="dxa"/>
            <w:vAlign w:val="bottom"/>
            <w:shd w:val="clear" w:color="auto" w:fill="BF2115"/>
          </w:tcPr>
          <w:p>
            <w:pPr>
              <w:spacing w:after="0"/>
              <w:rPr>
                <w:sz w:val="3"/>
                <w:szCs w:val="3"/>
                <w:color w:val="auto"/>
              </w:rPr>
            </w:pPr>
          </w:p>
        </w:tc>
        <w:tc>
          <w:tcPr>
            <w:tcW w:w="720" w:type="dxa"/>
            <w:vAlign w:val="bottom"/>
            <w:shd w:val="clear" w:color="auto" w:fill="BF2115"/>
          </w:tcPr>
          <w:p>
            <w:pPr>
              <w:spacing w:after="0"/>
              <w:rPr>
                <w:sz w:val="3"/>
                <w:szCs w:val="3"/>
                <w:color w:val="auto"/>
              </w:rPr>
            </w:pPr>
          </w:p>
        </w:tc>
        <w:tc>
          <w:tcPr>
            <w:tcW w:w="960" w:type="dxa"/>
            <w:vAlign w:val="bottom"/>
            <w:shd w:val="clear" w:color="auto" w:fill="BF2115"/>
          </w:tcPr>
          <w:p>
            <w:pPr>
              <w:spacing w:after="0"/>
              <w:rPr>
                <w:sz w:val="3"/>
                <w:szCs w:val="3"/>
                <w:color w:val="auto"/>
              </w:rPr>
            </w:pPr>
          </w:p>
        </w:tc>
        <w:tc>
          <w:tcPr>
            <w:tcW w:w="220" w:type="dxa"/>
            <w:vAlign w:val="bottom"/>
            <w:shd w:val="clear" w:color="auto" w:fill="BF2115"/>
          </w:tcPr>
          <w:p>
            <w:pPr>
              <w:spacing w:after="0"/>
              <w:rPr>
                <w:sz w:val="3"/>
                <w:szCs w:val="3"/>
                <w:color w:val="auto"/>
              </w:rPr>
            </w:pP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rPr>
              <w:t>Incentive</w:t>
            </w:r>
          </w:p>
        </w:tc>
        <w:tc>
          <w:tcPr>
            <w:tcW w:w="1180" w:type="dxa"/>
            <w:vAlign w:val="bottom"/>
            <w:vMerge w:val="continue"/>
            <w:shd w:val="clear" w:color="auto" w:fill="BF2115"/>
          </w:tcPr>
          <w:p>
            <w:pPr>
              <w:spacing w:after="0"/>
              <w:rPr>
                <w:sz w:val="3"/>
                <w:szCs w:val="3"/>
                <w:color w:val="auto"/>
              </w:rPr>
            </w:pPr>
          </w:p>
        </w:tc>
        <w:tc>
          <w:tcPr>
            <w:tcW w:w="0" w:type="dxa"/>
            <w:vAlign w:val="bottom"/>
          </w:tcPr>
          <w:p>
            <w:pPr>
              <w:spacing w:after="0"/>
              <w:rPr>
                <w:sz w:val="1"/>
                <w:szCs w:val="1"/>
                <w:color w:val="auto"/>
              </w:rPr>
            </w:pPr>
          </w:p>
        </w:tc>
      </w:tr>
      <w:tr>
        <w:trPr>
          <w:trHeight w:val="93"/>
        </w:trPr>
        <w:tc>
          <w:tcPr>
            <w:tcW w:w="2240" w:type="dxa"/>
            <w:vAlign w:val="bottom"/>
            <w:shd w:val="clear" w:color="auto" w:fill="BF2115"/>
          </w:tcPr>
          <w:p>
            <w:pPr>
              <w:spacing w:after="0"/>
              <w:rPr>
                <w:sz w:val="8"/>
                <w:szCs w:val="8"/>
                <w:color w:val="auto"/>
              </w:rPr>
            </w:pPr>
          </w:p>
        </w:tc>
        <w:tc>
          <w:tcPr>
            <w:tcW w:w="1160" w:type="dxa"/>
            <w:vAlign w:val="bottom"/>
            <w:shd w:val="clear" w:color="auto" w:fill="BF2115"/>
          </w:tcPr>
          <w:p>
            <w:pPr>
              <w:spacing w:after="0"/>
              <w:rPr>
                <w:sz w:val="8"/>
                <w:szCs w:val="8"/>
                <w:color w:val="auto"/>
              </w:rPr>
            </w:pPr>
          </w:p>
        </w:tc>
        <w:tc>
          <w:tcPr>
            <w:tcW w:w="120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720" w:type="dxa"/>
            <w:vAlign w:val="bottom"/>
            <w:shd w:val="clear" w:color="auto" w:fill="BF2115"/>
          </w:tcPr>
          <w:p>
            <w:pPr>
              <w:spacing w:after="0"/>
              <w:rPr>
                <w:sz w:val="8"/>
                <w:szCs w:val="8"/>
                <w:color w:val="auto"/>
              </w:rPr>
            </w:pPr>
          </w:p>
        </w:tc>
        <w:tc>
          <w:tcPr>
            <w:tcW w:w="960" w:type="dxa"/>
            <w:vAlign w:val="bottom"/>
            <w:vMerge w:val="restart"/>
            <w:shd w:val="clear" w:color="auto" w:fill="BF2115"/>
          </w:tcPr>
          <w:p>
            <w:pPr>
              <w:jc w:val="center"/>
              <w:ind w:left="167"/>
              <w:spacing w:after="0"/>
              <w:rPr>
                <w:sz w:val="20"/>
                <w:szCs w:val="20"/>
                <w:color w:val="auto"/>
              </w:rPr>
            </w:pPr>
            <w:r>
              <w:rPr>
                <w:rFonts w:ascii="Arial" w:cs="Arial" w:eastAsia="Arial" w:hAnsi="Arial"/>
                <w:sz w:val="11"/>
                <w:szCs w:val="11"/>
                <w:b w:val="1"/>
                <w:bCs w:val="1"/>
                <w:color w:val="FFFFFF"/>
                <w:w w:val="95"/>
              </w:rPr>
              <w:t>Market</w:t>
            </w:r>
          </w:p>
        </w:tc>
        <w:tc>
          <w:tcPr>
            <w:tcW w:w="220" w:type="dxa"/>
            <w:vAlign w:val="bottom"/>
            <w:shd w:val="clear" w:color="auto" w:fill="BF2115"/>
          </w:tcPr>
          <w:p>
            <w:pPr>
              <w:spacing w:after="0"/>
              <w:rPr>
                <w:sz w:val="8"/>
                <w:szCs w:val="8"/>
                <w:color w:val="auto"/>
              </w:rPr>
            </w:pPr>
          </w:p>
        </w:tc>
        <w:tc>
          <w:tcPr>
            <w:tcW w:w="1200" w:type="dxa"/>
            <w:vAlign w:val="bottom"/>
            <w:vMerge w:val="continue"/>
            <w:shd w:val="clear" w:color="auto" w:fill="BF2115"/>
          </w:tcPr>
          <w:p>
            <w:pPr>
              <w:spacing w:after="0"/>
              <w:rPr>
                <w:sz w:val="8"/>
                <w:szCs w:val="8"/>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Plan Awards:</w:t>
            </w:r>
          </w:p>
        </w:tc>
        <w:tc>
          <w:tcPr>
            <w:tcW w:w="0" w:type="dxa"/>
            <w:vAlign w:val="bottom"/>
          </w:tcPr>
          <w:p>
            <w:pPr>
              <w:spacing w:after="0"/>
              <w:rPr>
                <w:sz w:val="1"/>
                <w:szCs w:val="1"/>
                <w:color w:val="auto"/>
              </w:rPr>
            </w:pPr>
          </w:p>
        </w:tc>
      </w:tr>
      <w:tr>
        <w:trPr>
          <w:trHeight w:val="40"/>
        </w:trPr>
        <w:tc>
          <w:tcPr>
            <w:tcW w:w="2240" w:type="dxa"/>
            <w:vAlign w:val="bottom"/>
            <w:shd w:val="clear" w:color="auto" w:fill="BF2115"/>
          </w:tcPr>
          <w:p>
            <w:pPr>
              <w:spacing w:after="0"/>
              <w:rPr>
                <w:sz w:val="3"/>
                <w:szCs w:val="3"/>
                <w:color w:val="auto"/>
              </w:rPr>
            </w:pPr>
          </w:p>
        </w:tc>
        <w:tc>
          <w:tcPr>
            <w:tcW w:w="1160" w:type="dxa"/>
            <w:vAlign w:val="bottom"/>
            <w:shd w:val="clear" w:color="auto" w:fill="BF2115"/>
          </w:tcPr>
          <w:p>
            <w:pPr>
              <w:spacing w:after="0"/>
              <w:rPr>
                <w:sz w:val="3"/>
                <w:szCs w:val="3"/>
                <w:color w:val="auto"/>
              </w:rPr>
            </w:pPr>
          </w:p>
        </w:tc>
        <w:tc>
          <w:tcPr>
            <w:tcW w:w="1200" w:type="dxa"/>
            <w:vAlign w:val="bottom"/>
            <w:shd w:val="clear" w:color="auto" w:fill="BF2115"/>
          </w:tcPr>
          <w:p>
            <w:pPr>
              <w:spacing w:after="0"/>
              <w:rPr>
                <w:sz w:val="3"/>
                <w:szCs w:val="3"/>
                <w:color w:val="auto"/>
              </w:rPr>
            </w:pPr>
          </w:p>
        </w:tc>
        <w:tc>
          <w:tcPr>
            <w:tcW w:w="1180" w:type="dxa"/>
            <w:vAlign w:val="bottom"/>
            <w:shd w:val="clear" w:color="auto" w:fill="BF2115"/>
          </w:tcPr>
          <w:p>
            <w:pPr>
              <w:spacing w:after="0"/>
              <w:rPr>
                <w:sz w:val="3"/>
                <w:szCs w:val="3"/>
                <w:color w:val="auto"/>
              </w:rPr>
            </w:pPr>
          </w:p>
        </w:tc>
        <w:tc>
          <w:tcPr>
            <w:tcW w:w="1180" w:type="dxa"/>
            <w:vAlign w:val="bottom"/>
            <w:shd w:val="clear" w:color="auto" w:fill="BF2115"/>
          </w:tcPr>
          <w:p>
            <w:pPr>
              <w:spacing w:after="0"/>
              <w:rPr>
                <w:sz w:val="3"/>
                <w:szCs w:val="3"/>
                <w:color w:val="auto"/>
              </w:rPr>
            </w:pPr>
          </w:p>
        </w:tc>
        <w:tc>
          <w:tcPr>
            <w:tcW w:w="720" w:type="dxa"/>
            <w:vAlign w:val="bottom"/>
            <w:shd w:val="clear" w:color="auto" w:fill="BF2115"/>
          </w:tcPr>
          <w:p>
            <w:pPr>
              <w:spacing w:after="0"/>
              <w:rPr>
                <w:sz w:val="3"/>
                <w:szCs w:val="3"/>
                <w:color w:val="auto"/>
              </w:rPr>
            </w:pPr>
          </w:p>
        </w:tc>
        <w:tc>
          <w:tcPr>
            <w:tcW w:w="960" w:type="dxa"/>
            <w:vAlign w:val="bottom"/>
            <w:vMerge w:val="continue"/>
            <w:shd w:val="clear" w:color="auto" w:fill="BF2115"/>
          </w:tcPr>
          <w:p>
            <w:pPr>
              <w:spacing w:after="0"/>
              <w:rPr>
                <w:sz w:val="3"/>
                <w:szCs w:val="3"/>
                <w:color w:val="auto"/>
              </w:rPr>
            </w:pPr>
          </w:p>
        </w:tc>
        <w:tc>
          <w:tcPr>
            <w:tcW w:w="220" w:type="dxa"/>
            <w:vAlign w:val="bottom"/>
            <w:shd w:val="clear" w:color="auto" w:fill="BF2115"/>
          </w:tcPr>
          <w:p>
            <w:pPr>
              <w:spacing w:after="0"/>
              <w:rPr>
                <w:sz w:val="3"/>
                <w:szCs w:val="3"/>
                <w:color w:val="auto"/>
              </w:rPr>
            </w:pP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Plan Awards:</w:t>
            </w:r>
          </w:p>
        </w:tc>
        <w:tc>
          <w:tcPr>
            <w:tcW w:w="1180" w:type="dxa"/>
            <w:vAlign w:val="bottom"/>
            <w:vMerge w:val="continue"/>
            <w:shd w:val="clear" w:color="auto" w:fill="BF2115"/>
          </w:tcPr>
          <w:p>
            <w:pPr>
              <w:spacing w:after="0"/>
              <w:rPr>
                <w:sz w:val="3"/>
                <w:szCs w:val="3"/>
                <w:color w:val="auto"/>
              </w:rPr>
            </w:pPr>
          </w:p>
        </w:tc>
        <w:tc>
          <w:tcPr>
            <w:tcW w:w="0" w:type="dxa"/>
            <w:vAlign w:val="bottom"/>
          </w:tcPr>
          <w:p>
            <w:pPr>
              <w:spacing w:after="0"/>
              <w:rPr>
                <w:sz w:val="1"/>
                <w:szCs w:val="1"/>
                <w:color w:val="auto"/>
              </w:rPr>
            </w:pPr>
          </w:p>
        </w:tc>
      </w:tr>
      <w:tr>
        <w:trPr>
          <w:trHeight w:val="93"/>
        </w:trPr>
        <w:tc>
          <w:tcPr>
            <w:tcW w:w="2240" w:type="dxa"/>
            <w:vAlign w:val="bottom"/>
            <w:shd w:val="clear" w:color="auto" w:fill="BF2115"/>
          </w:tcPr>
          <w:p>
            <w:pPr>
              <w:spacing w:after="0"/>
              <w:rPr>
                <w:sz w:val="8"/>
                <w:szCs w:val="8"/>
                <w:color w:val="auto"/>
              </w:rPr>
            </w:pPr>
          </w:p>
        </w:tc>
        <w:tc>
          <w:tcPr>
            <w:tcW w:w="1160" w:type="dxa"/>
            <w:vAlign w:val="bottom"/>
            <w:shd w:val="clear" w:color="auto" w:fill="BF2115"/>
          </w:tcPr>
          <w:p>
            <w:pPr>
              <w:spacing w:after="0"/>
              <w:rPr>
                <w:sz w:val="8"/>
                <w:szCs w:val="8"/>
                <w:color w:val="auto"/>
              </w:rPr>
            </w:pPr>
          </w:p>
        </w:tc>
        <w:tc>
          <w:tcPr>
            <w:tcW w:w="120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720" w:type="dxa"/>
            <w:vAlign w:val="bottom"/>
            <w:shd w:val="clear" w:color="auto" w:fill="BF2115"/>
          </w:tcPr>
          <w:p>
            <w:pPr>
              <w:spacing w:after="0"/>
              <w:rPr>
                <w:sz w:val="8"/>
                <w:szCs w:val="8"/>
                <w:color w:val="auto"/>
              </w:rPr>
            </w:pPr>
          </w:p>
        </w:tc>
        <w:tc>
          <w:tcPr>
            <w:tcW w:w="960" w:type="dxa"/>
            <w:vAlign w:val="bottom"/>
            <w:vMerge w:val="continue"/>
            <w:shd w:val="clear" w:color="auto" w:fill="BF2115"/>
          </w:tcPr>
          <w:p>
            <w:pPr>
              <w:spacing w:after="0"/>
              <w:rPr>
                <w:sz w:val="8"/>
                <w:szCs w:val="8"/>
                <w:color w:val="auto"/>
              </w:rPr>
            </w:pPr>
          </w:p>
        </w:tc>
        <w:tc>
          <w:tcPr>
            <w:tcW w:w="220" w:type="dxa"/>
            <w:vAlign w:val="bottom"/>
            <w:shd w:val="clear" w:color="auto" w:fill="BF2115"/>
          </w:tcPr>
          <w:p>
            <w:pPr>
              <w:spacing w:after="0"/>
              <w:rPr>
                <w:sz w:val="8"/>
                <w:szCs w:val="8"/>
                <w:color w:val="auto"/>
              </w:rPr>
            </w:pPr>
          </w:p>
        </w:tc>
        <w:tc>
          <w:tcPr>
            <w:tcW w:w="1200" w:type="dxa"/>
            <w:vAlign w:val="bottom"/>
            <w:vMerge w:val="continue"/>
            <w:shd w:val="clear" w:color="auto" w:fill="BF2115"/>
          </w:tcPr>
          <w:p>
            <w:pPr>
              <w:spacing w:after="0"/>
              <w:rPr>
                <w:sz w:val="8"/>
                <w:szCs w:val="8"/>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Market or</w:t>
            </w:r>
          </w:p>
        </w:tc>
        <w:tc>
          <w:tcPr>
            <w:tcW w:w="0" w:type="dxa"/>
            <w:vAlign w:val="bottom"/>
          </w:tcPr>
          <w:p>
            <w:pPr>
              <w:spacing w:after="0"/>
              <w:rPr>
                <w:sz w:val="1"/>
                <w:szCs w:val="1"/>
                <w:color w:val="auto"/>
              </w:rPr>
            </w:pPr>
          </w:p>
        </w:tc>
      </w:tr>
      <w:tr>
        <w:trPr>
          <w:trHeight w:val="40"/>
        </w:trPr>
        <w:tc>
          <w:tcPr>
            <w:tcW w:w="2240" w:type="dxa"/>
            <w:vAlign w:val="bottom"/>
            <w:shd w:val="clear" w:color="auto" w:fill="BF2115"/>
          </w:tcPr>
          <w:p>
            <w:pPr>
              <w:spacing w:after="0"/>
              <w:rPr>
                <w:sz w:val="3"/>
                <w:szCs w:val="3"/>
                <w:color w:val="auto"/>
              </w:rPr>
            </w:pPr>
          </w:p>
        </w:tc>
        <w:tc>
          <w:tcPr>
            <w:tcW w:w="116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Number of</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Number of</w:t>
            </w:r>
          </w:p>
        </w:tc>
        <w:tc>
          <w:tcPr>
            <w:tcW w:w="1180" w:type="dxa"/>
            <w:vAlign w:val="bottom"/>
            <w:shd w:val="clear" w:color="auto" w:fill="BF2115"/>
          </w:tcPr>
          <w:p>
            <w:pPr>
              <w:spacing w:after="0"/>
              <w:rPr>
                <w:sz w:val="3"/>
                <w:szCs w:val="3"/>
                <w:color w:val="auto"/>
              </w:rPr>
            </w:pPr>
          </w:p>
        </w:tc>
        <w:tc>
          <w:tcPr>
            <w:tcW w:w="1180" w:type="dxa"/>
            <w:vAlign w:val="bottom"/>
            <w:shd w:val="clear" w:color="auto" w:fill="BF2115"/>
          </w:tcPr>
          <w:p>
            <w:pPr>
              <w:spacing w:after="0"/>
              <w:rPr>
                <w:sz w:val="3"/>
                <w:szCs w:val="3"/>
                <w:color w:val="auto"/>
              </w:rPr>
            </w:pPr>
          </w:p>
        </w:tc>
        <w:tc>
          <w:tcPr>
            <w:tcW w:w="720" w:type="dxa"/>
            <w:vAlign w:val="bottom"/>
            <w:shd w:val="clear" w:color="auto" w:fill="BF2115"/>
          </w:tcPr>
          <w:p>
            <w:pPr>
              <w:spacing w:after="0"/>
              <w:rPr>
                <w:sz w:val="3"/>
                <w:szCs w:val="3"/>
                <w:color w:val="auto"/>
              </w:rPr>
            </w:pPr>
          </w:p>
        </w:tc>
        <w:tc>
          <w:tcPr>
            <w:tcW w:w="960" w:type="dxa"/>
            <w:vAlign w:val="bottom"/>
            <w:vMerge w:val="restart"/>
            <w:shd w:val="clear" w:color="auto" w:fill="BF2115"/>
          </w:tcPr>
          <w:p>
            <w:pPr>
              <w:jc w:val="center"/>
              <w:ind w:left="167"/>
              <w:spacing w:after="0"/>
              <w:rPr>
                <w:sz w:val="20"/>
                <w:szCs w:val="20"/>
                <w:color w:val="auto"/>
              </w:rPr>
            </w:pPr>
            <w:r>
              <w:rPr>
                <w:rFonts w:ascii="Arial" w:cs="Arial" w:eastAsia="Arial" w:hAnsi="Arial"/>
                <w:sz w:val="11"/>
                <w:szCs w:val="11"/>
                <w:b w:val="1"/>
                <w:bCs w:val="1"/>
                <w:color w:val="FFFFFF"/>
                <w:w w:val="98"/>
              </w:rPr>
              <w:t>Value of</w:t>
            </w:r>
          </w:p>
        </w:tc>
        <w:tc>
          <w:tcPr>
            <w:tcW w:w="220" w:type="dxa"/>
            <w:vAlign w:val="bottom"/>
            <w:shd w:val="clear" w:color="auto" w:fill="BF2115"/>
          </w:tcPr>
          <w:p>
            <w:pPr>
              <w:spacing w:after="0"/>
              <w:rPr>
                <w:sz w:val="3"/>
                <w:szCs w:val="3"/>
                <w:color w:val="auto"/>
              </w:rPr>
            </w:pP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Number of</w:t>
            </w:r>
          </w:p>
        </w:tc>
        <w:tc>
          <w:tcPr>
            <w:tcW w:w="1180" w:type="dxa"/>
            <w:vAlign w:val="bottom"/>
            <w:vMerge w:val="continue"/>
            <w:shd w:val="clear" w:color="auto" w:fill="BF2115"/>
          </w:tcPr>
          <w:p>
            <w:pPr>
              <w:spacing w:after="0"/>
              <w:rPr>
                <w:sz w:val="3"/>
                <w:szCs w:val="3"/>
                <w:color w:val="auto"/>
              </w:rPr>
            </w:pPr>
          </w:p>
        </w:tc>
        <w:tc>
          <w:tcPr>
            <w:tcW w:w="0" w:type="dxa"/>
            <w:vAlign w:val="bottom"/>
          </w:tcPr>
          <w:p>
            <w:pPr>
              <w:spacing w:after="0"/>
              <w:rPr>
                <w:sz w:val="1"/>
                <w:szCs w:val="1"/>
                <w:color w:val="auto"/>
              </w:rPr>
            </w:pPr>
          </w:p>
        </w:tc>
      </w:tr>
      <w:tr>
        <w:trPr>
          <w:trHeight w:val="93"/>
        </w:trPr>
        <w:tc>
          <w:tcPr>
            <w:tcW w:w="2240" w:type="dxa"/>
            <w:vAlign w:val="bottom"/>
            <w:shd w:val="clear" w:color="auto" w:fill="BF2115"/>
          </w:tcPr>
          <w:p>
            <w:pPr>
              <w:spacing w:after="0"/>
              <w:rPr>
                <w:sz w:val="8"/>
                <w:szCs w:val="8"/>
                <w:color w:val="auto"/>
              </w:rPr>
            </w:pPr>
          </w:p>
        </w:tc>
        <w:tc>
          <w:tcPr>
            <w:tcW w:w="1160" w:type="dxa"/>
            <w:vAlign w:val="bottom"/>
            <w:vMerge w:val="continue"/>
            <w:shd w:val="clear" w:color="auto" w:fill="BF2115"/>
          </w:tcPr>
          <w:p>
            <w:pPr>
              <w:spacing w:after="0"/>
              <w:rPr>
                <w:sz w:val="8"/>
                <w:szCs w:val="8"/>
                <w:color w:val="auto"/>
              </w:rPr>
            </w:pPr>
          </w:p>
        </w:tc>
        <w:tc>
          <w:tcPr>
            <w:tcW w:w="1200" w:type="dxa"/>
            <w:vAlign w:val="bottom"/>
            <w:vMerge w:val="continue"/>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720" w:type="dxa"/>
            <w:vAlign w:val="bottom"/>
            <w:shd w:val="clear" w:color="auto" w:fill="BF2115"/>
          </w:tcPr>
          <w:p>
            <w:pPr>
              <w:spacing w:after="0"/>
              <w:rPr>
                <w:sz w:val="8"/>
                <w:szCs w:val="8"/>
                <w:color w:val="auto"/>
              </w:rPr>
            </w:pPr>
          </w:p>
        </w:tc>
        <w:tc>
          <w:tcPr>
            <w:tcW w:w="960" w:type="dxa"/>
            <w:vAlign w:val="bottom"/>
            <w:vMerge w:val="continue"/>
            <w:shd w:val="clear" w:color="auto" w:fill="BF2115"/>
          </w:tcPr>
          <w:p>
            <w:pPr>
              <w:spacing w:after="0"/>
              <w:rPr>
                <w:sz w:val="8"/>
                <w:szCs w:val="8"/>
                <w:color w:val="auto"/>
              </w:rPr>
            </w:pPr>
          </w:p>
        </w:tc>
        <w:tc>
          <w:tcPr>
            <w:tcW w:w="220" w:type="dxa"/>
            <w:vAlign w:val="bottom"/>
            <w:shd w:val="clear" w:color="auto" w:fill="BF2115"/>
          </w:tcPr>
          <w:p>
            <w:pPr>
              <w:spacing w:after="0"/>
              <w:rPr>
                <w:sz w:val="8"/>
                <w:szCs w:val="8"/>
                <w:color w:val="auto"/>
              </w:rPr>
            </w:pPr>
          </w:p>
        </w:tc>
        <w:tc>
          <w:tcPr>
            <w:tcW w:w="1200" w:type="dxa"/>
            <w:vAlign w:val="bottom"/>
            <w:vMerge w:val="continue"/>
            <w:shd w:val="clear" w:color="auto" w:fill="BF2115"/>
          </w:tcPr>
          <w:p>
            <w:pPr>
              <w:spacing w:after="0"/>
              <w:rPr>
                <w:sz w:val="8"/>
                <w:szCs w:val="8"/>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Payout Value</w:t>
            </w:r>
          </w:p>
        </w:tc>
        <w:tc>
          <w:tcPr>
            <w:tcW w:w="0" w:type="dxa"/>
            <w:vAlign w:val="bottom"/>
          </w:tcPr>
          <w:p>
            <w:pPr>
              <w:spacing w:after="0"/>
              <w:rPr>
                <w:sz w:val="1"/>
                <w:szCs w:val="1"/>
                <w:color w:val="auto"/>
              </w:rPr>
            </w:pPr>
          </w:p>
        </w:tc>
      </w:tr>
      <w:tr>
        <w:trPr>
          <w:trHeight w:val="40"/>
        </w:trPr>
        <w:tc>
          <w:tcPr>
            <w:tcW w:w="2240" w:type="dxa"/>
            <w:vAlign w:val="bottom"/>
            <w:shd w:val="clear" w:color="auto" w:fill="BF2115"/>
          </w:tcPr>
          <w:p>
            <w:pPr>
              <w:spacing w:after="0"/>
              <w:rPr>
                <w:sz w:val="3"/>
                <w:szCs w:val="3"/>
                <w:color w:val="auto"/>
              </w:rPr>
            </w:pPr>
          </w:p>
        </w:tc>
        <w:tc>
          <w:tcPr>
            <w:tcW w:w="116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Securities</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Securities</w:t>
            </w:r>
          </w:p>
        </w:tc>
        <w:tc>
          <w:tcPr>
            <w:tcW w:w="1180" w:type="dxa"/>
            <w:vAlign w:val="bottom"/>
            <w:shd w:val="clear" w:color="auto" w:fill="BF2115"/>
          </w:tcPr>
          <w:p>
            <w:pPr>
              <w:spacing w:after="0"/>
              <w:rPr>
                <w:sz w:val="3"/>
                <w:szCs w:val="3"/>
                <w:color w:val="auto"/>
              </w:rPr>
            </w:pPr>
          </w:p>
        </w:tc>
        <w:tc>
          <w:tcPr>
            <w:tcW w:w="1180" w:type="dxa"/>
            <w:vAlign w:val="bottom"/>
            <w:shd w:val="clear" w:color="auto" w:fill="BF2115"/>
          </w:tcPr>
          <w:p>
            <w:pPr>
              <w:spacing w:after="0"/>
              <w:rPr>
                <w:sz w:val="3"/>
                <w:szCs w:val="3"/>
                <w:color w:val="auto"/>
              </w:rPr>
            </w:pPr>
          </w:p>
        </w:tc>
        <w:tc>
          <w:tcPr>
            <w:tcW w:w="72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Number of</w:t>
            </w:r>
          </w:p>
        </w:tc>
        <w:tc>
          <w:tcPr>
            <w:tcW w:w="960" w:type="dxa"/>
            <w:vAlign w:val="bottom"/>
            <w:vMerge w:val="restart"/>
            <w:shd w:val="clear" w:color="auto" w:fill="BF2115"/>
          </w:tcPr>
          <w:p>
            <w:pPr>
              <w:jc w:val="center"/>
              <w:ind w:left="167"/>
              <w:spacing w:after="0"/>
              <w:rPr>
                <w:sz w:val="20"/>
                <w:szCs w:val="20"/>
                <w:color w:val="auto"/>
              </w:rPr>
            </w:pPr>
            <w:r>
              <w:rPr>
                <w:rFonts w:ascii="Arial" w:cs="Arial" w:eastAsia="Arial" w:hAnsi="Arial"/>
                <w:sz w:val="11"/>
                <w:szCs w:val="11"/>
                <w:b w:val="1"/>
                <w:bCs w:val="1"/>
                <w:color w:val="FFFFFF"/>
                <w:w w:val="98"/>
              </w:rPr>
              <w:t>Shares or</w:t>
            </w:r>
          </w:p>
        </w:tc>
        <w:tc>
          <w:tcPr>
            <w:tcW w:w="220" w:type="dxa"/>
            <w:vAlign w:val="bottom"/>
            <w:shd w:val="clear" w:color="auto" w:fill="BF2115"/>
          </w:tcPr>
          <w:p>
            <w:pPr>
              <w:spacing w:after="0"/>
              <w:rPr>
                <w:sz w:val="3"/>
                <w:szCs w:val="3"/>
                <w:color w:val="auto"/>
              </w:rPr>
            </w:pP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Unearned</w:t>
            </w:r>
          </w:p>
        </w:tc>
        <w:tc>
          <w:tcPr>
            <w:tcW w:w="1180" w:type="dxa"/>
            <w:vAlign w:val="bottom"/>
            <w:vMerge w:val="continue"/>
            <w:shd w:val="clear" w:color="auto" w:fill="BF2115"/>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2240" w:type="dxa"/>
            <w:vAlign w:val="bottom"/>
            <w:shd w:val="clear" w:color="auto" w:fill="BF2115"/>
          </w:tcPr>
          <w:p>
            <w:pPr>
              <w:spacing w:after="0"/>
              <w:rPr>
                <w:sz w:val="9"/>
                <w:szCs w:val="9"/>
                <w:color w:val="auto"/>
              </w:rPr>
            </w:pPr>
          </w:p>
        </w:tc>
        <w:tc>
          <w:tcPr>
            <w:tcW w:w="1160" w:type="dxa"/>
            <w:vAlign w:val="bottom"/>
            <w:vMerge w:val="continue"/>
            <w:shd w:val="clear" w:color="auto" w:fill="BF2115"/>
          </w:tcPr>
          <w:p>
            <w:pPr>
              <w:spacing w:after="0"/>
              <w:rPr>
                <w:sz w:val="9"/>
                <w:szCs w:val="9"/>
                <w:color w:val="auto"/>
              </w:rPr>
            </w:pPr>
          </w:p>
        </w:tc>
        <w:tc>
          <w:tcPr>
            <w:tcW w:w="1200" w:type="dxa"/>
            <w:vAlign w:val="bottom"/>
            <w:vMerge w:val="continue"/>
            <w:shd w:val="clear" w:color="auto" w:fill="BF2115"/>
          </w:tcPr>
          <w:p>
            <w:pPr>
              <w:spacing w:after="0"/>
              <w:rPr>
                <w:sz w:val="9"/>
                <w:szCs w:val="9"/>
                <w:color w:val="auto"/>
              </w:rPr>
            </w:pPr>
          </w:p>
        </w:tc>
        <w:tc>
          <w:tcPr>
            <w:tcW w:w="1180" w:type="dxa"/>
            <w:vAlign w:val="bottom"/>
            <w:shd w:val="clear" w:color="auto" w:fill="BF2115"/>
          </w:tcPr>
          <w:p>
            <w:pPr>
              <w:spacing w:after="0"/>
              <w:rPr>
                <w:sz w:val="9"/>
                <w:szCs w:val="9"/>
                <w:color w:val="auto"/>
              </w:rPr>
            </w:pPr>
          </w:p>
        </w:tc>
        <w:tc>
          <w:tcPr>
            <w:tcW w:w="1180" w:type="dxa"/>
            <w:vAlign w:val="bottom"/>
            <w:shd w:val="clear" w:color="auto" w:fill="BF2115"/>
          </w:tcPr>
          <w:p>
            <w:pPr>
              <w:spacing w:after="0"/>
              <w:rPr>
                <w:sz w:val="9"/>
                <w:szCs w:val="9"/>
                <w:color w:val="auto"/>
              </w:rPr>
            </w:pPr>
          </w:p>
        </w:tc>
        <w:tc>
          <w:tcPr>
            <w:tcW w:w="720" w:type="dxa"/>
            <w:vAlign w:val="bottom"/>
            <w:vMerge w:val="continue"/>
            <w:shd w:val="clear" w:color="auto" w:fill="BF2115"/>
          </w:tcPr>
          <w:p>
            <w:pPr>
              <w:spacing w:after="0"/>
              <w:rPr>
                <w:sz w:val="9"/>
                <w:szCs w:val="9"/>
                <w:color w:val="auto"/>
              </w:rPr>
            </w:pPr>
          </w:p>
        </w:tc>
        <w:tc>
          <w:tcPr>
            <w:tcW w:w="960" w:type="dxa"/>
            <w:vAlign w:val="bottom"/>
            <w:vMerge w:val="continue"/>
            <w:shd w:val="clear" w:color="auto" w:fill="BF2115"/>
          </w:tcPr>
          <w:p>
            <w:pPr>
              <w:spacing w:after="0"/>
              <w:rPr>
                <w:sz w:val="9"/>
                <w:szCs w:val="9"/>
                <w:color w:val="auto"/>
              </w:rPr>
            </w:pPr>
          </w:p>
        </w:tc>
        <w:tc>
          <w:tcPr>
            <w:tcW w:w="220" w:type="dxa"/>
            <w:vAlign w:val="bottom"/>
            <w:shd w:val="clear" w:color="auto" w:fill="BF2115"/>
          </w:tcPr>
          <w:p>
            <w:pPr>
              <w:spacing w:after="0"/>
              <w:rPr>
                <w:sz w:val="9"/>
                <w:szCs w:val="9"/>
                <w:color w:val="auto"/>
              </w:rPr>
            </w:pPr>
          </w:p>
        </w:tc>
        <w:tc>
          <w:tcPr>
            <w:tcW w:w="1200" w:type="dxa"/>
            <w:vAlign w:val="bottom"/>
            <w:vMerge w:val="continue"/>
            <w:shd w:val="clear" w:color="auto" w:fill="BF2115"/>
          </w:tcPr>
          <w:p>
            <w:pPr>
              <w:spacing w:after="0"/>
              <w:rPr>
                <w:sz w:val="9"/>
                <w:szCs w:val="9"/>
                <w:color w:val="auto"/>
              </w:rPr>
            </w:pPr>
          </w:p>
        </w:tc>
        <w:tc>
          <w:tcPr>
            <w:tcW w:w="1180" w:type="dxa"/>
            <w:vAlign w:val="bottom"/>
            <w:shd w:val="clear" w:color="auto" w:fill="BF2115"/>
          </w:tcPr>
          <w:p>
            <w:pPr>
              <w:jc w:val="center"/>
              <w:spacing w:after="0" w:line="107" w:lineRule="exact"/>
              <w:rPr>
                <w:sz w:val="20"/>
                <w:szCs w:val="20"/>
                <w:color w:val="auto"/>
              </w:rPr>
            </w:pPr>
            <w:r>
              <w:rPr>
                <w:rFonts w:ascii="Arial" w:cs="Arial" w:eastAsia="Arial" w:hAnsi="Arial"/>
                <w:sz w:val="11"/>
                <w:szCs w:val="11"/>
                <w:b w:val="1"/>
                <w:bCs w:val="1"/>
                <w:color w:val="FFFFFF"/>
                <w:w w:val="96"/>
              </w:rPr>
              <w:t>of Unearned</w:t>
            </w:r>
          </w:p>
        </w:tc>
        <w:tc>
          <w:tcPr>
            <w:tcW w:w="0" w:type="dxa"/>
            <w:vAlign w:val="bottom"/>
          </w:tcPr>
          <w:p>
            <w:pPr>
              <w:spacing w:after="0"/>
              <w:rPr>
                <w:sz w:val="1"/>
                <w:szCs w:val="1"/>
                <w:color w:val="auto"/>
              </w:rPr>
            </w:pPr>
          </w:p>
        </w:tc>
      </w:tr>
      <w:tr>
        <w:trPr>
          <w:trHeight w:val="120"/>
        </w:trPr>
        <w:tc>
          <w:tcPr>
            <w:tcW w:w="2240" w:type="dxa"/>
            <w:vAlign w:val="bottom"/>
            <w:shd w:val="clear" w:color="auto" w:fill="BF2115"/>
          </w:tcPr>
          <w:p>
            <w:pPr>
              <w:spacing w:after="0"/>
              <w:rPr>
                <w:sz w:val="10"/>
                <w:szCs w:val="10"/>
                <w:color w:val="auto"/>
              </w:rPr>
            </w:pPr>
          </w:p>
        </w:tc>
        <w:tc>
          <w:tcPr>
            <w:tcW w:w="1160" w:type="dxa"/>
            <w:vAlign w:val="bottom"/>
            <w:shd w:val="clear" w:color="auto" w:fill="BF2115"/>
          </w:tcPr>
          <w:p>
            <w:pPr>
              <w:jc w:val="center"/>
              <w:spacing w:after="0" w:line="121" w:lineRule="exact"/>
              <w:rPr>
                <w:sz w:val="20"/>
                <w:szCs w:val="20"/>
                <w:color w:val="auto"/>
              </w:rPr>
            </w:pPr>
            <w:r>
              <w:rPr>
                <w:rFonts w:ascii="Arial" w:cs="Arial" w:eastAsia="Arial" w:hAnsi="Arial"/>
                <w:sz w:val="11"/>
                <w:szCs w:val="11"/>
                <w:b w:val="1"/>
                <w:bCs w:val="1"/>
                <w:color w:val="FFFFFF"/>
                <w:w w:val="97"/>
              </w:rPr>
              <w:t>Underlying</w:t>
            </w:r>
          </w:p>
        </w:tc>
        <w:tc>
          <w:tcPr>
            <w:tcW w:w="1200" w:type="dxa"/>
            <w:vAlign w:val="bottom"/>
            <w:shd w:val="clear" w:color="auto" w:fill="BF2115"/>
          </w:tcPr>
          <w:p>
            <w:pPr>
              <w:jc w:val="center"/>
              <w:spacing w:after="0" w:line="121" w:lineRule="exact"/>
              <w:rPr>
                <w:sz w:val="20"/>
                <w:szCs w:val="20"/>
                <w:color w:val="auto"/>
              </w:rPr>
            </w:pPr>
            <w:r>
              <w:rPr>
                <w:rFonts w:ascii="Arial" w:cs="Arial" w:eastAsia="Arial" w:hAnsi="Arial"/>
                <w:sz w:val="11"/>
                <w:szCs w:val="11"/>
                <w:b w:val="1"/>
                <w:bCs w:val="1"/>
                <w:color w:val="FFFFFF"/>
                <w:w w:val="97"/>
              </w:rPr>
              <w:t>Underlying</w:t>
            </w:r>
          </w:p>
        </w:tc>
        <w:tc>
          <w:tcPr>
            <w:tcW w:w="1180" w:type="dxa"/>
            <w:vAlign w:val="bottom"/>
            <w:shd w:val="clear" w:color="auto" w:fill="BF2115"/>
          </w:tcPr>
          <w:p>
            <w:pPr>
              <w:spacing w:after="0"/>
              <w:rPr>
                <w:sz w:val="10"/>
                <w:szCs w:val="10"/>
                <w:color w:val="auto"/>
              </w:rPr>
            </w:pPr>
          </w:p>
        </w:tc>
        <w:tc>
          <w:tcPr>
            <w:tcW w:w="1180" w:type="dxa"/>
            <w:vAlign w:val="bottom"/>
            <w:shd w:val="clear" w:color="auto" w:fill="BF2115"/>
          </w:tcPr>
          <w:p>
            <w:pPr>
              <w:spacing w:after="0"/>
              <w:rPr>
                <w:sz w:val="10"/>
                <w:szCs w:val="10"/>
                <w:color w:val="auto"/>
              </w:rPr>
            </w:pPr>
          </w:p>
        </w:tc>
        <w:tc>
          <w:tcPr>
            <w:tcW w:w="720" w:type="dxa"/>
            <w:vAlign w:val="bottom"/>
            <w:shd w:val="clear" w:color="auto" w:fill="BF2115"/>
          </w:tcPr>
          <w:p>
            <w:pPr>
              <w:jc w:val="center"/>
              <w:spacing w:after="0" w:line="121" w:lineRule="exact"/>
              <w:rPr>
                <w:sz w:val="20"/>
                <w:szCs w:val="20"/>
                <w:color w:val="auto"/>
              </w:rPr>
            </w:pPr>
            <w:r>
              <w:rPr>
                <w:rFonts w:ascii="Arial" w:cs="Arial" w:eastAsia="Arial" w:hAnsi="Arial"/>
                <w:sz w:val="11"/>
                <w:szCs w:val="11"/>
                <w:b w:val="1"/>
                <w:bCs w:val="1"/>
                <w:color w:val="FFFFFF"/>
                <w:w w:val="94"/>
              </w:rPr>
              <w:t>Shares or</w:t>
            </w:r>
          </w:p>
        </w:tc>
        <w:tc>
          <w:tcPr>
            <w:tcW w:w="960" w:type="dxa"/>
            <w:vAlign w:val="bottom"/>
            <w:shd w:val="clear" w:color="auto" w:fill="BF2115"/>
          </w:tcPr>
          <w:p>
            <w:pPr>
              <w:jc w:val="center"/>
              <w:ind w:left="187"/>
              <w:spacing w:after="0" w:line="121" w:lineRule="exact"/>
              <w:rPr>
                <w:sz w:val="20"/>
                <w:szCs w:val="20"/>
                <w:color w:val="auto"/>
              </w:rPr>
            </w:pPr>
            <w:r>
              <w:rPr>
                <w:rFonts w:ascii="Arial" w:cs="Arial" w:eastAsia="Arial" w:hAnsi="Arial"/>
                <w:sz w:val="11"/>
                <w:szCs w:val="11"/>
                <w:b w:val="1"/>
                <w:bCs w:val="1"/>
                <w:color w:val="FFFFFF"/>
                <w:w w:val="97"/>
              </w:rPr>
              <w:t>Units of</w:t>
            </w:r>
          </w:p>
        </w:tc>
        <w:tc>
          <w:tcPr>
            <w:tcW w:w="220" w:type="dxa"/>
            <w:vAlign w:val="bottom"/>
            <w:shd w:val="clear" w:color="auto" w:fill="BF2115"/>
          </w:tcPr>
          <w:p>
            <w:pPr>
              <w:spacing w:after="0"/>
              <w:rPr>
                <w:sz w:val="10"/>
                <w:szCs w:val="10"/>
                <w:color w:val="auto"/>
              </w:rPr>
            </w:pPr>
          </w:p>
        </w:tc>
        <w:tc>
          <w:tcPr>
            <w:tcW w:w="1200" w:type="dxa"/>
            <w:vAlign w:val="bottom"/>
            <w:shd w:val="clear" w:color="auto" w:fill="BF2115"/>
          </w:tcPr>
          <w:p>
            <w:pPr>
              <w:jc w:val="center"/>
              <w:spacing w:after="0" w:line="121" w:lineRule="exact"/>
              <w:rPr>
                <w:sz w:val="20"/>
                <w:szCs w:val="20"/>
                <w:color w:val="auto"/>
              </w:rPr>
            </w:pPr>
            <w:r>
              <w:rPr>
                <w:rFonts w:ascii="Arial" w:cs="Arial" w:eastAsia="Arial" w:hAnsi="Arial"/>
                <w:sz w:val="11"/>
                <w:szCs w:val="11"/>
                <w:b w:val="1"/>
                <w:bCs w:val="1"/>
                <w:color w:val="FFFFFF"/>
                <w:w w:val="96"/>
              </w:rPr>
              <w:t>Shares, Units</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Shares, Units</w:t>
            </w:r>
          </w:p>
        </w:tc>
        <w:tc>
          <w:tcPr>
            <w:tcW w:w="0" w:type="dxa"/>
            <w:vAlign w:val="bottom"/>
          </w:tcPr>
          <w:p>
            <w:pPr>
              <w:spacing w:after="0"/>
              <w:rPr>
                <w:sz w:val="1"/>
                <w:szCs w:val="1"/>
                <w:color w:val="auto"/>
              </w:rPr>
            </w:pPr>
          </w:p>
        </w:tc>
      </w:tr>
      <w:tr>
        <w:trPr>
          <w:trHeight w:val="53"/>
        </w:trPr>
        <w:tc>
          <w:tcPr>
            <w:tcW w:w="2240" w:type="dxa"/>
            <w:vAlign w:val="bottom"/>
            <w:shd w:val="clear" w:color="auto" w:fill="BF2115"/>
          </w:tcPr>
          <w:p>
            <w:pPr>
              <w:spacing w:after="0"/>
              <w:rPr>
                <w:sz w:val="4"/>
                <w:szCs w:val="4"/>
                <w:color w:val="auto"/>
              </w:rPr>
            </w:pPr>
          </w:p>
        </w:tc>
        <w:tc>
          <w:tcPr>
            <w:tcW w:w="116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Unexercised</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Unexercised</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Option</w:t>
            </w:r>
          </w:p>
        </w:tc>
        <w:tc>
          <w:tcPr>
            <w:tcW w:w="1180" w:type="dxa"/>
            <w:vAlign w:val="bottom"/>
            <w:shd w:val="clear" w:color="auto" w:fill="BF2115"/>
          </w:tcPr>
          <w:p>
            <w:pPr>
              <w:spacing w:after="0"/>
              <w:rPr>
                <w:sz w:val="4"/>
                <w:szCs w:val="4"/>
                <w:color w:val="auto"/>
              </w:rPr>
            </w:pPr>
          </w:p>
        </w:tc>
        <w:tc>
          <w:tcPr>
            <w:tcW w:w="72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Units that</w:t>
            </w:r>
          </w:p>
        </w:tc>
        <w:tc>
          <w:tcPr>
            <w:tcW w:w="960" w:type="dxa"/>
            <w:vAlign w:val="bottom"/>
            <w:vMerge w:val="restart"/>
            <w:shd w:val="clear" w:color="auto" w:fill="BF2115"/>
          </w:tcPr>
          <w:p>
            <w:pPr>
              <w:jc w:val="center"/>
              <w:ind w:left="187"/>
              <w:spacing w:after="0"/>
              <w:rPr>
                <w:sz w:val="20"/>
                <w:szCs w:val="20"/>
                <w:color w:val="auto"/>
              </w:rPr>
            </w:pPr>
            <w:r>
              <w:rPr>
                <w:rFonts w:ascii="Arial" w:cs="Arial" w:eastAsia="Arial" w:hAnsi="Arial"/>
                <w:sz w:val="11"/>
                <w:szCs w:val="11"/>
                <w:b w:val="1"/>
                <w:bCs w:val="1"/>
                <w:color w:val="FFFFFF"/>
                <w:w w:val="97"/>
              </w:rPr>
              <w:t>Stock that</w:t>
            </w:r>
          </w:p>
        </w:tc>
        <w:tc>
          <w:tcPr>
            <w:tcW w:w="220" w:type="dxa"/>
            <w:vAlign w:val="bottom"/>
            <w:shd w:val="clear" w:color="auto" w:fill="BF2115"/>
          </w:tcPr>
          <w:p>
            <w:pPr>
              <w:spacing w:after="0"/>
              <w:rPr>
                <w:sz w:val="4"/>
                <w:szCs w:val="4"/>
                <w:color w:val="auto"/>
              </w:rPr>
            </w:pP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9"/>
              </w:rPr>
              <w:t>or Other Rights</w:t>
            </w:r>
          </w:p>
        </w:tc>
        <w:tc>
          <w:tcPr>
            <w:tcW w:w="1180" w:type="dxa"/>
            <w:vAlign w:val="bottom"/>
            <w:vMerge w:val="continue"/>
            <w:shd w:val="clear" w:color="auto" w:fill="BF2115"/>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240" w:type="dxa"/>
            <w:vAlign w:val="bottom"/>
            <w:shd w:val="clear" w:color="auto" w:fill="BF2115"/>
          </w:tcPr>
          <w:p>
            <w:pPr>
              <w:spacing w:after="0"/>
              <w:rPr>
                <w:sz w:val="6"/>
                <w:szCs w:val="6"/>
                <w:color w:val="auto"/>
              </w:rPr>
            </w:pPr>
          </w:p>
        </w:tc>
        <w:tc>
          <w:tcPr>
            <w:tcW w:w="1160" w:type="dxa"/>
            <w:vAlign w:val="bottom"/>
            <w:vMerge w:val="continue"/>
            <w:shd w:val="clear" w:color="auto" w:fill="BF2115"/>
          </w:tcPr>
          <w:p>
            <w:pPr>
              <w:spacing w:after="0"/>
              <w:rPr>
                <w:sz w:val="6"/>
                <w:szCs w:val="6"/>
                <w:color w:val="auto"/>
              </w:rPr>
            </w:pPr>
          </w:p>
        </w:tc>
        <w:tc>
          <w:tcPr>
            <w:tcW w:w="1200" w:type="dxa"/>
            <w:vAlign w:val="bottom"/>
            <w:vMerge w:val="continue"/>
            <w:shd w:val="clear" w:color="auto" w:fill="BF2115"/>
          </w:tcPr>
          <w:p>
            <w:pPr>
              <w:spacing w:after="0"/>
              <w:rPr>
                <w:sz w:val="6"/>
                <w:szCs w:val="6"/>
                <w:color w:val="auto"/>
              </w:rPr>
            </w:pPr>
          </w:p>
        </w:tc>
        <w:tc>
          <w:tcPr>
            <w:tcW w:w="1180" w:type="dxa"/>
            <w:vAlign w:val="bottom"/>
            <w:vMerge w:val="continue"/>
            <w:shd w:val="clear" w:color="auto" w:fill="BF2115"/>
          </w:tcPr>
          <w:p>
            <w:pPr>
              <w:spacing w:after="0"/>
              <w:rPr>
                <w:sz w:val="6"/>
                <w:szCs w:val="6"/>
                <w:color w:val="auto"/>
              </w:rPr>
            </w:pPr>
          </w:p>
        </w:tc>
        <w:tc>
          <w:tcPr>
            <w:tcW w:w="1180" w:type="dxa"/>
            <w:vAlign w:val="bottom"/>
            <w:shd w:val="clear" w:color="auto" w:fill="BF2115"/>
          </w:tcPr>
          <w:p>
            <w:pPr>
              <w:spacing w:after="0"/>
              <w:rPr>
                <w:sz w:val="6"/>
                <w:szCs w:val="6"/>
                <w:color w:val="auto"/>
              </w:rPr>
            </w:pPr>
          </w:p>
        </w:tc>
        <w:tc>
          <w:tcPr>
            <w:tcW w:w="720" w:type="dxa"/>
            <w:vAlign w:val="bottom"/>
            <w:vMerge w:val="continue"/>
            <w:shd w:val="clear" w:color="auto" w:fill="BF2115"/>
          </w:tcPr>
          <w:p>
            <w:pPr>
              <w:spacing w:after="0"/>
              <w:rPr>
                <w:sz w:val="6"/>
                <w:szCs w:val="6"/>
                <w:color w:val="auto"/>
              </w:rPr>
            </w:pPr>
          </w:p>
        </w:tc>
        <w:tc>
          <w:tcPr>
            <w:tcW w:w="960" w:type="dxa"/>
            <w:vAlign w:val="bottom"/>
            <w:vMerge w:val="continue"/>
            <w:shd w:val="clear" w:color="auto" w:fill="BF2115"/>
          </w:tcPr>
          <w:p>
            <w:pPr>
              <w:spacing w:after="0"/>
              <w:rPr>
                <w:sz w:val="6"/>
                <w:szCs w:val="6"/>
                <w:color w:val="auto"/>
              </w:rPr>
            </w:pPr>
          </w:p>
        </w:tc>
        <w:tc>
          <w:tcPr>
            <w:tcW w:w="220" w:type="dxa"/>
            <w:vAlign w:val="bottom"/>
            <w:shd w:val="clear" w:color="auto" w:fill="BF2115"/>
          </w:tcPr>
          <w:p>
            <w:pPr>
              <w:spacing w:after="0"/>
              <w:rPr>
                <w:sz w:val="6"/>
                <w:szCs w:val="6"/>
                <w:color w:val="auto"/>
              </w:rPr>
            </w:pPr>
          </w:p>
        </w:tc>
        <w:tc>
          <w:tcPr>
            <w:tcW w:w="1200" w:type="dxa"/>
            <w:vAlign w:val="bottom"/>
            <w:vMerge w:val="continue"/>
            <w:shd w:val="clear" w:color="auto" w:fill="BF2115"/>
          </w:tcPr>
          <w:p>
            <w:pPr>
              <w:spacing w:after="0"/>
              <w:rPr>
                <w:sz w:val="6"/>
                <w:szCs w:val="6"/>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or Other Rights</w:t>
            </w:r>
          </w:p>
        </w:tc>
        <w:tc>
          <w:tcPr>
            <w:tcW w:w="0" w:type="dxa"/>
            <w:vAlign w:val="bottom"/>
          </w:tcPr>
          <w:p>
            <w:pPr>
              <w:spacing w:after="0"/>
              <w:rPr>
                <w:sz w:val="1"/>
                <w:szCs w:val="1"/>
                <w:color w:val="auto"/>
              </w:rPr>
            </w:pPr>
          </w:p>
        </w:tc>
      </w:tr>
      <w:tr>
        <w:trPr>
          <w:trHeight w:val="53"/>
        </w:trPr>
        <w:tc>
          <w:tcPr>
            <w:tcW w:w="2240" w:type="dxa"/>
            <w:vAlign w:val="bottom"/>
            <w:shd w:val="clear" w:color="auto" w:fill="BF2115"/>
          </w:tcPr>
          <w:p>
            <w:pPr>
              <w:spacing w:after="0"/>
              <w:rPr>
                <w:sz w:val="4"/>
                <w:szCs w:val="4"/>
                <w:color w:val="auto"/>
              </w:rPr>
            </w:pPr>
          </w:p>
        </w:tc>
        <w:tc>
          <w:tcPr>
            <w:tcW w:w="116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Options</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Options</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Exercise</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Option</w:t>
            </w:r>
          </w:p>
        </w:tc>
        <w:tc>
          <w:tcPr>
            <w:tcW w:w="72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Have Not</w:t>
            </w:r>
          </w:p>
        </w:tc>
        <w:tc>
          <w:tcPr>
            <w:tcW w:w="960" w:type="dxa"/>
            <w:vAlign w:val="bottom"/>
            <w:vMerge w:val="restart"/>
            <w:shd w:val="clear" w:color="auto" w:fill="BF2115"/>
          </w:tcPr>
          <w:p>
            <w:pPr>
              <w:jc w:val="center"/>
              <w:ind w:left="167"/>
              <w:spacing w:after="0"/>
              <w:rPr>
                <w:sz w:val="20"/>
                <w:szCs w:val="20"/>
                <w:color w:val="auto"/>
              </w:rPr>
            </w:pPr>
            <w:r>
              <w:rPr>
                <w:rFonts w:ascii="Arial" w:cs="Arial" w:eastAsia="Arial" w:hAnsi="Arial"/>
                <w:sz w:val="11"/>
                <w:szCs w:val="11"/>
                <w:b w:val="1"/>
                <w:bCs w:val="1"/>
                <w:color w:val="FFFFFF"/>
                <w:w w:val="96"/>
              </w:rPr>
              <w:t>Have Not</w:t>
            </w:r>
          </w:p>
        </w:tc>
        <w:tc>
          <w:tcPr>
            <w:tcW w:w="220" w:type="dxa"/>
            <w:vAlign w:val="bottom"/>
            <w:shd w:val="clear" w:color="auto" w:fill="BF2115"/>
          </w:tcPr>
          <w:p>
            <w:pPr>
              <w:spacing w:after="0"/>
              <w:rPr>
                <w:sz w:val="4"/>
                <w:szCs w:val="4"/>
                <w:color w:val="auto"/>
              </w:rPr>
            </w:pP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That Have</w:t>
            </w:r>
          </w:p>
        </w:tc>
        <w:tc>
          <w:tcPr>
            <w:tcW w:w="1180" w:type="dxa"/>
            <w:vAlign w:val="bottom"/>
            <w:vMerge w:val="continue"/>
            <w:shd w:val="clear" w:color="auto" w:fill="BF2115"/>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240" w:type="dxa"/>
            <w:vAlign w:val="bottom"/>
            <w:shd w:val="clear" w:color="auto" w:fill="BF2115"/>
          </w:tcPr>
          <w:p>
            <w:pPr>
              <w:spacing w:after="0"/>
              <w:rPr>
                <w:sz w:val="7"/>
                <w:szCs w:val="7"/>
                <w:color w:val="auto"/>
              </w:rPr>
            </w:pPr>
          </w:p>
        </w:tc>
        <w:tc>
          <w:tcPr>
            <w:tcW w:w="1160" w:type="dxa"/>
            <w:vAlign w:val="bottom"/>
            <w:vMerge w:val="continue"/>
            <w:shd w:val="clear" w:color="auto" w:fill="BF2115"/>
          </w:tcPr>
          <w:p>
            <w:pPr>
              <w:spacing w:after="0"/>
              <w:rPr>
                <w:sz w:val="7"/>
                <w:szCs w:val="7"/>
                <w:color w:val="auto"/>
              </w:rPr>
            </w:pPr>
          </w:p>
        </w:tc>
        <w:tc>
          <w:tcPr>
            <w:tcW w:w="1200" w:type="dxa"/>
            <w:vAlign w:val="bottom"/>
            <w:vMerge w:val="continue"/>
            <w:shd w:val="clear" w:color="auto" w:fill="BF2115"/>
          </w:tcPr>
          <w:p>
            <w:pPr>
              <w:spacing w:after="0"/>
              <w:rPr>
                <w:sz w:val="7"/>
                <w:szCs w:val="7"/>
                <w:color w:val="auto"/>
              </w:rPr>
            </w:pPr>
          </w:p>
        </w:tc>
        <w:tc>
          <w:tcPr>
            <w:tcW w:w="1180" w:type="dxa"/>
            <w:vAlign w:val="bottom"/>
            <w:vMerge w:val="continue"/>
            <w:shd w:val="clear" w:color="auto" w:fill="BF2115"/>
          </w:tcPr>
          <w:p>
            <w:pPr>
              <w:spacing w:after="0"/>
              <w:rPr>
                <w:sz w:val="7"/>
                <w:szCs w:val="7"/>
                <w:color w:val="auto"/>
              </w:rPr>
            </w:pPr>
          </w:p>
        </w:tc>
        <w:tc>
          <w:tcPr>
            <w:tcW w:w="1180" w:type="dxa"/>
            <w:vAlign w:val="bottom"/>
            <w:vMerge w:val="continue"/>
            <w:shd w:val="clear" w:color="auto" w:fill="BF2115"/>
          </w:tcPr>
          <w:p>
            <w:pPr>
              <w:spacing w:after="0"/>
              <w:rPr>
                <w:sz w:val="7"/>
                <w:szCs w:val="7"/>
                <w:color w:val="auto"/>
              </w:rPr>
            </w:pPr>
          </w:p>
        </w:tc>
        <w:tc>
          <w:tcPr>
            <w:tcW w:w="720" w:type="dxa"/>
            <w:vAlign w:val="bottom"/>
            <w:vMerge w:val="continue"/>
            <w:shd w:val="clear" w:color="auto" w:fill="BF2115"/>
          </w:tcPr>
          <w:p>
            <w:pPr>
              <w:spacing w:after="0"/>
              <w:rPr>
                <w:sz w:val="7"/>
                <w:szCs w:val="7"/>
                <w:color w:val="auto"/>
              </w:rPr>
            </w:pPr>
          </w:p>
        </w:tc>
        <w:tc>
          <w:tcPr>
            <w:tcW w:w="960" w:type="dxa"/>
            <w:vAlign w:val="bottom"/>
            <w:vMerge w:val="continue"/>
            <w:shd w:val="clear" w:color="auto" w:fill="BF2115"/>
          </w:tcPr>
          <w:p>
            <w:pPr>
              <w:spacing w:after="0"/>
              <w:rPr>
                <w:sz w:val="7"/>
                <w:szCs w:val="7"/>
                <w:color w:val="auto"/>
              </w:rPr>
            </w:pPr>
          </w:p>
        </w:tc>
        <w:tc>
          <w:tcPr>
            <w:tcW w:w="220" w:type="dxa"/>
            <w:vAlign w:val="bottom"/>
            <w:shd w:val="clear" w:color="auto" w:fill="BF2115"/>
          </w:tcPr>
          <w:p>
            <w:pPr>
              <w:spacing w:after="0"/>
              <w:rPr>
                <w:sz w:val="7"/>
                <w:szCs w:val="7"/>
                <w:color w:val="auto"/>
              </w:rPr>
            </w:pPr>
          </w:p>
        </w:tc>
        <w:tc>
          <w:tcPr>
            <w:tcW w:w="1200" w:type="dxa"/>
            <w:vAlign w:val="bottom"/>
            <w:vMerge w:val="continue"/>
            <w:shd w:val="clear" w:color="auto" w:fill="BF2115"/>
          </w:tcPr>
          <w:p>
            <w:pPr>
              <w:spacing w:after="0"/>
              <w:rPr>
                <w:sz w:val="7"/>
                <w:szCs w:val="7"/>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That Have</w:t>
            </w:r>
          </w:p>
        </w:tc>
        <w:tc>
          <w:tcPr>
            <w:tcW w:w="0" w:type="dxa"/>
            <w:vAlign w:val="bottom"/>
          </w:tcPr>
          <w:p>
            <w:pPr>
              <w:spacing w:after="0"/>
              <w:rPr>
                <w:sz w:val="1"/>
                <w:szCs w:val="1"/>
                <w:color w:val="auto"/>
              </w:rPr>
            </w:pPr>
          </w:p>
        </w:tc>
      </w:tr>
      <w:tr>
        <w:trPr>
          <w:trHeight w:val="40"/>
        </w:trPr>
        <w:tc>
          <w:tcPr>
            <w:tcW w:w="2240" w:type="dxa"/>
            <w:vAlign w:val="bottom"/>
            <w:shd w:val="clear" w:color="auto" w:fill="BF2115"/>
          </w:tcPr>
          <w:p>
            <w:pPr>
              <w:spacing w:after="0"/>
              <w:rPr>
                <w:sz w:val="3"/>
                <w:szCs w:val="3"/>
                <w:color w:val="auto"/>
              </w:rPr>
            </w:pPr>
          </w:p>
        </w:tc>
        <w:tc>
          <w:tcPr>
            <w:tcW w:w="116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Exercisable</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Unexercisable</w:t>
            </w:r>
            <w:r>
              <w:rPr>
                <w:rFonts w:ascii="Arial" w:cs="Arial" w:eastAsia="Arial" w:hAnsi="Arial"/>
                <w:sz w:val="6"/>
                <w:szCs w:val="6"/>
                <w:b w:val="1"/>
                <w:bCs w:val="1"/>
                <w:color w:val="FFFFFF"/>
                <w:w w:val="97"/>
              </w:rPr>
              <w:t>1</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Price</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Expiration</w:t>
            </w:r>
          </w:p>
        </w:tc>
        <w:tc>
          <w:tcPr>
            <w:tcW w:w="720" w:type="dxa"/>
            <w:vAlign w:val="bottom"/>
            <w:vMerge w:val="restart"/>
            <w:shd w:val="clear" w:color="auto" w:fill="BF2115"/>
          </w:tcPr>
          <w:p>
            <w:pPr>
              <w:jc w:val="center"/>
              <w:spacing w:after="0" w:line="146" w:lineRule="exact"/>
              <w:rPr>
                <w:sz w:val="20"/>
                <w:szCs w:val="20"/>
                <w:color w:val="auto"/>
              </w:rPr>
            </w:pPr>
            <w:r>
              <w:rPr>
                <w:rFonts w:ascii="Arial" w:cs="Arial" w:eastAsia="Arial" w:hAnsi="Arial"/>
                <w:sz w:val="11"/>
                <w:szCs w:val="11"/>
                <w:b w:val="1"/>
                <w:bCs w:val="1"/>
                <w:color w:val="FFFFFF"/>
                <w:w w:val="97"/>
              </w:rPr>
              <w:t>Vested</w:t>
            </w:r>
            <w:r>
              <w:rPr>
                <w:rFonts w:ascii="Arial" w:cs="Arial" w:eastAsia="Arial" w:hAnsi="Arial"/>
                <w:sz w:val="13"/>
                <w:szCs w:val="13"/>
                <w:b w:val="1"/>
                <w:bCs w:val="1"/>
                <w:color w:val="FFFFFF"/>
                <w:w w:val="97"/>
                <w:vertAlign w:val="superscript"/>
              </w:rPr>
              <w:t>2</w:t>
            </w:r>
          </w:p>
        </w:tc>
        <w:tc>
          <w:tcPr>
            <w:tcW w:w="960" w:type="dxa"/>
            <w:vAlign w:val="bottom"/>
            <w:vMerge w:val="restart"/>
            <w:shd w:val="clear" w:color="auto" w:fill="BF2115"/>
          </w:tcPr>
          <w:p>
            <w:pPr>
              <w:jc w:val="center"/>
              <w:ind w:left="167"/>
              <w:spacing w:after="0" w:line="146" w:lineRule="exact"/>
              <w:rPr>
                <w:sz w:val="20"/>
                <w:szCs w:val="20"/>
                <w:color w:val="auto"/>
              </w:rPr>
            </w:pPr>
            <w:r>
              <w:rPr>
                <w:rFonts w:ascii="Arial" w:cs="Arial" w:eastAsia="Arial" w:hAnsi="Arial"/>
                <w:sz w:val="11"/>
                <w:szCs w:val="11"/>
                <w:b w:val="1"/>
                <w:bCs w:val="1"/>
                <w:color w:val="FFFFFF"/>
                <w:w w:val="92"/>
              </w:rPr>
              <w:t>Vested</w:t>
            </w:r>
            <w:r>
              <w:rPr>
                <w:rFonts w:ascii="Arial" w:cs="Arial" w:eastAsia="Arial" w:hAnsi="Arial"/>
                <w:sz w:val="13"/>
                <w:szCs w:val="13"/>
                <w:b w:val="1"/>
                <w:bCs w:val="1"/>
                <w:color w:val="FFFFFF"/>
                <w:w w:val="92"/>
                <w:vertAlign w:val="superscript"/>
              </w:rPr>
              <w:t>3</w:t>
            </w:r>
          </w:p>
        </w:tc>
        <w:tc>
          <w:tcPr>
            <w:tcW w:w="220" w:type="dxa"/>
            <w:vAlign w:val="bottom"/>
            <w:shd w:val="clear" w:color="auto" w:fill="BF2115"/>
          </w:tcPr>
          <w:p>
            <w:pPr>
              <w:spacing w:after="0"/>
              <w:rPr>
                <w:sz w:val="3"/>
                <w:szCs w:val="3"/>
                <w:color w:val="auto"/>
              </w:rPr>
            </w:pPr>
          </w:p>
        </w:tc>
        <w:tc>
          <w:tcPr>
            <w:tcW w:w="1200" w:type="dxa"/>
            <w:vAlign w:val="bottom"/>
            <w:vMerge w:val="restart"/>
            <w:shd w:val="clear" w:color="auto" w:fill="BF2115"/>
          </w:tcPr>
          <w:p>
            <w:pPr>
              <w:jc w:val="center"/>
              <w:spacing w:after="0" w:line="146" w:lineRule="exact"/>
              <w:rPr>
                <w:sz w:val="20"/>
                <w:szCs w:val="20"/>
                <w:color w:val="auto"/>
              </w:rPr>
            </w:pPr>
            <w:r>
              <w:rPr>
                <w:rFonts w:ascii="Arial" w:cs="Arial" w:eastAsia="Arial" w:hAnsi="Arial"/>
                <w:sz w:val="11"/>
                <w:szCs w:val="11"/>
                <w:b w:val="1"/>
                <w:bCs w:val="1"/>
                <w:color w:val="FFFFFF"/>
                <w:w w:val="96"/>
              </w:rPr>
              <w:t>Not Vested</w:t>
            </w:r>
            <w:r>
              <w:rPr>
                <w:rFonts w:ascii="Arial" w:cs="Arial" w:eastAsia="Arial" w:hAnsi="Arial"/>
                <w:sz w:val="13"/>
                <w:szCs w:val="13"/>
                <w:b w:val="1"/>
                <w:bCs w:val="1"/>
                <w:color w:val="FFFFFF"/>
                <w:w w:val="96"/>
                <w:vertAlign w:val="superscript"/>
              </w:rPr>
              <w:t>4</w:t>
            </w:r>
          </w:p>
        </w:tc>
        <w:tc>
          <w:tcPr>
            <w:tcW w:w="1180" w:type="dxa"/>
            <w:vAlign w:val="bottom"/>
            <w:vMerge w:val="continue"/>
            <w:shd w:val="clear" w:color="auto" w:fill="BF2115"/>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240" w:type="dxa"/>
            <w:vAlign w:val="bottom"/>
            <w:vMerge w:val="restart"/>
            <w:shd w:val="clear" w:color="auto" w:fill="BF2115"/>
          </w:tcPr>
          <w:p>
            <w:pPr>
              <w:ind w:left="20"/>
              <w:spacing w:after="0"/>
              <w:rPr>
                <w:sz w:val="20"/>
                <w:szCs w:val="20"/>
                <w:color w:val="auto"/>
              </w:rPr>
            </w:pPr>
            <w:r>
              <w:rPr>
                <w:rFonts w:ascii="Arial" w:cs="Arial" w:eastAsia="Arial" w:hAnsi="Arial"/>
                <w:sz w:val="11"/>
                <w:szCs w:val="11"/>
                <w:b w:val="1"/>
                <w:bCs w:val="1"/>
                <w:color w:val="FFFFFF"/>
              </w:rPr>
              <w:t>Name</w:t>
            </w:r>
          </w:p>
        </w:tc>
        <w:tc>
          <w:tcPr>
            <w:tcW w:w="1160" w:type="dxa"/>
            <w:vAlign w:val="bottom"/>
            <w:vMerge w:val="continue"/>
            <w:shd w:val="clear" w:color="auto" w:fill="BF2115"/>
          </w:tcPr>
          <w:p>
            <w:pPr>
              <w:spacing w:after="0"/>
              <w:rPr>
                <w:sz w:val="9"/>
                <w:szCs w:val="9"/>
                <w:color w:val="auto"/>
              </w:rPr>
            </w:pPr>
          </w:p>
        </w:tc>
        <w:tc>
          <w:tcPr>
            <w:tcW w:w="1200" w:type="dxa"/>
            <w:vAlign w:val="bottom"/>
            <w:vMerge w:val="continue"/>
            <w:shd w:val="clear" w:color="auto" w:fill="BF2115"/>
          </w:tcPr>
          <w:p>
            <w:pPr>
              <w:spacing w:after="0"/>
              <w:rPr>
                <w:sz w:val="9"/>
                <w:szCs w:val="9"/>
                <w:color w:val="auto"/>
              </w:rPr>
            </w:pPr>
          </w:p>
        </w:tc>
        <w:tc>
          <w:tcPr>
            <w:tcW w:w="1180" w:type="dxa"/>
            <w:vAlign w:val="bottom"/>
            <w:vMerge w:val="continue"/>
            <w:shd w:val="clear" w:color="auto" w:fill="BF2115"/>
          </w:tcPr>
          <w:p>
            <w:pPr>
              <w:spacing w:after="0"/>
              <w:rPr>
                <w:sz w:val="9"/>
                <w:szCs w:val="9"/>
                <w:color w:val="auto"/>
              </w:rPr>
            </w:pPr>
          </w:p>
        </w:tc>
        <w:tc>
          <w:tcPr>
            <w:tcW w:w="1180" w:type="dxa"/>
            <w:vAlign w:val="bottom"/>
            <w:vMerge w:val="continue"/>
            <w:shd w:val="clear" w:color="auto" w:fill="BF2115"/>
          </w:tcPr>
          <w:p>
            <w:pPr>
              <w:spacing w:after="0"/>
              <w:rPr>
                <w:sz w:val="9"/>
                <w:szCs w:val="9"/>
                <w:color w:val="auto"/>
              </w:rPr>
            </w:pPr>
          </w:p>
        </w:tc>
        <w:tc>
          <w:tcPr>
            <w:tcW w:w="720" w:type="dxa"/>
            <w:vAlign w:val="bottom"/>
            <w:vMerge w:val="continue"/>
            <w:shd w:val="clear" w:color="auto" w:fill="BF2115"/>
          </w:tcPr>
          <w:p>
            <w:pPr>
              <w:spacing w:after="0"/>
              <w:rPr>
                <w:sz w:val="9"/>
                <w:szCs w:val="9"/>
                <w:color w:val="auto"/>
              </w:rPr>
            </w:pPr>
          </w:p>
        </w:tc>
        <w:tc>
          <w:tcPr>
            <w:tcW w:w="960" w:type="dxa"/>
            <w:vAlign w:val="bottom"/>
            <w:vMerge w:val="continue"/>
            <w:shd w:val="clear" w:color="auto" w:fill="BF2115"/>
          </w:tcPr>
          <w:p>
            <w:pPr>
              <w:spacing w:after="0"/>
              <w:rPr>
                <w:sz w:val="9"/>
                <w:szCs w:val="9"/>
                <w:color w:val="auto"/>
              </w:rPr>
            </w:pPr>
          </w:p>
        </w:tc>
        <w:tc>
          <w:tcPr>
            <w:tcW w:w="220" w:type="dxa"/>
            <w:vAlign w:val="bottom"/>
            <w:shd w:val="clear" w:color="auto" w:fill="BF2115"/>
          </w:tcPr>
          <w:p>
            <w:pPr>
              <w:spacing w:after="0"/>
              <w:rPr>
                <w:sz w:val="9"/>
                <w:szCs w:val="9"/>
                <w:color w:val="auto"/>
              </w:rPr>
            </w:pPr>
          </w:p>
        </w:tc>
        <w:tc>
          <w:tcPr>
            <w:tcW w:w="1200" w:type="dxa"/>
            <w:vAlign w:val="bottom"/>
            <w:vMerge w:val="continue"/>
            <w:shd w:val="clear" w:color="auto" w:fill="BF2115"/>
          </w:tcPr>
          <w:p>
            <w:pPr>
              <w:spacing w:after="0"/>
              <w:rPr>
                <w:sz w:val="9"/>
                <w:szCs w:val="9"/>
                <w:color w:val="auto"/>
              </w:rPr>
            </w:pPr>
          </w:p>
        </w:tc>
        <w:tc>
          <w:tcPr>
            <w:tcW w:w="1180" w:type="dxa"/>
            <w:vAlign w:val="bottom"/>
            <w:shd w:val="clear" w:color="auto" w:fill="BF2115"/>
          </w:tcPr>
          <w:p>
            <w:pPr>
              <w:jc w:val="center"/>
              <w:spacing w:after="0" w:line="106" w:lineRule="exact"/>
              <w:rPr>
                <w:sz w:val="20"/>
                <w:szCs w:val="20"/>
                <w:color w:val="auto"/>
              </w:rPr>
            </w:pPr>
            <w:r>
              <w:rPr>
                <w:rFonts w:ascii="Arial" w:cs="Arial" w:eastAsia="Arial" w:hAnsi="Arial"/>
                <w:sz w:val="10"/>
                <w:szCs w:val="10"/>
                <w:b w:val="1"/>
                <w:bCs w:val="1"/>
                <w:color w:val="FFFFFF"/>
              </w:rPr>
              <w:t>Not Vested</w:t>
            </w:r>
            <w:r>
              <w:rPr>
                <w:rFonts w:ascii="Arial" w:cs="Arial" w:eastAsia="Arial" w:hAnsi="Arial"/>
                <w:sz w:val="12"/>
                <w:szCs w:val="12"/>
                <w:b w:val="1"/>
                <w:bCs w:val="1"/>
                <w:color w:val="FFFFFF"/>
                <w:vertAlign w:val="superscript"/>
              </w:rPr>
              <w:t>5</w:t>
            </w:r>
          </w:p>
        </w:tc>
        <w:tc>
          <w:tcPr>
            <w:tcW w:w="0" w:type="dxa"/>
            <w:vAlign w:val="bottom"/>
          </w:tcPr>
          <w:p>
            <w:pPr>
              <w:spacing w:after="0"/>
              <w:rPr>
                <w:sz w:val="1"/>
                <w:szCs w:val="1"/>
                <w:color w:val="auto"/>
              </w:rPr>
            </w:pPr>
          </w:p>
        </w:tc>
      </w:tr>
      <w:tr>
        <w:trPr>
          <w:trHeight w:val="70"/>
        </w:trPr>
        <w:tc>
          <w:tcPr>
            <w:tcW w:w="2240" w:type="dxa"/>
            <w:vAlign w:val="bottom"/>
            <w:vMerge w:val="continue"/>
            <w:shd w:val="clear" w:color="auto" w:fill="BF2115"/>
          </w:tcPr>
          <w:p>
            <w:pPr>
              <w:spacing w:after="0"/>
              <w:rPr>
                <w:sz w:val="6"/>
                <w:szCs w:val="6"/>
                <w:color w:val="auto"/>
              </w:rPr>
            </w:pPr>
          </w:p>
        </w:tc>
        <w:tc>
          <w:tcPr>
            <w:tcW w:w="1160" w:type="dxa"/>
            <w:vAlign w:val="bottom"/>
            <w:shd w:val="clear" w:color="auto" w:fill="BF2115"/>
          </w:tcPr>
          <w:p>
            <w:pPr>
              <w:jc w:val="center"/>
              <w:spacing w:after="0" w:line="70" w:lineRule="exact"/>
              <w:rPr>
                <w:sz w:val="20"/>
                <w:szCs w:val="20"/>
                <w:color w:val="auto"/>
              </w:rPr>
            </w:pPr>
            <w:r>
              <w:rPr>
                <w:rFonts w:ascii="Arial" w:cs="Arial" w:eastAsia="Arial" w:hAnsi="Arial"/>
                <w:sz w:val="7"/>
                <w:szCs w:val="7"/>
                <w:b w:val="1"/>
                <w:bCs w:val="1"/>
                <w:color w:val="FFFFFF"/>
              </w:rPr>
              <w:t>(#)</w:t>
            </w:r>
          </w:p>
        </w:tc>
        <w:tc>
          <w:tcPr>
            <w:tcW w:w="1200" w:type="dxa"/>
            <w:vAlign w:val="bottom"/>
            <w:shd w:val="clear" w:color="auto" w:fill="BF2115"/>
          </w:tcPr>
          <w:p>
            <w:pPr>
              <w:jc w:val="center"/>
              <w:spacing w:after="0" w:line="70" w:lineRule="exact"/>
              <w:rPr>
                <w:sz w:val="20"/>
                <w:szCs w:val="20"/>
                <w:color w:val="auto"/>
              </w:rPr>
            </w:pPr>
            <w:r>
              <w:rPr>
                <w:rFonts w:ascii="Arial" w:cs="Arial" w:eastAsia="Arial" w:hAnsi="Arial"/>
                <w:sz w:val="7"/>
                <w:szCs w:val="7"/>
                <w:b w:val="1"/>
                <w:bCs w:val="1"/>
                <w:color w:val="FFFFFF"/>
              </w:rPr>
              <w:t>(#)</w:t>
            </w:r>
          </w:p>
        </w:tc>
        <w:tc>
          <w:tcPr>
            <w:tcW w:w="1180" w:type="dxa"/>
            <w:vAlign w:val="bottom"/>
            <w:shd w:val="clear" w:color="auto" w:fill="BF2115"/>
          </w:tcPr>
          <w:p>
            <w:pPr>
              <w:jc w:val="center"/>
              <w:spacing w:after="0" w:line="70" w:lineRule="exact"/>
              <w:rPr>
                <w:sz w:val="20"/>
                <w:szCs w:val="20"/>
                <w:color w:val="auto"/>
              </w:rPr>
            </w:pPr>
            <w:r>
              <w:rPr>
                <w:rFonts w:ascii="Arial" w:cs="Arial" w:eastAsia="Arial" w:hAnsi="Arial"/>
                <w:sz w:val="7"/>
                <w:szCs w:val="7"/>
                <w:b w:val="1"/>
                <w:bCs w:val="1"/>
                <w:color w:val="FFFFFF"/>
              </w:rPr>
              <w:t>($)</w:t>
            </w:r>
          </w:p>
        </w:tc>
        <w:tc>
          <w:tcPr>
            <w:tcW w:w="1180" w:type="dxa"/>
            <w:vAlign w:val="bottom"/>
            <w:shd w:val="clear" w:color="auto" w:fill="BF2115"/>
          </w:tcPr>
          <w:p>
            <w:pPr>
              <w:jc w:val="center"/>
              <w:spacing w:after="0" w:line="70" w:lineRule="exact"/>
              <w:rPr>
                <w:sz w:val="20"/>
                <w:szCs w:val="20"/>
                <w:color w:val="auto"/>
              </w:rPr>
            </w:pPr>
            <w:r>
              <w:rPr>
                <w:rFonts w:ascii="Arial" w:cs="Arial" w:eastAsia="Arial" w:hAnsi="Arial"/>
                <w:sz w:val="7"/>
                <w:szCs w:val="7"/>
                <w:b w:val="1"/>
                <w:bCs w:val="1"/>
                <w:color w:val="FFFFFF"/>
              </w:rPr>
              <w:t>Date</w:t>
            </w:r>
          </w:p>
        </w:tc>
        <w:tc>
          <w:tcPr>
            <w:tcW w:w="720" w:type="dxa"/>
            <w:vAlign w:val="bottom"/>
            <w:shd w:val="clear" w:color="auto" w:fill="BF2115"/>
          </w:tcPr>
          <w:p>
            <w:pPr>
              <w:jc w:val="center"/>
              <w:spacing w:after="0" w:line="70" w:lineRule="exact"/>
              <w:rPr>
                <w:sz w:val="20"/>
                <w:szCs w:val="20"/>
                <w:color w:val="auto"/>
              </w:rPr>
            </w:pPr>
            <w:r>
              <w:rPr>
                <w:rFonts w:ascii="Arial" w:cs="Arial" w:eastAsia="Arial" w:hAnsi="Arial"/>
                <w:sz w:val="7"/>
                <w:szCs w:val="7"/>
                <w:b w:val="1"/>
                <w:bCs w:val="1"/>
                <w:color w:val="FFFFFF"/>
              </w:rPr>
              <w:t>(#)</w:t>
            </w:r>
          </w:p>
        </w:tc>
        <w:tc>
          <w:tcPr>
            <w:tcW w:w="960" w:type="dxa"/>
            <w:vAlign w:val="bottom"/>
            <w:shd w:val="clear" w:color="auto" w:fill="BF2115"/>
          </w:tcPr>
          <w:p>
            <w:pPr>
              <w:jc w:val="center"/>
              <w:ind w:left="167"/>
              <w:spacing w:after="0" w:line="70" w:lineRule="exact"/>
              <w:rPr>
                <w:sz w:val="20"/>
                <w:szCs w:val="20"/>
                <w:color w:val="auto"/>
              </w:rPr>
            </w:pPr>
            <w:r>
              <w:rPr>
                <w:rFonts w:ascii="Arial" w:cs="Arial" w:eastAsia="Arial" w:hAnsi="Arial"/>
                <w:sz w:val="7"/>
                <w:szCs w:val="7"/>
                <w:b w:val="1"/>
                <w:bCs w:val="1"/>
                <w:color w:val="FFFFFF"/>
              </w:rPr>
              <w:t>($)</w:t>
            </w:r>
          </w:p>
        </w:tc>
        <w:tc>
          <w:tcPr>
            <w:tcW w:w="1420" w:type="dxa"/>
            <w:vAlign w:val="bottom"/>
            <w:gridSpan w:val="2"/>
            <w:shd w:val="clear" w:color="auto" w:fill="BF2115"/>
          </w:tcPr>
          <w:p>
            <w:pPr>
              <w:jc w:val="center"/>
              <w:ind w:left="166"/>
              <w:spacing w:after="0" w:line="70" w:lineRule="exact"/>
              <w:rPr>
                <w:sz w:val="20"/>
                <w:szCs w:val="20"/>
                <w:color w:val="auto"/>
              </w:rPr>
            </w:pPr>
            <w:r>
              <w:rPr>
                <w:rFonts w:ascii="Arial" w:cs="Arial" w:eastAsia="Arial" w:hAnsi="Arial"/>
                <w:sz w:val="7"/>
                <w:szCs w:val="7"/>
                <w:b w:val="1"/>
                <w:bCs w:val="1"/>
                <w:color w:val="FFFFFF"/>
              </w:rPr>
              <w:t>(#)</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7"/>
                <w:szCs w:val="7"/>
                <w:b w:val="1"/>
                <w:bCs w:val="1"/>
                <w:color w:val="FFFFFF"/>
                <w:w w:val="92"/>
              </w:rPr>
              <w:t>($)</w:t>
            </w:r>
          </w:p>
        </w:tc>
        <w:tc>
          <w:tcPr>
            <w:tcW w:w="0" w:type="dxa"/>
            <w:vAlign w:val="bottom"/>
          </w:tcPr>
          <w:p>
            <w:pPr>
              <w:spacing w:after="0"/>
              <w:rPr>
                <w:sz w:val="1"/>
                <w:szCs w:val="1"/>
                <w:color w:val="auto"/>
              </w:rPr>
            </w:pPr>
          </w:p>
        </w:tc>
      </w:tr>
      <w:tr>
        <w:trPr>
          <w:trHeight w:val="60"/>
        </w:trPr>
        <w:tc>
          <w:tcPr>
            <w:tcW w:w="2240" w:type="dxa"/>
            <w:vAlign w:val="bottom"/>
            <w:tcBorders>
              <w:bottom w:val="single" w:sz="8" w:color="BF2115"/>
            </w:tcBorders>
            <w:shd w:val="clear" w:color="auto" w:fill="BF2115"/>
          </w:tcPr>
          <w:p>
            <w:pPr>
              <w:spacing w:after="0"/>
              <w:rPr>
                <w:sz w:val="5"/>
                <w:szCs w:val="5"/>
                <w:color w:val="auto"/>
              </w:rPr>
            </w:pPr>
          </w:p>
        </w:tc>
        <w:tc>
          <w:tcPr>
            <w:tcW w:w="1160" w:type="dxa"/>
            <w:vAlign w:val="bottom"/>
            <w:tcBorders>
              <w:bottom w:val="single" w:sz="8" w:color="BF2115"/>
            </w:tcBorders>
            <w:shd w:val="clear" w:color="auto" w:fill="BF2115"/>
          </w:tcPr>
          <w:p>
            <w:pPr>
              <w:spacing w:after="0"/>
              <w:rPr>
                <w:sz w:val="5"/>
                <w:szCs w:val="5"/>
                <w:color w:val="auto"/>
              </w:rPr>
            </w:pPr>
          </w:p>
        </w:tc>
        <w:tc>
          <w:tcPr>
            <w:tcW w:w="1200" w:type="dxa"/>
            <w:vAlign w:val="bottom"/>
            <w:tcBorders>
              <w:bottom w:val="single" w:sz="8" w:color="BF2115"/>
            </w:tcBorders>
            <w:shd w:val="clear" w:color="auto" w:fill="BF2115"/>
          </w:tcPr>
          <w:p>
            <w:pPr>
              <w:spacing w:after="0"/>
              <w:rPr>
                <w:sz w:val="5"/>
                <w:szCs w:val="5"/>
                <w:color w:val="auto"/>
              </w:rPr>
            </w:pPr>
          </w:p>
        </w:tc>
        <w:tc>
          <w:tcPr>
            <w:tcW w:w="1180" w:type="dxa"/>
            <w:vAlign w:val="bottom"/>
            <w:tcBorders>
              <w:bottom w:val="single" w:sz="8" w:color="BF2115"/>
            </w:tcBorders>
            <w:shd w:val="clear" w:color="auto" w:fill="BF2115"/>
          </w:tcPr>
          <w:p>
            <w:pPr>
              <w:spacing w:after="0"/>
              <w:rPr>
                <w:sz w:val="5"/>
                <w:szCs w:val="5"/>
                <w:color w:val="auto"/>
              </w:rPr>
            </w:pPr>
          </w:p>
        </w:tc>
        <w:tc>
          <w:tcPr>
            <w:tcW w:w="1180" w:type="dxa"/>
            <w:vAlign w:val="bottom"/>
            <w:tcBorders>
              <w:bottom w:val="single" w:sz="8" w:color="BF2115"/>
            </w:tcBorders>
            <w:shd w:val="clear" w:color="auto" w:fill="BF2115"/>
          </w:tcPr>
          <w:p>
            <w:pPr>
              <w:spacing w:after="0"/>
              <w:rPr>
                <w:sz w:val="5"/>
                <w:szCs w:val="5"/>
                <w:color w:val="auto"/>
              </w:rPr>
            </w:pPr>
          </w:p>
        </w:tc>
        <w:tc>
          <w:tcPr>
            <w:tcW w:w="720" w:type="dxa"/>
            <w:vAlign w:val="bottom"/>
            <w:tcBorders>
              <w:bottom w:val="single" w:sz="8" w:color="BF2115"/>
            </w:tcBorders>
            <w:shd w:val="clear" w:color="auto" w:fill="BF2115"/>
          </w:tcPr>
          <w:p>
            <w:pPr>
              <w:spacing w:after="0"/>
              <w:rPr>
                <w:sz w:val="5"/>
                <w:szCs w:val="5"/>
                <w:color w:val="auto"/>
              </w:rPr>
            </w:pPr>
          </w:p>
        </w:tc>
        <w:tc>
          <w:tcPr>
            <w:tcW w:w="960" w:type="dxa"/>
            <w:vAlign w:val="bottom"/>
            <w:tcBorders>
              <w:bottom w:val="single" w:sz="8" w:color="BF2115"/>
            </w:tcBorders>
            <w:shd w:val="clear" w:color="auto" w:fill="BF2115"/>
          </w:tcPr>
          <w:p>
            <w:pPr>
              <w:spacing w:after="0"/>
              <w:rPr>
                <w:sz w:val="5"/>
                <w:szCs w:val="5"/>
                <w:color w:val="auto"/>
              </w:rPr>
            </w:pPr>
          </w:p>
        </w:tc>
        <w:tc>
          <w:tcPr>
            <w:tcW w:w="220" w:type="dxa"/>
            <w:vAlign w:val="bottom"/>
            <w:tcBorders>
              <w:bottom w:val="single" w:sz="8" w:color="BF2115"/>
            </w:tcBorders>
            <w:shd w:val="clear" w:color="auto" w:fill="BF2115"/>
          </w:tcPr>
          <w:p>
            <w:pPr>
              <w:spacing w:after="0"/>
              <w:rPr>
                <w:sz w:val="5"/>
                <w:szCs w:val="5"/>
                <w:color w:val="auto"/>
              </w:rPr>
            </w:pPr>
          </w:p>
        </w:tc>
        <w:tc>
          <w:tcPr>
            <w:tcW w:w="1200" w:type="dxa"/>
            <w:vAlign w:val="bottom"/>
            <w:tcBorders>
              <w:bottom w:val="single" w:sz="8" w:color="BF2115"/>
            </w:tcBorders>
            <w:shd w:val="clear" w:color="auto" w:fill="BF2115"/>
          </w:tcPr>
          <w:p>
            <w:pPr>
              <w:spacing w:after="0"/>
              <w:rPr>
                <w:sz w:val="5"/>
                <w:szCs w:val="5"/>
                <w:color w:val="auto"/>
              </w:rPr>
            </w:pPr>
          </w:p>
        </w:tc>
        <w:tc>
          <w:tcPr>
            <w:tcW w:w="1180" w:type="dxa"/>
            <w:vAlign w:val="bottom"/>
            <w:tcBorders>
              <w:bottom w:val="single" w:sz="8" w:color="BF2115"/>
            </w:tcBorders>
            <w:vMerge w:val="continue"/>
            <w:shd w:val="clear" w:color="auto" w:fill="BF2115"/>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240" w:type="dxa"/>
            <w:vAlign w:val="bottom"/>
          </w:tcPr>
          <w:p>
            <w:pPr>
              <w:ind w:left="20"/>
              <w:spacing w:after="0"/>
              <w:rPr>
                <w:sz w:val="20"/>
                <w:szCs w:val="20"/>
                <w:color w:val="auto"/>
              </w:rPr>
            </w:pPr>
            <w:r>
              <w:rPr>
                <w:rFonts w:ascii="Arial" w:cs="Arial" w:eastAsia="Arial" w:hAnsi="Arial"/>
                <w:sz w:val="12"/>
                <w:szCs w:val="12"/>
                <w:color w:val="auto"/>
              </w:rPr>
              <w:t>Richard M. Olson</w:t>
            </w:r>
          </w:p>
        </w:tc>
        <w:tc>
          <w:tcPr>
            <w:tcW w:w="1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Stock Options</w:t>
            </w:r>
          </w:p>
        </w:tc>
        <w:tc>
          <w:tcPr>
            <w:tcW w:w="1160" w:type="dxa"/>
            <w:vAlign w:val="bottom"/>
          </w:tcPr>
          <w:p>
            <w:pPr>
              <w:jc w:val="right"/>
              <w:spacing w:after="0"/>
              <w:rPr>
                <w:sz w:val="20"/>
                <w:szCs w:val="20"/>
                <w:color w:val="auto"/>
              </w:rPr>
            </w:pPr>
            <w:r>
              <w:rPr>
                <w:rFonts w:ascii="Arial" w:cs="Arial" w:eastAsia="Arial" w:hAnsi="Arial"/>
                <w:sz w:val="12"/>
                <w:szCs w:val="12"/>
                <w:color w:val="auto"/>
              </w:rPr>
              <w:t>119,400</w:t>
            </w:r>
          </w:p>
        </w:tc>
        <w:tc>
          <w:tcPr>
            <w:tcW w:w="1200" w:type="dxa"/>
            <w:vAlign w:val="bottom"/>
          </w:tcPr>
          <w:p>
            <w:pPr>
              <w:jc w:val="right"/>
              <w:spacing w:after="0"/>
              <w:rPr>
                <w:sz w:val="20"/>
                <w:szCs w:val="20"/>
                <w:color w:val="auto"/>
              </w:rPr>
            </w:pPr>
            <w:r>
              <w:rPr>
                <w:rFonts w:ascii="Arial" w:cs="Arial" w:eastAsia="Arial" w:hAnsi="Arial"/>
                <w:sz w:val="12"/>
                <w:szCs w:val="12"/>
                <w:color w:val="auto"/>
              </w:rPr>
              <w:t>0</w:t>
            </w:r>
          </w:p>
        </w:tc>
        <w:tc>
          <w:tcPr>
            <w:tcW w:w="1180" w:type="dxa"/>
            <w:vAlign w:val="bottom"/>
          </w:tcPr>
          <w:p>
            <w:pPr>
              <w:jc w:val="right"/>
              <w:spacing w:after="0"/>
              <w:rPr>
                <w:sz w:val="20"/>
                <w:szCs w:val="20"/>
                <w:color w:val="auto"/>
              </w:rPr>
            </w:pPr>
            <w:r>
              <w:rPr>
                <w:rFonts w:ascii="Arial" w:cs="Arial" w:eastAsia="Arial" w:hAnsi="Arial"/>
                <w:sz w:val="12"/>
                <w:szCs w:val="12"/>
                <w:color w:val="auto"/>
              </w:rPr>
              <w:t>56.5400</w:t>
            </w:r>
          </w:p>
        </w:tc>
        <w:tc>
          <w:tcPr>
            <w:tcW w:w="1180" w:type="dxa"/>
            <w:vAlign w:val="bottom"/>
          </w:tcPr>
          <w:p>
            <w:pPr>
              <w:jc w:val="right"/>
              <w:spacing w:after="0"/>
              <w:rPr>
                <w:sz w:val="20"/>
                <w:szCs w:val="20"/>
                <w:color w:val="auto"/>
              </w:rPr>
            </w:pPr>
            <w:r>
              <w:rPr>
                <w:rFonts w:ascii="Arial" w:cs="Arial" w:eastAsia="Arial" w:hAnsi="Arial"/>
                <w:sz w:val="12"/>
                <w:szCs w:val="12"/>
                <w:color w:val="auto"/>
              </w:rPr>
              <w:t>12/09/2026</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102,400</w:t>
            </w:r>
          </w:p>
        </w:tc>
        <w:tc>
          <w:tcPr>
            <w:tcW w:w="1200" w:type="dxa"/>
            <w:vAlign w:val="bottom"/>
          </w:tcPr>
          <w:p>
            <w:pPr>
              <w:jc w:val="right"/>
              <w:spacing w:after="0"/>
              <w:rPr>
                <w:sz w:val="20"/>
                <w:szCs w:val="20"/>
                <w:color w:val="auto"/>
              </w:rPr>
            </w:pPr>
            <w:r>
              <w:rPr>
                <w:rFonts w:ascii="Arial" w:cs="Arial" w:eastAsia="Arial" w:hAnsi="Arial"/>
                <w:sz w:val="12"/>
                <w:szCs w:val="12"/>
                <w:color w:val="auto"/>
              </w:rPr>
              <w:t>0</w:t>
            </w:r>
          </w:p>
        </w:tc>
        <w:tc>
          <w:tcPr>
            <w:tcW w:w="1180" w:type="dxa"/>
            <w:vAlign w:val="bottom"/>
          </w:tcPr>
          <w:p>
            <w:pPr>
              <w:jc w:val="right"/>
              <w:spacing w:after="0"/>
              <w:rPr>
                <w:sz w:val="20"/>
                <w:szCs w:val="20"/>
                <w:color w:val="auto"/>
              </w:rPr>
            </w:pPr>
            <w:r>
              <w:rPr>
                <w:rFonts w:ascii="Arial" w:cs="Arial" w:eastAsia="Arial" w:hAnsi="Arial"/>
                <w:sz w:val="12"/>
                <w:szCs w:val="12"/>
                <w:color w:val="auto"/>
              </w:rPr>
              <w:t>65.9300</w:t>
            </w:r>
          </w:p>
        </w:tc>
        <w:tc>
          <w:tcPr>
            <w:tcW w:w="1180" w:type="dxa"/>
            <w:vAlign w:val="bottom"/>
          </w:tcPr>
          <w:p>
            <w:pPr>
              <w:jc w:val="right"/>
              <w:spacing w:after="0"/>
              <w:rPr>
                <w:sz w:val="20"/>
                <w:szCs w:val="20"/>
                <w:color w:val="auto"/>
              </w:rPr>
            </w:pPr>
            <w:r>
              <w:rPr>
                <w:rFonts w:ascii="Arial" w:cs="Arial" w:eastAsia="Arial" w:hAnsi="Arial"/>
                <w:sz w:val="12"/>
                <w:szCs w:val="12"/>
                <w:color w:val="auto"/>
              </w:rPr>
              <w:t>12/08/2027</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137,100</w:t>
            </w:r>
          </w:p>
        </w:tc>
        <w:tc>
          <w:tcPr>
            <w:tcW w:w="1200" w:type="dxa"/>
            <w:vAlign w:val="bottom"/>
          </w:tcPr>
          <w:p>
            <w:pPr>
              <w:jc w:val="right"/>
              <w:spacing w:after="0"/>
              <w:rPr>
                <w:sz w:val="20"/>
                <w:szCs w:val="20"/>
                <w:color w:val="auto"/>
              </w:rPr>
            </w:pPr>
            <w:r>
              <w:rPr>
                <w:rFonts w:ascii="Arial" w:cs="Arial" w:eastAsia="Arial" w:hAnsi="Arial"/>
                <w:sz w:val="12"/>
                <w:szCs w:val="12"/>
                <w:color w:val="auto"/>
              </w:rPr>
              <w:t>0</w:t>
            </w:r>
          </w:p>
        </w:tc>
        <w:tc>
          <w:tcPr>
            <w:tcW w:w="1180" w:type="dxa"/>
            <w:vAlign w:val="bottom"/>
          </w:tcPr>
          <w:p>
            <w:pPr>
              <w:jc w:val="right"/>
              <w:spacing w:after="0"/>
              <w:rPr>
                <w:sz w:val="20"/>
                <w:szCs w:val="20"/>
                <w:color w:val="auto"/>
              </w:rPr>
            </w:pPr>
            <w:r>
              <w:rPr>
                <w:rFonts w:ascii="Arial" w:cs="Arial" w:eastAsia="Arial" w:hAnsi="Arial"/>
                <w:sz w:val="12"/>
                <w:szCs w:val="12"/>
                <w:color w:val="auto"/>
              </w:rPr>
              <w:t>58.5300</w:t>
            </w:r>
          </w:p>
        </w:tc>
        <w:tc>
          <w:tcPr>
            <w:tcW w:w="1180" w:type="dxa"/>
            <w:vAlign w:val="bottom"/>
          </w:tcPr>
          <w:p>
            <w:pPr>
              <w:jc w:val="right"/>
              <w:spacing w:after="0"/>
              <w:rPr>
                <w:sz w:val="20"/>
                <w:szCs w:val="20"/>
                <w:color w:val="auto"/>
              </w:rPr>
            </w:pPr>
            <w:r>
              <w:rPr>
                <w:rFonts w:ascii="Arial" w:cs="Arial" w:eastAsia="Arial" w:hAnsi="Arial"/>
                <w:sz w:val="12"/>
                <w:szCs w:val="12"/>
                <w:color w:val="auto"/>
              </w:rPr>
              <w:t>12/07/2028</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152,900</w:t>
            </w:r>
          </w:p>
        </w:tc>
        <w:tc>
          <w:tcPr>
            <w:tcW w:w="1200" w:type="dxa"/>
            <w:vAlign w:val="bottom"/>
          </w:tcPr>
          <w:p>
            <w:pPr>
              <w:jc w:val="right"/>
              <w:spacing w:after="0"/>
              <w:rPr>
                <w:sz w:val="20"/>
                <w:szCs w:val="20"/>
                <w:color w:val="auto"/>
              </w:rPr>
            </w:pPr>
            <w:r>
              <w:rPr>
                <w:rFonts w:ascii="Arial" w:cs="Arial" w:eastAsia="Arial" w:hAnsi="Arial"/>
                <w:sz w:val="12"/>
                <w:szCs w:val="12"/>
                <w:color w:val="auto"/>
              </w:rPr>
              <w:t>0</w:t>
            </w:r>
          </w:p>
        </w:tc>
        <w:tc>
          <w:tcPr>
            <w:tcW w:w="1180" w:type="dxa"/>
            <w:vAlign w:val="bottom"/>
          </w:tcPr>
          <w:p>
            <w:pPr>
              <w:jc w:val="right"/>
              <w:spacing w:after="0"/>
              <w:rPr>
                <w:sz w:val="20"/>
                <w:szCs w:val="20"/>
                <w:color w:val="auto"/>
              </w:rPr>
            </w:pPr>
            <w:r>
              <w:rPr>
                <w:rFonts w:ascii="Arial" w:cs="Arial" w:eastAsia="Arial" w:hAnsi="Arial"/>
                <w:sz w:val="12"/>
                <w:szCs w:val="12"/>
                <w:color w:val="auto"/>
              </w:rPr>
              <w:t>76.5300</w:t>
            </w:r>
          </w:p>
        </w:tc>
        <w:tc>
          <w:tcPr>
            <w:tcW w:w="1180" w:type="dxa"/>
            <w:vAlign w:val="bottom"/>
          </w:tcPr>
          <w:p>
            <w:pPr>
              <w:jc w:val="right"/>
              <w:spacing w:after="0"/>
              <w:rPr>
                <w:sz w:val="20"/>
                <w:szCs w:val="20"/>
                <w:color w:val="auto"/>
              </w:rPr>
            </w:pPr>
            <w:r>
              <w:rPr>
                <w:rFonts w:ascii="Arial" w:cs="Arial" w:eastAsia="Arial" w:hAnsi="Arial"/>
                <w:sz w:val="12"/>
                <w:szCs w:val="12"/>
                <w:color w:val="auto"/>
              </w:rPr>
              <w:t>12/19/2029</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134,300</w:t>
            </w:r>
          </w:p>
        </w:tc>
        <w:tc>
          <w:tcPr>
            <w:tcW w:w="1200" w:type="dxa"/>
            <w:vAlign w:val="bottom"/>
          </w:tcPr>
          <w:p>
            <w:pPr>
              <w:jc w:val="right"/>
              <w:spacing w:after="0"/>
              <w:rPr>
                <w:sz w:val="20"/>
                <w:szCs w:val="20"/>
                <w:color w:val="auto"/>
              </w:rPr>
            </w:pPr>
            <w:r>
              <w:rPr>
                <w:rFonts w:ascii="Arial" w:cs="Arial" w:eastAsia="Arial" w:hAnsi="Arial"/>
                <w:sz w:val="12"/>
                <w:szCs w:val="12"/>
                <w:color w:val="auto"/>
              </w:rPr>
              <w:t>0</w:t>
            </w:r>
          </w:p>
        </w:tc>
        <w:tc>
          <w:tcPr>
            <w:tcW w:w="1180" w:type="dxa"/>
            <w:vAlign w:val="bottom"/>
          </w:tcPr>
          <w:p>
            <w:pPr>
              <w:jc w:val="right"/>
              <w:spacing w:after="0"/>
              <w:rPr>
                <w:sz w:val="20"/>
                <w:szCs w:val="20"/>
                <w:color w:val="auto"/>
              </w:rPr>
            </w:pPr>
            <w:r>
              <w:rPr>
                <w:rFonts w:ascii="Arial" w:cs="Arial" w:eastAsia="Arial" w:hAnsi="Arial"/>
                <w:sz w:val="12"/>
                <w:szCs w:val="12"/>
                <w:color w:val="auto"/>
              </w:rPr>
              <w:t>93.3300</w:t>
            </w:r>
          </w:p>
        </w:tc>
        <w:tc>
          <w:tcPr>
            <w:tcW w:w="1180" w:type="dxa"/>
            <w:vAlign w:val="bottom"/>
          </w:tcPr>
          <w:p>
            <w:pPr>
              <w:jc w:val="right"/>
              <w:spacing w:after="0"/>
              <w:rPr>
                <w:sz w:val="20"/>
                <w:szCs w:val="20"/>
                <w:color w:val="auto"/>
              </w:rPr>
            </w:pPr>
            <w:r>
              <w:rPr>
                <w:rFonts w:ascii="Arial" w:cs="Arial" w:eastAsia="Arial" w:hAnsi="Arial"/>
                <w:sz w:val="12"/>
                <w:szCs w:val="12"/>
                <w:color w:val="auto"/>
              </w:rPr>
              <w:t>12/17/2030</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109,100</w:t>
            </w:r>
          </w:p>
        </w:tc>
        <w:tc>
          <w:tcPr>
            <w:tcW w:w="1200" w:type="dxa"/>
            <w:vAlign w:val="bottom"/>
          </w:tcPr>
          <w:p>
            <w:pPr>
              <w:jc w:val="right"/>
              <w:spacing w:after="0"/>
              <w:rPr>
                <w:sz w:val="20"/>
                <w:szCs w:val="20"/>
                <w:color w:val="auto"/>
              </w:rPr>
            </w:pPr>
            <w:r>
              <w:rPr>
                <w:rFonts w:ascii="Arial" w:cs="Arial" w:eastAsia="Arial" w:hAnsi="Arial"/>
                <w:sz w:val="12"/>
                <w:szCs w:val="12"/>
                <w:color w:val="auto"/>
              </w:rPr>
              <w:t>0</w:t>
            </w:r>
          </w:p>
        </w:tc>
        <w:tc>
          <w:tcPr>
            <w:tcW w:w="1180" w:type="dxa"/>
            <w:vAlign w:val="bottom"/>
          </w:tcPr>
          <w:p>
            <w:pPr>
              <w:jc w:val="right"/>
              <w:spacing w:after="0"/>
              <w:rPr>
                <w:sz w:val="20"/>
                <w:szCs w:val="20"/>
                <w:color w:val="auto"/>
              </w:rPr>
            </w:pPr>
            <w:r>
              <w:rPr>
                <w:rFonts w:ascii="Arial" w:cs="Arial" w:eastAsia="Arial" w:hAnsi="Arial"/>
                <w:sz w:val="12"/>
                <w:szCs w:val="12"/>
                <w:color w:val="auto"/>
              </w:rPr>
              <w:t>99.3400</w:t>
            </w:r>
          </w:p>
        </w:tc>
        <w:tc>
          <w:tcPr>
            <w:tcW w:w="1180" w:type="dxa"/>
            <w:vAlign w:val="bottom"/>
          </w:tcPr>
          <w:p>
            <w:pPr>
              <w:jc w:val="right"/>
              <w:spacing w:after="0"/>
              <w:rPr>
                <w:sz w:val="20"/>
                <w:szCs w:val="20"/>
                <w:color w:val="auto"/>
              </w:rPr>
            </w:pPr>
            <w:r>
              <w:rPr>
                <w:rFonts w:ascii="Arial" w:cs="Arial" w:eastAsia="Arial" w:hAnsi="Arial"/>
                <w:sz w:val="12"/>
                <w:szCs w:val="12"/>
                <w:color w:val="auto"/>
              </w:rPr>
              <w:t>12/16/2031</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72,800</w:t>
            </w:r>
          </w:p>
        </w:tc>
        <w:tc>
          <w:tcPr>
            <w:tcW w:w="1200" w:type="dxa"/>
            <w:vAlign w:val="bottom"/>
          </w:tcPr>
          <w:p>
            <w:pPr>
              <w:jc w:val="right"/>
              <w:spacing w:after="0"/>
              <w:rPr>
                <w:sz w:val="20"/>
                <w:szCs w:val="20"/>
                <w:color w:val="auto"/>
              </w:rPr>
            </w:pPr>
            <w:r>
              <w:rPr>
                <w:rFonts w:ascii="Arial" w:cs="Arial" w:eastAsia="Arial" w:hAnsi="Arial"/>
                <w:sz w:val="12"/>
                <w:szCs w:val="12"/>
                <w:color w:val="auto"/>
              </w:rPr>
              <w:t>36,400</w:t>
            </w:r>
          </w:p>
        </w:tc>
        <w:tc>
          <w:tcPr>
            <w:tcW w:w="1180" w:type="dxa"/>
            <w:vAlign w:val="bottom"/>
          </w:tcPr>
          <w:p>
            <w:pPr>
              <w:jc w:val="right"/>
              <w:spacing w:after="0"/>
              <w:rPr>
                <w:sz w:val="20"/>
                <w:szCs w:val="20"/>
                <w:color w:val="auto"/>
              </w:rPr>
            </w:pPr>
            <w:r>
              <w:rPr>
                <w:rFonts w:ascii="Arial" w:cs="Arial" w:eastAsia="Arial" w:hAnsi="Arial"/>
                <w:sz w:val="12"/>
                <w:szCs w:val="12"/>
                <w:color w:val="auto"/>
              </w:rPr>
              <w:t>111.1500</w:t>
            </w:r>
          </w:p>
        </w:tc>
        <w:tc>
          <w:tcPr>
            <w:tcW w:w="1180" w:type="dxa"/>
            <w:vAlign w:val="bottom"/>
          </w:tcPr>
          <w:p>
            <w:pPr>
              <w:jc w:val="right"/>
              <w:spacing w:after="0"/>
              <w:rPr>
                <w:sz w:val="20"/>
                <w:szCs w:val="20"/>
                <w:color w:val="auto"/>
              </w:rPr>
            </w:pPr>
            <w:r>
              <w:rPr>
                <w:rFonts w:ascii="Arial" w:cs="Arial" w:eastAsia="Arial" w:hAnsi="Arial"/>
                <w:sz w:val="12"/>
                <w:szCs w:val="12"/>
                <w:color w:val="auto"/>
              </w:rPr>
              <w:t>12/22/2032</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33,766</w:t>
            </w:r>
          </w:p>
        </w:tc>
        <w:tc>
          <w:tcPr>
            <w:tcW w:w="1200" w:type="dxa"/>
            <w:vAlign w:val="bottom"/>
          </w:tcPr>
          <w:p>
            <w:pPr>
              <w:jc w:val="right"/>
              <w:spacing w:after="0"/>
              <w:rPr>
                <w:sz w:val="20"/>
                <w:szCs w:val="20"/>
                <w:color w:val="auto"/>
              </w:rPr>
            </w:pPr>
            <w:r>
              <w:rPr>
                <w:rFonts w:ascii="Arial" w:cs="Arial" w:eastAsia="Arial" w:hAnsi="Arial"/>
                <w:sz w:val="12"/>
                <w:szCs w:val="12"/>
                <w:color w:val="auto"/>
              </w:rPr>
              <w:t>67,534</w:t>
            </w:r>
          </w:p>
        </w:tc>
        <w:tc>
          <w:tcPr>
            <w:tcW w:w="1180" w:type="dxa"/>
            <w:vAlign w:val="bottom"/>
          </w:tcPr>
          <w:p>
            <w:pPr>
              <w:jc w:val="right"/>
              <w:spacing w:after="0"/>
              <w:rPr>
                <w:sz w:val="20"/>
                <w:szCs w:val="20"/>
                <w:color w:val="auto"/>
              </w:rPr>
            </w:pPr>
            <w:r>
              <w:rPr>
                <w:rFonts w:ascii="Arial" w:cs="Arial" w:eastAsia="Arial" w:hAnsi="Arial"/>
                <w:sz w:val="12"/>
                <w:szCs w:val="12"/>
                <w:color w:val="auto"/>
              </w:rPr>
              <w:t>99.6000</w:t>
            </w:r>
          </w:p>
        </w:tc>
        <w:tc>
          <w:tcPr>
            <w:tcW w:w="1180" w:type="dxa"/>
            <w:vAlign w:val="bottom"/>
          </w:tcPr>
          <w:p>
            <w:pPr>
              <w:jc w:val="right"/>
              <w:spacing w:after="0"/>
              <w:rPr>
                <w:sz w:val="20"/>
                <w:szCs w:val="20"/>
                <w:color w:val="auto"/>
              </w:rPr>
            </w:pPr>
            <w:r>
              <w:rPr>
                <w:rFonts w:ascii="Arial" w:cs="Arial" w:eastAsia="Arial" w:hAnsi="Arial"/>
                <w:sz w:val="12"/>
                <w:szCs w:val="12"/>
                <w:color w:val="auto"/>
              </w:rPr>
              <w:t>12/26/2033</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0</w:t>
            </w:r>
          </w:p>
        </w:tc>
        <w:tc>
          <w:tcPr>
            <w:tcW w:w="1200" w:type="dxa"/>
            <w:vAlign w:val="bottom"/>
          </w:tcPr>
          <w:p>
            <w:pPr>
              <w:jc w:val="right"/>
              <w:spacing w:after="0"/>
              <w:rPr>
                <w:sz w:val="20"/>
                <w:szCs w:val="20"/>
                <w:color w:val="auto"/>
              </w:rPr>
            </w:pPr>
            <w:r>
              <w:rPr>
                <w:rFonts w:ascii="Arial" w:cs="Arial" w:eastAsia="Arial" w:hAnsi="Arial"/>
                <w:sz w:val="12"/>
                <w:szCs w:val="12"/>
                <w:color w:val="auto"/>
              </w:rPr>
              <w:t>88,855</w:t>
            </w:r>
          </w:p>
        </w:tc>
        <w:tc>
          <w:tcPr>
            <w:tcW w:w="1180" w:type="dxa"/>
            <w:vAlign w:val="bottom"/>
          </w:tcPr>
          <w:p>
            <w:pPr>
              <w:jc w:val="right"/>
              <w:spacing w:after="0"/>
              <w:rPr>
                <w:sz w:val="20"/>
                <w:szCs w:val="20"/>
                <w:color w:val="auto"/>
              </w:rPr>
            </w:pPr>
            <w:r>
              <w:rPr>
                <w:rFonts w:ascii="Arial" w:cs="Arial" w:eastAsia="Arial" w:hAnsi="Arial"/>
                <w:sz w:val="12"/>
                <w:szCs w:val="12"/>
                <w:color w:val="auto"/>
              </w:rPr>
              <w:t>80.2100</w:t>
            </w:r>
          </w:p>
        </w:tc>
        <w:tc>
          <w:tcPr>
            <w:tcW w:w="1180" w:type="dxa"/>
            <w:vAlign w:val="bottom"/>
          </w:tcPr>
          <w:p>
            <w:pPr>
              <w:jc w:val="right"/>
              <w:spacing w:after="0"/>
              <w:rPr>
                <w:sz w:val="20"/>
                <w:szCs w:val="20"/>
                <w:color w:val="auto"/>
              </w:rPr>
            </w:pPr>
            <w:r>
              <w:rPr>
                <w:rFonts w:ascii="Arial" w:cs="Arial" w:eastAsia="Arial" w:hAnsi="Arial"/>
                <w:sz w:val="12"/>
                <w:szCs w:val="12"/>
                <w:color w:val="auto"/>
              </w:rPr>
              <w:t>12/23/2034</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F24-F26 Performance Shares</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Arial" w:cs="Arial" w:eastAsia="Arial" w:hAnsi="Arial"/>
                <w:sz w:val="12"/>
                <w:szCs w:val="12"/>
                <w:color w:val="auto"/>
              </w:rPr>
              <w:t>12,880</w:t>
            </w:r>
          </w:p>
        </w:tc>
        <w:tc>
          <w:tcPr>
            <w:tcW w:w="1180" w:type="dxa"/>
            <w:vAlign w:val="bottom"/>
          </w:tcPr>
          <w:p>
            <w:pPr>
              <w:jc w:val="right"/>
              <w:spacing w:after="0"/>
              <w:rPr>
                <w:sz w:val="20"/>
                <w:szCs w:val="20"/>
                <w:color w:val="auto"/>
              </w:rPr>
            </w:pPr>
            <w:r>
              <w:rPr>
                <w:rFonts w:ascii="Arial" w:cs="Arial" w:eastAsia="Arial" w:hAnsi="Arial"/>
                <w:sz w:val="12"/>
                <w:szCs w:val="12"/>
                <w:color w:val="auto"/>
              </w:rPr>
              <w:t>962,522</w:t>
            </w:r>
          </w:p>
        </w:tc>
        <w:tc>
          <w:tcPr>
            <w:tcW w:w="0" w:type="dxa"/>
            <w:vAlign w:val="bottom"/>
          </w:tcPr>
          <w:p>
            <w:pPr>
              <w:spacing w:after="0"/>
              <w:rPr>
                <w:sz w:val="1"/>
                <w:szCs w:val="1"/>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F25-F27 Performance Shares</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Arial" w:cs="Arial" w:eastAsia="Arial" w:hAnsi="Arial"/>
                <w:sz w:val="12"/>
                <w:szCs w:val="12"/>
                <w:color w:val="auto"/>
              </w:rPr>
              <w:t>41,150</w:t>
            </w:r>
          </w:p>
        </w:tc>
        <w:tc>
          <w:tcPr>
            <w:tcW w:w="1180" w:type="dxa"/>
            <w:vAlign w:val="bottom"/>
          </w:tcPr>
          <w:p>
            <w:pPr>
              <w:jc w:val="right"/>
              <w:spacing w:after="0"/>
              <w:rPr>
                <w:sz w:val="20"/>
                <w:szCs w:val="20"/>
                <w:color w:val="auto"/>
              </w:rPr>
            </w:pPr>
            <w:r>
              <w:rPr>
                <w:rFonts w:ascii="Arial" w:cs="Arial" w:eastAsia="Arial" w:hAnsi="Arial"/>
                <w:sz w:val="12"/>
                <w:szCs w:val="12"/>
                <w:color w:val="auto"/>
              </w:rPr>
              <w:t>3,075,140</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240" w:type="dxa"/>
            <w:vAlign w:val="bottom"/>
            <w:shd w:val="clear" w:color="auto" w:fill="DBDBDB"/>
          </w:tcPr>
          <w:p>
            <w:pPr>
              <w:ind w:left="20"/>
              <w:spacing w:after="0"/>
              <w:rPr>
                <w:sz w:val="20"/>
                <w:szCs w:val="20"/>
                <w:color w:val="auto"/>
              </w:rPr>
            </w:pPr>
            <w:r>
              <w:rPr>
                <w:rFonts w:ascii="Arial" w:cs="Arial" w:eastAsia="Arial" w:hAnsi="Arial"/>
                <w:sz w:val="12"/>
                <w:szCs w:val="12"/>
                <w:color w:val="auto"/>
              </w:rPr>
              <w:t>Angela C. Drake</w:t>
            </w:r>
          </w:p>
        </w:tc>
        <w:tc>
          <w:tcPr>
            <w:tcW w:w="116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ind w:left="100"/>
              <w:spacing w:after="0"/>
              <w:rPr>
                <w:sz w:val="20"/>
                <w:szCs w:val="20"/>
                <w:color w:val="auto"/>
              </w:rPr>
            </w:pPr>
            <w:r>
              <w:rPr>
                <w:rFonts w:ascii="Arial" w:cs="Arial" w:eastAsia="Arial" w:hAnsi="Arial"/>
                <w:sz w:val="12"/>
                <w:szCs w:val="12"/>
                <w:color w:val="auto"/>
              </w:rPr>
              <w:t>Stock Options</w:t>
            </w: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1,634</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76.5300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12/19/2029</w:t>
            </w:r>
          </w:p>
        </w:tc>
        <w:tc>
          <w:tcPr>
            <w:tcW w:w="7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7,500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93.3300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12/17/2030</w:t>
            </w:r>
          </w:p>
        </w:tc>
        <w:tc>
          <w:tcPr>
            <w:tcW w:w="7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5,700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99.3400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12/16/2031</w:t>
            </w:r>
          </w:p>
        </w:tc>
        <w:tc>
          <w:tcPr>
            <w:tcW w:w="7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4,400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111.1500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12/22/2032</w:t>
            </w:r>
          </w:p>
        </w:tc>
        <w:tc>
          <w:tcPr>
            <w:tcW w:w="7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7,866</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15,734</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99.6000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12/26/2033</w:t>
            </w:r>
          </w:p>
        </w:tc>
        <w:tc>
          <w:tcPr>
            <w:tcW w:w="7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22,590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80.2100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12/23/2034</w:t>
            </w:r>
          </w:p>
        </w:tc>
        <w:tc>
          <w:tcPr>
            <w:tcW w:w="7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ind w:left="100"/>
              <w:spacing w:after="0"/>
              <w:rPr>
                <w:sz w:val="20"/>
                <w:szCs w:val="20"/>
                <w:color w:val="auto"/>
              </w:rPr>
            </w:pPr>
            <w:r>
              <w:rPr>
                <w:rFonts w:ascii="Arial" w:cs="Arial" w:eastAsia="Arial" w:hAnsi="Arial"/>
                <w:sz w:val="12"/>
                <w:szCs w:val="12"/>
                <w:color w:val="auto"/>
              </w:rPr>
              <w:t>Restricted Stock Units</w:t>
            </w:r>
          </w:p>
        </w:tc>
        <w:tc>
          <w:tcPr>
            <w:tcW w:w="116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2,719</w:t>
            </w:r>
          </w:p>
        </w:tc>
        <w:tc>
          <w:tcPr>
            <w:tcW w:w="118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203,158</w:t>
            </w: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ind w:left="100"/>
              <w:spacing w:after="0"/>
              <w:rPr>
                <w:sz w:val="20"/>
                <w:szCs w:val="20"/>
                <w:color w:val="auto"/>
              </w:rPr>
            </w:pPr>
            <w:r>
              <w:rPr>
                <w:rFonts w:ascii="Arial" w:cs="Arial" w:eastAsia="Arial" w:hAnsi="Arial"/>
                <w:sz w:val="12"/>
                <w:szCs w:val="12"/>
                <w:color w:val="auto"/>
              </w:rPr>
              <w:t>F24-F26 Performance Shares</w:t>
            </w:r>
          </w:p>
        </w:tc>
        <w:tc>
          <w:tcPr>
            <w:tcW w:w="116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3,000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224,190</w:t>
            </w: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ind w:left="100"/>
              <w:spacing w:after="0"/>
              <w:rPr>
                <w:sz w:val="20"/>
                <w:szCs w:val="20"/>
                <w:color w:val="auto"/>
              </w:rPr>
            </w:pPr>
            <w:r>
              <w:rPr>
                <w:rFonts w:ascii="Arial" w:cs="Arial" w:eastAsia="Arial" w:hAnsi="Arial"/>
                <w:sz w:val="12"/>
                <w:szCs w:val="12"/>
                <w:color w:val="auto"/>
              </w:rPr>
              <w:t>F25-F27 Performance Shares</w:t>
            </w:r>
          </w:p>
        </w:tc>
        <w:tc>
          <w:tcPr>
            <w:tcW w:w="116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10,462</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781,825</w:t>
            </w:r>
          </w:p>
        </w:tc>
        <w:tc>
          <w:tcPr>
            <w:tcW w:w="0" w:type="dxa"/>
            <w:vAlign w:val="bottom"/>
          </w:tcPr>
          <w:p>
            <w:pPr>
              <w:spacing w:after="0"/>
              <w:rPr>
                <w:sz w:val="1"/>
                <w:szCs w:val="1"/>
                <w:color w:val="auto"/>
              </w:rPr>
            </w:pPr>
          </w:p>
        </w:tc>
      </w:tr>
      <w:tr>
        <w:trPr>
          <w:trHeight w:val="27"/>
        </w:trPr>
        <w:tc>
          <w:tcPr>
            <w:tcW w:w="2240" w:type="dxa"/>
            <w:vAlign w:val="bottom"/>
            <w:shd w:val="clear" w:color="auto" w:fill="DBDBDB"/>
          </w:tcPr>
          <w:p>
            <w:pPr>
              <w:spacing w:after="0"/>
              <w:rPr>
                <w:sz w:val="2"/>
                <w:szCs w:val="2"/>
                <w:color w:val="auto"/>
              </w:rPr>
            </w:pPr>
          </w:p>
        </w:tc>
        <w:tc>
          <w:tcPr>
            <w:tcW w:w="1160" w:type="dxa"/>
            <w:vAlign w:val="bottom"/>
            <w:shd w:val="clear" w:color="auto" w:fill="DBDBDB"/>
          </w:tcPr>
          <w:p>
            <w:pPr>
              <w:spacing w:after="0"/>
              <w:rPr>
                <w:sz w:val="2"/>
                <w:szCs w:val="2"/>
                <w:color w:val="auto"/>
              </w:rPr>
            </w:pPr>
          </w:p>
        </w:tc>
        <w:tc>
          <w:tcPr>
            <w:tcW w:w="1200" w:type="dxa"/>
            <w:vAlign w:val="bottom"/>
            <w:shd w:val="clear" w:color="auto" w:fill="DBDBDB"/>
          </w:tcPr>
          <w:p>
            <w:pPr>
              <w:spacing w:after="0"/>
              <w:rPr>
                <w:sz w:val="2"/>
                <w:szCs w:val="2"/>
                <w:color w:val="auto"/>
              </w:rPr>
            </w:pPr>
          </w:p>
        </w:tc>
        <w:tc>
          <w:tcPr>
            <w:tcW w:w="1180" w:type="dxa"/>
            <w:vAlign w:val="bottom"/>
            <w:shd w:val="clear" w:color="auto" w:fill="DBDBDB"/>
          </w:tcPr>
          <w:p>
            <w:pPr>
              <w:spacing w:after="0"/>
              <w:rPr>
                <w:sz w:val="2"/>
                <w:szCs w:val="2"/>
                <w:color w:val="auto"/>
              </w:rPr>
            </w:pPr>
          </w:p>
        </w:tc>
        <w:tc>
          <w:tcPr>
            <w:tcW w:w="1180" w:type="dxa"/>
            <w:vAlign w:val="bottom"/>
            <w:shd w:val="clear" w:color="auto" w:fill="DBDBDB"/>
          </w:tcPr>
          <w:p>
            <w:pPr>
              <w:spacing w:after="0"/>
              <w:rPr>
                <w:sz w:val="2"/>
                <w:szCs w:val="2"/>
                <w:color w:val="auto"/>
              </w:rPr>
            </w:pPr>
          </w:p>
        </w:tc>
        <w:tc>
          <w:tcPr>
            <w:tcW w:w="720" w:type="dxa"/>
            <w:vAlign w:val="bottom"/>
            <w:shd w:val="clear" w:color="auto" w:fill="DBDBDB"/>
          </w:tcPr>
          <w:p>
            <w:pPr>
              <w:spacing w:after="0"/>
              <w:rPr>
                <w:sz w:val="2"/>
                <w:szCs w:val="2"/>
                <w:color w:val="auto"/>
              </w:rPr>
            </w:pPr>
          </w:p>
        </w:tc>
        <w:tc>
          <w:tcPr>
            <w:tcW w:w="960" w:type="dxa"/>
            <w:vAlign w:val="bottom"/>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1200" w:type="dxa"/>
            <w:vAlign w:val="bottom"/>
            <w:shd w:val="clear" w:color="auto" w:fill="DBDBDB"/>
          </w:tcPr>
          <w:p>
            <w:pPr>
              <w:spacing w:after="0"/>
              <w:rPr>
                <w:sz w:val="2"/>
                <w:szCs w:val="2"/>
                <w:color w:val="auto"/>
              </w:rPr>
            </w:pPr>
          </w:p>
        </w:tc>
        <w:tc>
          <w:tcPr>
            <w:tcW w:w="118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-3761105</wp:posOffset>
            </wp:positionV>
            <wp:extent cx="571881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18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7"/>
        </w:trPr>
        <w:tc>
          <w:tcPr>
            <w:tcW w:w="2240" w:type="dxa"/>
            <w:vAlign w:val="bottom"/>
            <w:shd w:val="clear" w:color="auto" w:fill="BF2115"/>
          </w:tcPr>
          <w:p>
            <w:pPr>
              <w:spacing w:after="0"/>
              <w:rPr>
                <w:sz w:val="14"/>
                <w:szCs w:val="14"/>
                <w:color w:val="auto"/>
              </w:rPr>
            </w:pPr>
          </w:p>
        </w:tc>
        <w:tc>
          <w:tcPr>
            <w:tcW w:w="1160" w:type="dxa"/>
            <w:vAlign w:val="bottom"/>
            <w:shd w:val="clear" w:color="auto" w:fill="BF2115"/>
          </w:tcPr>
          <w:p>
            <w:pPr>
              <w:spacing w:after="0"/>
              <w:rPr>
                <w:sz w:val="14"/>
                <w:szCs w:val="14"/>
                <w:color w:val="auto"/>
              </w:rPr>
            </w:pPr>
          </w:p>
        </w:tc>
        <w:tc>
          <w:tcPr>
            <w:tcW w:w="2380" w:type="dxa"/>
            <w:vAlign w:val="bottom"/>
            <w:gridSpan w:val="2"/>
            <w:shd w:val="clear" w:color="auto" w:fill="BF2115"/>
          </w:tcPr>
          <w:p>
            <w:pPr>
              <w:jc w:val="right"/>
              <w:ind w:right="740"/>
              <w:spacing w:after="0"/>
              <w:rPr>
                <w:sz w:val="20"/>
                <w:szCs w:val="20"/>
                <w:color w:val="auto"/>
              </w:rPr>
            </w:pPr>
            <w:r>
              <w:rPr>
                <w:rFonts w:ascii="Arial" w:cs="Arial" w:eastAsia="Arial" w:hAnsi="Arial"/>
                <w:sz w:val="11"/>
                <w:szCs w:val="11"/>
                <w:b w:val="1"/>
                <w:bCs w:val="1"/>
                <w:color w:val="FFFFFF"/>
              </w:rPr>
              <w:t>Option Awards</w:t>
            </w:r>
          </w:p>
        </w:tc>
        <w:tc>
          <w:tcPr>
            <w:tcW w:w="1180" w:type="dxa"/>
            <w:vAlign w:val="bottom"/>
            <w:shd w:val="clear" w:color="auto" w:fill="BF2115"/>
          </w:tcPr>
          <w:p>
            <w:pPr>
              <w:spacing w:after="0"/>
              <w:rPr>
                <w:sz w:val="14"/>
                <w:szCs w:val="14"/>
                <w:color w:val="auto"/>
              </w:rPr>
            </w:pPr>
          </w:p>
        </w:tc>
        <w:tc>
          <w:tcPr>
            <w:tcW w:w="720" w:type="dxa"/>
            <w:vAlign w:val="bottom"/>
            <w:shd w:val="clear" w:color="auto" w:fill="BF2115"/>
          </w:tcPr>
          <w:p>
            <w:pPr>
              <w:spacing w:after="0"/>
              <w:rPr>
                <w:sz w:val="14"/>
                <w:szCs w:val="14"/>
                <w:color w:val="auto"/>
              </w:rPr>
            </w:pPr>
          </w:p>
        </w:tc>
        <w:tc>
          <w:tcPr>
            <w:tcW w:w="2380" w:type="dxa"/>
            <w:vAlign w:val="bottom"/>
            <w:gridSpan w:val="2"/>
            <w:shd w:val="clear" w:color="auto" w:fill="BF2115"/>
          </w:tcPr>
          <w:p>
            <w:pPr>
              <w:jc w:val="right"/>
              <w:ind w:right="545"/>
              <w:spacing w:after="0"/>
              <w:rPr>
                <w:sz w:val="20"/>
                <w:szCs w:val="20"/>
                <w:color w:val="auto"/>
              </w:rPr>
            </w:pPr>
            <w:r>
              <w:rPr>
                <w:rFonts w:ascii="Arial" w:cs="Arial" w:eastAsia="Arial" w:hAnsi="Arial"/>
                <w:sz w:val="11"/>
                <w:szCs w:val="11"/>
                <w:b w:val="1"/>
                <w:bCs w:val="1"/>
                <w:color w:val="FFFFFF"/>
              </w:rPr>
              <w:t>Stock Awards</w:t>
            </w:r>
          </w:p>
        </w:tc>
        <w:tc>
          <w:tcPr>
            <w:tcW w:w="1180" w:type="dxa"/>
            <w:vAlign w:val="bottom"/>
            <w:shd w:val="clear" w:color="auto" w:fill="BF2115"/>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40" w:type="dxa"/>
            <w:vAlign w:val="bottom"/>
            <w:shd w:val="clear" w:color="auto" w:fill="BF2115"/>
          </w:tcPr>
          <w:p>
            <w:pPr>
              <w:spacing w:after="0"/>
              <w:rPr>
                <w:sz w:val="15"/>
                <w:szCs w:val="15"/>
                <w:color w:val="auto"/>
              </w:rPr>
            </w:pPr>
          </w:p>
        </w:tc>
        <w:tc>
          <w:tcPr>
            <w:tcW w:w="1160" w:type="dxa"/>
            <w:vAlign w:val="bottom"/>
            <w:shd w:val="clear" w:color="auto" w:fill="BF2115"/>
          </w:tcPr>
          <w:p>
            <w:pPr>
              <w:spacing w:after="0"/>
              <w:rPr>
                <w:sz w:val="15"/>
                <w:szCs w:val="15"/>
                <w:color w:val="auto"/>
              </w:rPr>
            </w:pPr>
          </w:p>
        </w:tc>
        <w:tc>
          <w:tcPr>
            <w:tcW w:w="1200" w:type="dxa"/>
            <w:vAlign w:val="bottom"/>
            <w:shd w:val="clear" w:color="auto" w:fill="BF2115"/>
          </w:tcPr>
          <w:p>
            <w:pPr>
              <w:spacing w:after="0"/>
              <w:rPr>
                <w:sz w:val="15"/>
                <w:szCs w:val="15"/>
                <w:color w:val="auto"/>
              </w:rPr>
            </w:pPr>
          </w:p>
        </w:tc>
        <w:tc>
          <w:tcPr>
            <w:tcW w:w="1180" w:type="dxa"/>
            <w:vAlign w:val="bottom"/>
            <w:shd w:val="clear" w:color="auto" w:fill="BF2115"/>
          </w:tcPr>
          <w:p>
            <w:pPr>
              <w:spacing w:after="0"/>
              <w:rPr>
                <w:sz w:val="15"/>
                <w:szCs w:val="15"/>
                <w:color w:val="auto"/>
              </w:rPr>
            </w:pPr>
          </w:p>
        </w:tc>
        <w:tc>
          <w:tcPr>
            <w:tcW w:w="1180" w:type="dxa"/>
            <w:vAlign w:val="bottom"/>
            <w:shd w:val="clear" w:color="auto" w:fill="BF2115"/>
          </w:tcPr>
          <w:p>
            <w:pPr>
              <w:spacing w:after="0"/>
              <w:rPr>
                <w:sz w:val="15"/>
                <w:szCs w:val="15"/>
                <w:color w:val="auto"/>
              </w:rPr>
            </w:pPr>
          </w:p>
        </w:tc>
        <w:tc>
          <w:tcPr>
            <w:tcW w:w="720" w:type="dxa"/>
            <w:vAlign w:val="bottom"/>
            <w:shd w:val="clear" w:color="auto" w:fill="BF2115"/>
          </w:tcPr>
          <w:p>
            <w:pPr>
              <w:spacing w:after="0"/>
              <w:rPr>
                <w:sz w:val="15"/>
                <w:szCs w:val="15"/>
                <w:color w:val="auto"/>
              </w:rPr>
            </w:pPr>
          </w:p>
        </w:tc>
        <w:tc>
          <w:tcPr>
            <w:tcW w:w="1180" w:type="dxa"/>
            <w:vAlign w:val="bottom"/>
            <w:shd w:val="clear" w:color="auto" w:fill="BF2115"/>
          </w:tcPr>
          <w:p>
            <w:pPr>
              <w:spacing w:after="0"/>
              <w:rPr>
                <w:sz w:val="15"/>
                <w:szCs w:val="15"/>
                <w:color w:val="auto"/>
              </w:rPr>
            </w:pP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Equity</w:t>
            </w:r>
          </w:p>
        </w:tc>
        <w:tc>
          <w:tcPr>
            <w:tcW w:w="118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rPr>
              <w:t>Equity</w:t>
            </w:r>
          </w:p>
        </w:tc>
        <w:tc>
          <w:tcPr>
            <w:tcW w:w="0" w:type="dxa"/>
            <w:vAlign w:val="bottom"/>
          </w:tcPr>
          <w:p>
            <w:pPr>
              <w:spacing w:after="0"/>
              <w:rPr>
                <w:sz w:val="1"/>
                <w:szCs w:val="1"/>
                <w:color w:val="auto"/>
              </w:rPr>
            </w:pPr>
          </w:p>
        </w:tc>
      </w:tr>
      <w:tr>
        <w:trPr>
          <w:trHeight w:val="93"/>
        </w:trPr>
        <w:tc>
          <w:tcPr>
            <w:tcW w:w="2240" w:type="dxa"/>
            <w:vAlign w:val="bottom"/>
            <w:shd w:val="clear" w:color="auto" w:fill="BF2115"/>
          </w:tcPr>
          <w:p>
            <w:pPr>
              <w:spacing w:after="0"/>
              <w:rPr>
                <w:sz w:val="8"/>
                <w:szCs w:val="8"/>
                <w:color w:val="auto"/>
              </w:rPr>
            </w:pPr>
          </w:p>
        </w:tc>
        <w:tc>
          <w:tcPr>
            <w:tcW w:w="1160" w:type="dxa"/>
            <w:vAlign w:val="bottom"/>
            <w:shd w:val="clear" w:color="auto" w:fill="BF2115"/>
          </w:tcPr>
          <w:p>
            <w:pPr>
              <w:spacing w:after="0"/>
              <w:rPr>
                <w:sz w:val="8"/>
                <w:szCs w:val="8"/>
                <w:color w:val="auto"/>
              </w:rPr>
            </w:pPr>
          </w:p>
        </w:tc>
        <w:tc>
          <w:tcPr>
            <w:tcW w:w="120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72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1200" w:type="dxa"/>
            <w:vAlign w:val="bottom"/>
            <w:vMerge w:val="continue"/>
            <w:shd w:val="clear" w:color="auto" w:fill="BF2115"/>
          </w:tcPr>
          <w:p>
            <w:pPr>
              <w:spacing w:after="0"/>
              <w:rPr>
                <w:sz w:val="8"/>
                <w:szCs w:val="8"/>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Incentive</w:t>
            </w:r>
          </w:p>
        </w:tc>
        <w:tc>
          <w:tcPr>
            <w:tcW w:w="0" w:type="dxa"/>
            <w:vAlign w:val="bottom"/>
          </w:tcPr>
          <w:p>
            <w:pPr>
              <w:spacing w:after="0"/>
              <w:rPr>
                <w:sz w:val="1"/>
                <w:szCs w:val="1"/>
                <w:color w:val="auto"/>
              </w:rPr>
            </w:pPr>
          </w:p>
        </w:tc>
      </w:tr>
      <w:tr>
        <w:trPr>
          <w:trHeight w:val="40"/>
        </w:trPr>
        <w:tc>
          <w:tcPr>
            <w:tcW w:w="2240" w:type="dxa"/>
            <w:vAlign w:val="bottom"/>
            <w:shd w:val="clear" w:color="auto" w:fill="BF2115"/>
          </w:tcPr>
          <w:p>
            <w:pPr>
              <w:spacing w:after="0"/>
              <w:rPr>
                <w:sz w:val="3"/>
                <w:szCs w:val="3"/>
                <w:color w:val="auto"/>
              </w:rPr>
            </w:pPr>
          </w:p>
        </w:tc>
        <w:tc>
          <w:tcPr>
            <w:tcW w:w="1160" w:type="dxa"/>
            <w:vAlign w:val="bottom"/>
            <w:shd w:val="clear" w:color="auto" w:fill="BF2115"/>
          </w:tcPr>
          <w:p>
            <w:pPr>
              <w:spacing w:after="0"/>
              <w:rPr>
                <w:sz w:val="3"/>
                <w:szCs w:val="3"/>
                <w:color w:val="auto"/>
              </w:rPr>
            </w:pPr>
          </w:p>
        </w:tc>
        <w:tc>
          <w:tcPr>
            <w:tcW w:w="1200" w:type="dxa"/>
            <w:vAlign w:val="bottom"/>
            <w:shd w:val="clear" w:color="auto" w:fill="BF2115"/>
          </w:tcPr>
          <w:p>
            <w:pPr>
              <w:spacing w:after="0"/>
              <w:rPr>
                <w:sz w:val="3"/>
                <w:szCs w:val="3"/>
                <w:color w:val="auto"/>
              </w:rPr>
            </w:pPr>
          </w:p>
        </w:tc>
        <w:tc>
          <w:tcPr>
            <w:tcW w:w="1180" w:type="dxa"/>
            <w:vAlign w:val="bottom"/>
            <w:shd w:val="clear" w:color="auto" w:fill="BF2115"/>
          </w:tcPr>
          <w:p>
            <w:pPr>
              <w:spacing w:after="0"/>
              <w:rPr>
                <w:sz w:val="3"/>
                <w:szCs w:val="3"/>
                <w:color w:val="auto"/>
              </w:rPr>
            </w:pPr>
          </w:p>
        </w:tc>
        <w:tc>
          <w:tcPr>
            <w:tcW w:w="1180" w:type="dxa"/>
            <w:vAlign w:val="bottom"/>
            <w:shd w:val="clear" w:color="auto" w:fill="BF2115"/>
          </w:tcPr>
          <w:p>
            <w:pPr>
              <w:spacing w:after="0"/>
              <w:rPr>
                <w:sz w:val="3"/>
                <w:szCs w:val="3"/>
                <w:color w:val="auto"/>
              </w:rPr>
            </w:pPr>
          </w:p>
        </w:tc>
        <w:tc>
          <w:tcPr>
            <w:tcW w:w="720" w:type="dxa"/>
            <w:vAlign w:val="bottom"/>
            <w:shd w:val="clear" w:color="auto" w:fill="BF2115"/>
          </w:tcPr>
          <w:p>
            <w:pPr>
              <w:spacing w:after="0"/>
              <w:rPr>
                <w:sz w:val="3"/>
                <w:szCs w:val="3"/>
                <w:color w:val="auto"/>
              </w:rPr>
            </w:pPr>
          </w:p>
        </w:tc>
        <w:tc>
          <w:tcPr>
            <w:tcW w:w="1180" w:type="dxa"/>
            <w:vAlign w:val="bottom"/>
            <w:shd w:val="clear" w:color="auto" w:fill="BF2115"/>
          </w:tcPr>
          <w:p>
            <w:pPr>
              <w:spacing w:after="0"/>
              <w:rPr>
                <w:sz w:val="3"/>
                <w:szCs w:val="3"/>
                <w:color w:val="auto"/>
              </w:rPr>
            </w:pP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rPr>
              <w:t>Incentive</w:t>
            </w:r>
          </w:p>
        </w:tc>
        <w:tc>
          <w:tcPr>
            <w:tcW w:w="1180" w:type="dxa"/>
            <w:vAlign w:val="bottom"/>
            <w:vMerge w:val="continue"/>
            <w:shd w:val="clear" w:color="auto" w:fill="BF2115"/>
          </w:tcPr>
          <w:p>
            <w:pPr>
              <w:spacing w:after="0"/>
              <w:rPr>
                <w:sz w:val="3"/>
                <w:szCs w:val="3"/>
                <w:color w:val="auto"/>
              </w:rPr>
            </w:pPr>
          </w:p>
        </w:tc>
        <w:tc>
          <w:tcPr>
            <w:tcW w:w="0" w:type="dxa"/>
            <w:vAlign w:val="bottom"/>
          </w:tcPr>
          <w:p>
            <w:pPr>
              <w:spacing w:after="0"/>
              <w:rPr>
                <w:sz w:val="1"/>
                <w:szCs w:val="1"/>
                <w:color w:val="auto"/>
              </w:rPr>
            </w:pPr>
          </w:p>
        </w:tc>
      </w:tr>
      <w:tr>
        <w:trPr>
          <w:trHeight w:val="93"/>
        </w:trPr>
        <w:tc>
          <w:tcPr>
            <w:tcW w:w="2240" w:type="dxa"/>
            <w:vAlign w:val="bottom"/>
            <w:shd w:val="clear" w:color="auto" w:fill="BF2115"/>
          </w:tcPr>
          <w:p>
            <w:pPr>
              <w:spacing w:after="0"/>
              <w:rPr>
                <w:sz w:val="8"/>
                <w:szCs w:val="8"/>
                <w:color w:val="auto"/>
              </w:rPr>
            </w:pPr>
          </w:p>
        </w:tc>
        <w:tc>
          <w:tcPr>
            <w:tcW w:w="1160" w:type="dxa"/>
            <w:vAlign w:val="bottom"/>
            <w:shd w:val="clear" w:color="auto" w:fill="BF2115"/>
          </w:tcPr>
          <w:p>
            <w:pPr>
              <w:spacing w:after="0"/>
              <w:rPr>
                <w:sz w:val="8"/>
                <w:szCs w:val="8"/>
                <w:color w:val="auto"/>
              </w:rPr>
            </w:pPr>
          </w:p>
        </w:tc>
        <w:tc>
          <w:tcPr>
            <w:tcW w:w="120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72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1200" w:type="dxa"/>
            <w:vAlign w:val="bottom"/>
            <w:vMerge w:val="continue"/>
            <w:shd w:val="clear" w:color="auto" w:fill="BF2115"/>
          </w:tcPr>
          <w:p>
            <w:pPr>
              <w:spacing w:after="0"/>
              <w:rPr>
                <w:sz w:val="8"/>
                <w:szCs w:val="8"/>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Plan Awards:</w:t>
            </w:r>
          </w:p>
        </w:tc>
        <w:tc>
          <w:tcPr>
            <w:tcW w:w="0" w:type="dxa"/>
            <w:vAlign w:val="bottom"/>
          </w:tcPr>
          <w:p>
            <w:pPr>
              <w:spacing w:after="0"/>
              <w:rPr>
                <w:sz w:val="1"/>
                <w:szCs w:val="1"/>
                <w:color w:val="auto"/>
              </w:rPr>
            </w:pPr>
          </w:p>
        </w:tc>
      </w:tr>
      <w:tr>
        <w:trPr>
          <w:trHeight w:val="53"/>
        </w:trPr>
        <w:tc>
          <w:tcPr>
            <w:tcW w:w="2240" w:type="dxa"/>
            <w:vAlign w:val="bottom"/>
            <w:shd w:val="clear" w:color="auto" w:fill="BF2115"/>
          </w:tcPr>
          <w:p>
            <w:pPr>
              <w:spacing w:after="0"/>
              <w:rPr>
                <w:sz w:val="4"/>
                <w:szCs w:val="4"/>
                <w:color w:val="auto"/>
              </w:rPr>
            </w:pPr>
          </w:p>
        </w:tc>
        <w:tc>
          <w:tcPr>
            <w:tcW w:w="1160" w:type="dxa"/>
            <w:vAlign w:val="bottom"/>
            <w:shd w:val="clear" w:color="auto" w:fill="BF2115"/>
          </w:tcPr>
          <w:p>
            <w:pPr>
              <w:spacing w:after="0"/>
              <w:rPr>
                <w:sz w:val="4"/>
                <w:szCs w:val="4"/>
                <w:color w:val="auto"/>
              </w:rPr>
            </w:pPr>
          </w:p>
        </w:tc>
        <w:tc>
          <w:tcPr>
            <w:tcW w:w="1200" w:type="dxa"/>
            <w:vAlign w:val="bottom"/>
            <w:shd w:val="clear" w:color="auto" w:fill="BF2115"/>
          </w:tcPr>
          <w:p>
            <w:pPr>
              <w:spacing w:after="0"/>
              <w:rPr>
                <w:sz w:val="4"/>
                <w:szCs w:val="4"/>
                <w:color w:val="auto"/>
              </w:rPr>
            </w:pPr>
          </w:p>
        </w:tc>
        <w:tc>
          <w:tcPr>
            <w:tcW w:w="1180" w:type="dxa"/>
            <w:vAlign w:val="bottom"/>
            <w:shd w:val="clear" w:color="auto" w:fill="BF2115"/>
          </w:tcPr>
          <w:p>
            <w:pPr>
              <w:spacing w:after="0"/>
              <w:rPr>
                <w:sz w:val="4"/>
                <w:szCs w:val="4"/>
                <w:color w:val="auto"/>
              </w:rPr>
            </w:pPr>
          </w:p>
        </w:tc>
        <w:tc>
          <w:tcPr>
            <w:tcW w:w="1180" w:type="dxa"/>
            <w:vAlign w:val="bottom"/>
            <w:shd w:val="clear" w:color="auto" w:fill="BF2115"/>
          </w:tcPr>
          <w:p>
            <w:pPr>
              <w:spacing w:after="0"/>
              <w:rPr>
                <w:sz w:val="4"/>
                <w:szCs w:val="4"/>
                <w:color w:val="auto"/>
              </w:rPr>
            </w:pPr>
          </w:p>
        </w:tc>
        <w:tc>
          <w:tcPr>
            <w:tcW w:w="720" w:type="dxa"/>
            <w:vAlign w:val="bottom"/>
            <w:shd w:val="clear" w:color="auto" w:fill="BF2115"/>
          </w:tcPr>
          <w:p>
            <w:pPr>
              <w:spacing w:after="0"/>
              <w:rPr>
                <w:sz w:val="4"/>
                <w:szCs w:val="4"/>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Market</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Plan Awards:</w:t>
            </w:r>
          </w:p>
        </w:tc>
        <w:tc>
          <w:tcPr>
            <w:tcW w:w="1180" w:type="dxa"/>
            <w:vAlign w:val="bottom"/>
            <w:vMerge w:val="continue"/>
            <w:shd w:val="clear" w:color="auto" w:fill="BF2115"/>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240" w:type="dxa"/>
            <w:vAlign w:val="bottom"/>
            <w:shd w:val="clear" w:color="auto" w:fill="BF2115"/>
          </w:tcPr>
          <w:p>
            <w:pPr>
              <w:spacing w:after="0"/>
              <w:rPr>
                <w:sz w:val="6"/>
                <w:szCs w:val="6"/>
                <w:color w:val="auto"/>
              </w:rPr>
            </w:pPr>
          </w:p>
        </w:tc>
        <w:tc>
          <w:tcPr>
            <w:tcW w:w="1160" w:type="dxa"/>
            <w:vAlign w:val="bottom"/>
            <w:shd w:val="clear" w:color="auto" w:fill="BF2115"/>
          </w:tcPr>
          <w:p>
            <w:pPr>
              <w:spacing w:after="0"/>
              <w:rPr>
                <w:sz w:val="6"/>
                <w:szCs w:val="6"/>
                <w:color w:val="auto"/>
              </w:rPr>
            </w:pPr>
          </w:p>
        </w:tc>
        <w:tc>
          <w:tcPr>
            <w:tcW w:w="1200" w:type="dxa"/>
            <w:vAlign w:val="bottom"/>
            <w:shd w:val="clear" w:color="auto" w:fill="BF2115"/>
          </w:tcPr>
          <w:p>
            <w:pPr>
              <w:spacing w:after="0"/>
              <w:rPr>
                <w:sz w:val="6"/>
                <w:szCs w:val="6"/>
                <w:color w:val="auto"/>
              </w:rPr>
            </w:pPr>
          </w:p>
        </w:tc>
        <w:tc>
          <w:tcPr>
            <w:tcW w:w="1180" w:type="dxa"/>
            <w:vAlign w:val="bottom"/>
            <w:shd w:val="clear" w:color="auto" w:fill="BF2115"/>
          </w:tcPr>
          <w:p>
            <w:pPr>
              <w:spacing w:after="0"/>
              <w:rPr>
                <w:sz w:val="6"/>
                <w:szCs w:val="6"/>
                <w:color w:val="auto"/>
              </w:rPr>
            </w:pPr>
          </w:p>
        </w:tc>
        <w:tc>
          <w:tcPr>
            <w:tcW w:w="1180" w:type="dxa"/>
            <w:vAlign w:val="bottom"/>
            <w:shd w:val="clear" w:color="auto" w:fill="BF2115"/>
          </w:tcPr>
          <w:p>
            <w:pPr>
              <w:spacing w:after="0"/>
              <w:rPr>
                <w:sz w:val="6"/>
                <w:szCs w:val="6"/>
                <w:color w:val="auto"/>
              </w:rPr>
            </w:pPr>
          </w:p>
        </w:tc>
        <w:tc>
          <w:tcPr>
            <w:tcW w:w="720" w:type="dxa"/>
            <w:vAlign w:val="bottom"/>
            <w:shd w:val="clear" w:color="auto" w:fill="BF2115"/>
          </w:tcPr>
          <w:p>
            <w:pPr>
              <w:spacing w:after="0"/>
              <w:rPr>
                <w:sz w:val="6"/>
                <w:szCs w:val="6"/>
                <w:color w:val="auto"/>
              </w:rPr>
            </w:pPr>
          </w:p>
        </w:tc>
        <w:tc>
          <w:tcPr>
            <w:tcW w:w="1180" w:type="dxa"/>
            <w:vAlign w:val="bottom"/>
            <w:vMerge w:val="continue"/>
            <w:shd w:val="clear" w:color="auto" w:fill="BF2115"/>
          </w:tcPr>
          <w:p>
            <w:pPr>
              <w:spacing w:after="0"/>
              <w:rPr>
                <w:sz w:val="6"/>
                <w:szCs w:val="6"/>
                <w:color w:val="auto"/>
              </w:rPr>
            </w:pPr>
          </w:p>
        </w:tc>
        <w:tc>
          <w:tcPr>
            <w:tcW w:w="1200" w:type="dxa"/>
            <w:vAlign w:val="bottom"/>
            <w:vMerge w:val="continue"/>
            <w:shd w:val="clear" w:color="auto" w:fill="BF2115"/>
          </w:tcPr>
          <w:p>
            <w:pPr>
              <w:spacing w:after="0"/>
              <w:rPr>
                <w:sz w:val="6"/>
                <w:szCs w:val="6"/>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Market or</w:t>
            </w:r>
          </w:p>
        </w:tc>
        <w:tc>
          <w:tcPr>
            <w:tcW w:w="0" w:type="dxa"/>
            <w:vAlign w:val="bottom"/>
          </w:tcPr>
          <w:p>
            <w:pPr>
              <w:spacing w:after="0"/>
              <w:rPr>
                <w:sz w:val="1"/>
                <w:szCs w:val="1"/>
                <w:color w:val="auto"/>
              </w:rPr>
            </w:pPr>
          </w:p>
        </w:tc>
      </w:tr>
      <w:tr>
        <w:trPr>
          <w:trHeight w:val="53"/>
        </w:trPr>
        <w:tc>
          <w:tcPr>
            <w:tcW w:w="2240" w:type="dxa"/>
            <w:vAlign w:val="bottom"/>
            <w:shd w:val="clear" w:color="auto" w:fill="BF2115"/>
          </w:tcPr>
          <w:p>
            <w:pPr>
              <w:spacing w:after="0"/>
              <w:rPr>
                <w:sz w:val="4"/>
                <w:szCs w:val="4"/>
                <w:color w:val="auto"/>
              </w:rPr>
            </w:pPr>
          </w:p>
        </w:tc>
        <w:tc>
          <w:tcPr>
            <w:tcW w:w="116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Number of</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Number of</w:t>
            </w:r>
          </w:p>
        </w:tc>
        <w:tc>
          <w:tcPr>
            <w:tcW w:w="1180" w:type="dxa"/>
            <w:vAlign w:val="bottom"/>
            <w:shd w:val="clear" w:color="auto" w:fill="BF2115"/>
          </w:tcPr>
          <w:p>
            <w:pPr>
              <w:spacing w:after="0"/>
              <w:rPr>
                <w:sz w:val="4"/>
                <w:szCs w:val="4"/>
                <w:color w:val="auto"/>
              </w:rPr>
            </w:pPr>
          </w:p>
        </w:tc>
        <w:tc>
          <w:tcPr>
            <w:tcW w:w="1180" w:type="dxa"/>
            <w:vAlign w:val="bottom"/>
            <w:shd w:val="clear" w:color="auto" w:fill="BF2115"/>
          </w:tcPr>
          <w:p>
            <w:pPr>
              <w:spacing w:after="0"/>
              <w:rPr>
                <w:sz w:val="4"/>
                <w:szCs w:val="4"/>
                <w:color w:val="auto"/>
              </w:rPr>
            </w:pPr>
          </w:p>
        </w:tc>
        <w:tc>
          <w:tcPr>
            <w:tcW w:w="720" w:type="dxa"/>
            <w:vAlign w:val="bottom"/>
            <w:shd w:val="clear" w:color="auto" w:fill="BF2115"/>
          </w:tcPr>
          <w:p>
            <w:pPr>
              <w:spacing w:after="0"/>
              <w:rPr>
                <w:sz w:val="4"/>
                <w:szCs w:val="4"/>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Value of</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Number of</w:t>
            </w:r>
          </w:p>
        </w:tc>
        <w:tc>
          <w:tcPr>
            <w:tcW w:w="1180" w:type="dxa"/>
            <w:vAlign w:val="bottom"/>
            <w:vMerge w:val="continue"/>
            <w:shd w:val="clear" w:color="auto" w:fill="BF2115"/>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240" w:type="dxa"/>
            <w:vAlign w:val="bottom"/>
            <w:shd w:val="clear" w:color="auto" w:fill="BF2115"/>
          </w:tcPr>
          <w:p>
            <w:pPr>
              <w:spacing w:after="0"/>
              <w:rPr>
                <w:sz w:val="6"/>
                <w:szCs w:val="6"/>
                <w:color w:val="auto"/>
              </w:rPr>
            </w:pPr>
          </w:p>
        </w:tc>
        <w:tc>
          <w:tcPr>
            <w:tcW w:w="1160" w:type="dxa"/>
            <w:vAlign w:val="bottom"/>
            <w:vMerge w:val="continue"/>
            <w:shd w:val="clear" w:color="auto" w:fill="BF2115"/>
          </w:tcPr>
          <w:p>
            <w:pPr>
              <w:spacing w:after="0"/>
              <w:rPr>
                <w:sz w:val="6"/>
                <w:szCs w:val="6"/>
                <w:color w:val="auto"/>
              </w:rPr>
            </w:pPr>
          </w:p>
        </w:tc>
        <w:tc>
          <w:tcPr>
            <w:tcW w:w="1200" w:type="dxa"/>
            <w:vAlign w:val="bottom"/>
            <w:vMerge w:val="continue"/>
            <w:shd w:val="clear" w:color="auto" w:fill="BF2115"/>
          </w:tcPr>
          <w:p>
            <w:pPr>
              <w:spacing w:after="0"/>
              <w:rPr>
                <w:sz w:val="6"/>
                <w:szCs w:val="6"/>
                <w:color w:val="auto"/>
              </w:rPr>
            </w:pPr>
          </w:p>
        </w:tc>
        <w:tc>
          <w:tcPr>
            <w:tcW w:w="1180" w:type="dxa"/>
            <w:vAlign w:val="bottom"/>
            <w:shd w:val="clear" w:color="auto" w:fill="BF2115"/>
          </w:tcPr>
          <w:p>
            <w:pPr>
              <w:spacing w:after="0"/>
              <w:rPr>
                <w:sz w:val="6"/>
                <w:szCs w:val="6"/>
                <w:color w:val="auto"/>
              </w:rPr>
            </w:pPr>
          </w:p>
        </w:tc>
        <w:tc>
          <w:tcPr>
            <w:tcW w:w="1180" w:type="dxa"/>
            <w:vAlign w:val="bottom"/>
            <w:shd w:val="clear" w:color="auto" w:fill="BF2115"/>
          </w:tcPr>
          <w:p>
            <w:pPr>
              <w:spacing w:after="0"/>
              <w:rPr>
                <w:sz w:val="6"/>
                <w:szCs w:val="6"/>
                <w:color w:val="auto"/>
              </w:rPr>
            </w:pPr>
          </w:p>
        </w:tc>
        <w:tc>
          <w:tcPr>
            <w:tcW w:w="720" w:type="dxa"/>
            <w:vAlign w:val="bottom"/>
            <w:shd w:val="clear" w:color="auto" w:fill="BF2115"/>
          </w:tcPr>
          <w:p>
            <w:pPr>
              <w:spacing w:after="0"/>
              <w:rPr>
                <w:sz w:val="6"/>
                <w:szCs w:val="6"/>
                <w:color w:val="auto"/>
              </w:rPr>
            </w:pPr>
          </w:p>
        </w:tc>
        <w:tc>
          <w:tcPr>
            <w:tcW w:w="1180" w:type="dxa"/>
            <w:vAlign w:val="bottom"/>
            <w:vMerge w:val="continue"/>
            <w:shd w:val="clear" w:color="auto" w:fill="BF2115"/>
          </w:tcPr>
          <w:p>
            <w:pPr>
              <w:spacing w:after="0"/>
              <w:rPr>
                <w:sz w:val="6"/>
                <w:szCs w:val="6"/>
                <w:color w:val="auto"/>
              </w:rPr>
            </w:pPr>
          </w:p>
        </w:tc>
        <w:tc>
          <w:tcPr>
            <w:tcW w:w="1200" w:type="dxa"/>
            <w:vAlign w:val="bottom"/>
            <w:vMerge w:val="continue"/>
            <w:shd w:val="clear" w:color="auto" w:fill="BF2115"/>
          </w:tcPr>
          <w:p>
            <w:pPr>
              <w:spacing w:after="0"/>
              <w:rPr>
                <w:sz w:val="6"/>
                <w:szCs w:val="6"/>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Payout Value</w:t>
            </w:r>
          </w:p>
        </w:tc>
        <w:tc>
          <w:tcPr>
            <w:tcW w:w="0" w:type="dxa"/>
            <w:vAlign w:val="bottom"/>
          </w:tcPr>
          <w:p>
            <w:pPr>
              <w:spacing w:after="0"/>
              <w:rPr>
                <w:sz w:val="1"/>
                <w:szCs w:val="1"/>
                <w:color w:val="auto"/>
              </w:rPr>
            </w:pPr>
          </w:p>
        </w:tc>
      </w:tr>
      <w:tr>
        <w:trPr>
          <w:trHeight w:val="53"/>
        </w:trPr>
        <w:tc>
          <w:tcPr>
            <w:tcW w:w="2240" w:type="dxa"/>
            <w:vAlign w:val="bottom"/>
            <w:shd w:val="clear" w:color="auto" w:fill="BF2115"/>
          </w:tcPr>
          <w:p>
            <w:pPr>
              <w:spacing w:after="0"/>
              <w:rPr>
                <w:sz w:val="4"/>
                <w:szCs w:val="4"/>
                <w:color w:val="auto"/>
              </w:rPr>
            </w:pPr>
          </w:p>
        </w:tc>
        <w:tc>
          <w:tcPr>
            <w:tcW w:w="116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Securities</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Securities</w:t>
            </w:r>
          </w:p>
        </w:tc>
        <w:tc>
          <w:tcPr>
            <w:tcW w:w="1180" w:type="dxa"/>
            <w:vAlign w:val="bottom"/>
            <w:shd w:val="clear" w:color="auto" w:fill="BF2115"/>
          </w:tcPr>
          <w:p>
            <w:pPr>
              <w:spacing w:after="0"/>
              <w:rPr>
                <w:sz w:val="4"/>
                <w:szCs w:val="4"/>
                <w:color w:val="auto"/>
              </w:rPr>
            </w:pPr>
          </w:p>
        </w:tc>
        <w:tc>
          <w:tcPr>
            <w:tcW w:w="1180" w:type="dxa"/>
            <w:vAlign w:val="bottom"/>
            <w:shd w:val="clear" w:color="auto" w:fill="BF2115"/>
          </w:tcPr>
          <w:p>
            <w:pPr>
              <w:spacing w:after="0"/>
              <w:rPr>
                <w:sz w:val="4"/>
                <w:szCs w:val="4"/>
                <w:color w:val="auto"/>
              </w:rPr>
            </w:pPr>
          </w:p>
        </w:tc>
        <w:tc>
          <w:tcPr>
            <w:tcW w:w="72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Number of</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Shares or</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Unearned</w:t>
            </w:r>
          </w:p>
        </w:tc>
        <w:tc>
          <w:tcPr>
            <w:tcW w:w="1180" w:type="dxa"/>
            <w:vAlign w:val="bottom"/>
            <w:vMerge w:val="continue"/>
            <w:shd w:val="clear" w:color="auto" w:fill="BF2115"/>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240" w:type="dxa"/>
            <w:vAlign w:val="bottom"/>
            <w:shd w:val="clear" w:color="auto" w:fill="BF2115"/>
          </w:tcPr>
          <w:p>
            <w:pPr>
              <w:spacing w:after="0"/>
              <w:rPr>
                <w:sz w:val="8"/>
                <w:szCs w:val="8"/>
                <w:color w:val="auto"/>
              </w:rPr>
            </w:pPr>
          </w:p>
        </w:tc>
        <w:tc>
          <w:tcPr>
            <w:tcW w:w="1160" w:type="dxa"/>
            <w:vAlign w:val="bottom"/>
            <w:vMerge w:val="continue"/>
            <w:shd w:val="clear" w:color="auto" w:fill="BF2115"/>
          </w:tcPr>
          <w:p>
            <w:pPr>
              <w:spacing w:after="0"/>
              <w:rPr>
                <w:sz w:val="8"/>
                <w:szCs w:val="8"/>
                <w:color w:val="auto"/>
              </w:rPr>
            </w:pPr>
          </w:p>
        </w:tc>
        <w:tc>
          <w:tcPr>
            <w:tcW w:w="1200" w:type="dxa"/>
            <w:vAlign w:val="bottom"/>
            <w:vMerge w:val="continue"/>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720" w:type="dxa"/>
            <w:vAlign w:val="bottom"/>
            <w:vMerge w:val="continue"/>
            <w:shd w:val="clear" w:color="auto" w:fill="BF2115"/>
          </w:tcPr>
          <w:p>
            <w:pPr>
              <w:spacing w:after="0"/>
              <w:rPr>
                <w:sz w:val="8"/>
                <w:szCs w:val="8"/>
                <w:color w:val="auto"/>
              </w:rPr>
            </w:pPr>
          </w:p>
        </w:tc>
        <w:tc>
          <w:tcPr>
            <w:tcW w:w="1180" w:type="dxa"/>
            <w:vAlign w:val="bottom"/>
            <w:vMerge w:val="continue"/>
            <w:shd w:val="clear" w:color="auto" w:fill="BF2115"/>
          </w:tcPr>
          <w:p>
            <w:pPr>
              <w:spacing w:after="0"/>
              <w:rPr>
                <w:sz w:val="8"/>
                <w:szCs w:val="8"/>
                <w:color w:val="auto"/>
              </w:rPr>
            </w:pPr>
          </w:p>
        </w:tc>
        <w:tc>
          <w:tcPr>
            <w:tcW w:w="1200" w:type="dxa"/>
            <w:vAlign w:val="bottom"/>
            <w:vMerge w:val="continue"/>
            <w:shd w:val="clear" w:color="auto" w:fill="BF2115"/>
          </w:tcPr>
          <w:p>
            <w:pPr>
              <w:spacing w:after="0"/>
              <w:rPr>
                <w:sz w:val="8"/>
                <w:szCs w:val="8"/>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of Unearned</w:t>
            </w:r>
          </w:p>
        </w:tc>
        <w:tc>
          <w:tcPr>
            <w:tcW w:w="0" w:type="dxa"/>
            <w:vAlign w:val="bottom"/>
          </w:tcPr>
          <w:p>
            <w:pPr>
              <w:spacing w:after="0"/>
              <w:rPr>
                <w:sz w:val="1"/>
                <w:szCs w:val="1"/>
                <w:color w:val="auto"/>
              </w:rPr>
            </w:pPr>
          </w:p>
        </w:tc>
      </w:tr>
      <w:tr>
        <w:trPr>
          <w:trHeight w:val="40"/>
        </w:trPr>
        <w:tc>
          <w:tcPr>
            <w:tcW w:w="2240" w:type="dxa"/>
            <w:vAlign w:val="bottom"/>
            <w:shd w:val="clear" w:color="auto" w:fill="BF2115"/>
          </w:tcPr>
          <w:p>
            <w:pPr>
              <w:spacing w:after="0"/>
              <w:rPr>
                <w:sz w:val="3"/>
                <w:szCs w:val="3"/>
                <w:color w:val="auto"/>
              </w:rPr>
            </w:pPr>
          </w:p>
        </w:tc>
        <w:tc>
          <w:tcPr>
            <w:tcW w:w="116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Underlying</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Underlying</w:t>
            </w:r>
          </w:p>
        </w:tc>
        <w:tc>
          <w:tcPr>
            <w:tcW w:w="1180" w:type="dxa"/>
            <w:vAlign w:val="bottom"/>
            <w:shd w:val="clear" w:color="auto" w:fill="BF2115"/>
          </w:tcPr>
          <w:p>
            <w:pPr>
              <w:spacing w:after="0"/>
              <w:rPr>
                <w:sz w:val="3"/>
                <w:szCs w:val="3"/>
                <w:color w:val="auto"/>
              </w:rPr>
            </w:pPr>
          </w:p>
        </w:tc>
        <w:tc>
          <w:tcPr>
            <w:tcW w:w="1180" w:type="dxa"/>
            <w:vAlign w:val="bottom"/>
            <w:shd w:val="clear" w:color="auto" w:fill="BF2115"/>
          </w:tcPr>
          <w:p>
            <w:pPr>
              <w:spacing w:after="0"/>
              <w:rPr>
                <w:sz w:val="3"/>
                <w:szCs w:val="3"/>
                <w:color w:val="auto"/>
              </w:rPr>
            </w:pPr>
          </w:p>
        </w:tc>
        <w:tc>
          <w:tcPr>
            <w:tcW w:w="72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Shares or</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Units of</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Shares, Units</w:t>
            </w:r>
          </w:p>
        </w:tc>
        <w:tc>
          <w:tcPr>
            <w:tcW w:w="1180" w:type="dxa"/>
            <w:vAlign w:val="bottom"/>
            <w:vMerge w:val="continue"/>
            <w:shd w:val="clear" w:color="auto" w:fill="BF2115"/>
          </w:tcPr>
          <w:p>
            <w:pPr>
              <w:spacing w:after="0"/>
              <w:rPr>
                <w:sz w:val="3"/>
                <w:szCs w:val="3"/>
                <w:color w:val="auto"/>
              </w:rPr>
            </w:pPr>
          </w:p>
        </w:tc>
        <w:tc>
          <w:tcPr>
            <w:tcW w:w="0" w:type="dxa"/>
            <w:vAlign w:val="bottom"/>
          </w:tcPr>
          <w:p>
            <w:pPr>
              <w:spacing w:after="0"/>
              <w:rPr>
                <w:sz w:val="1"/>
                <w:szCs w:val="1"/>
                <w:color w:val="auto"/>
              </w:rPr>
            </w:pPr>
          </w:p>
        </w:tc>
      </w:tr>
      <w:tr>
        <w:trPr>
          <w:trHeight w:val="93"/>
        </w:trPr>
        <w:tc>
          <w:tcPr>
            <w:tcW w:w="2240" w:type="dxa"/>
            <w:vAlign w:val="bottom"/>
            <w:shd w:val="clear" w:color="auto" w:fill="BF2115"/>
          </w:tcPr>
          <w:p>
            <w:pPr>
              <w:spacing w:after="0"/>
              <w:rPr>
                <w:sz w:val="8"/>
                <w:szCs w:val="8"/>
                <w:color w:val="auto"/>
              </w:rPr>
            </w:pPr>
          </w:p>
        </w:tc>
        <w:tc>
          <w:tcPr>
            <w:tcW w:w="1160" w:type="dxa"/>
            <w:vAlign w:val="bottom"/>
            <w:vMerge w:val="continue"/>
            <w:shd w:val="clear" w:color="auto" w:fill="BF2115"/>
          </w:tcPr>
          <w:p>
            <w:pPr>
              <w:spacing w:after="0"/>
              <w:rPr>
                <w:sz w:val="8"/>
                <w:szCs w:val="8"/>
                <w:color w:val="auto"/>
              </w:rPr>
            </w:pPr>
          </w:p>
        </w:tc>
        <w:tc>
          <w:tcPr>
            <w:tcW w:w="1200" w:type="dxa"/>
            <w:vAlign w:val="bottom"/>
            <w:vMerge w:val="continue"/>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720" w:type="dxa"/>
            <w:vAlign w:val="bottom"/>
            <w:vMerge w:val="continue"/>
            <w:shd w:val="clear" w:color="auto" w:fill="BF2115"/>
          </w:tcPr>
          <w:p>
            <w:pPr>
              <w:spacing w:after="0"/>
              <w:rPr>
                <w:sz w:val="8"/>
                <w:szCs w:val="8"/>
                <w:color w:val="auto"/>
              </w:rPr>
            </w:pPr>
          </w:p>
        </w:tc>
        <w:tc>
          <w:tcPr>
            <w:tcW w:w="1180" w:type="dxa"/>
            <w:vAlign w:val="bottom"/>
            <w:vMerge w:val="continue"/>
            <w:shd w:val="clear" w:color="auto" w:fill="BF2115"/>
          </w:tcPr>
          <w:p>
            <w:pPr>
              <w:spacing w:after="0"/>
              <w:rPr>
                <w:sz w:val="8"/>
                <w:szCs w:val="8"/>
                <w:color w:val="auto"/>
              </w:rPr>
            </w:pPr>
          </w:p>
        </w:tc>
        <w:tc>
          <w:tcPr>
            <w:tcW w:w="1200" w:type="dxa"/>
            <w:vAlign w:val="bottom"/>
            <w:vMerge w:val="continue"/>
            <w:shd w:val="clear" w:color="auto" w:fill="BF2115"/>
          </w:tcPr>
          <w:p>
            <w:pPr>
              <w:spacing w:after="0"/>
              <w:rPr>
                <w:sz w:val="8"/>
                <w:szCs w:val="8"/>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Shares, Units</w:t>
            </w:r>
          </w:p>
        </w:tc>
        <w:tc>
          <w:tcPr>
            <w:tcW w:w="0" w:type="dxa"/>
            <w:vAlign w:val="bottom"/>
          </w:tcPr>
          <w:p>
            <w:pPr>
              <w:spacing w:after="0"/>
              <w:rPr>
                <w:sz w:val="1"/>
                <w:szCs w:val="1"/>
                <w:color w:val="auto"/>
              </w:rPr>
            </w:pPr>
          </w:p>
        </w:tc>
      </w:tr>
      <w:tr>
        <w:trPr>
          <w:trHeight w:val="40"/>
        </w:trPr>
        <w:tc>
          <w:tcPr>
            <w:tcW w:w="2240" w:type="dxa"/>
            <w:vAlign w:val="bottom"/>
            <w:shd w:val="clear" w:color="auto" w:fill="BF2115"/>
          </w:tcPr>
          <w:p>
            <w:pPr>
              <w:spacing w:after="0"/>
              <w:rPr>
                <w:sz w:val="3"/>
                <w:szCs w:val="3"/>
                <w:color w:val="auto"/>
              </w:rPr>
            </w:pPr>
          </w:p>
        </w:tc>
        <w:tc>
          <w:tcPr>
            <w:tcW w:w="116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Unexercised</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Unexercised</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Option</w:t>
            </w:r>
          </w:p>
        </w:tc>
        <w:tc>
          <w:tcPr>
            <w:tcW w:w="1180" w:type="dxa"/>
            <w:vAlign w:val="bottom"/>
            <w:shd w:val="clear" w:color="auto" w:fill="BF2115"/>
          </w:tcPr>
          <w:p>
            <w:pPr>
              <w:spacing w:after="0"/>
              <w:rPr>
                <w:sz w:val="3"/>
                <w:szCs w:val="3"/>
                <w:color w:val="auto"/>
              </w:rPr>
            </w:pPr>
          </w:p>
        </w:tc>
        <w:tc>
          <w:tcPr>
            <w:tcW w:w="72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Units that</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Stock that</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9"/>
              </w:rPr>
              <w:t>or Other Rights</w:t>
            </w:r>
          </w:p>
        </w:tc>
        <w:tc>
          <w:tcPr>
            <w:tcW w:w="1180" w:type="dxa"/>
            <w:vAlign w:val="bottom"/>
            <w:vMerge w:val="continue"/>
            <w:shd w:val="clear" w:color="auto" w:fill="BF2115"/>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2240" w:type="dxa"/>
            <w:vAlign w:val="bottom"/>
            <w:shd w:val="clear" w:color="auto" w:fill="BF2115"/>
          </w:tcPr>
          <w:p>
            <w:pPr>
              <w:spacing w:after="0"/>
              <w:rPr>
                <w:sz w:val="9"/>
                <w:szCs w:val="9"/>
                <w:color w:val="auto"/>
              </w:rPr>
            </w:pPr>
          </w:p>
        </w:tc>
        <w:tc>
          <w:tcPr>
            <w:tcW w:w="1160" w:type="dxa"/>
            <w:vAlign w:val="bottom"/>
            <w:vMerge w:val="continue"/>
            <w:shd w:val="clear" w:color="auto" w:fill="BF2115"/>
          </w:tcPr>
          <w:p>
            <w:pPr>
              <w:spacing w:after="0"/>
              <w:rPr>
                <w:sz w:val="9"/>
                <w:szCs w:val="9"/>
                <w:color w:val="auto"/>
              </w:rPr>
            </w:pPr>
          </w:p>
        </w:tc>
        <w:tc>
          <w:tcPr>
            <w:tcW w:w="1200" w:type="dxa"/>
            <w:vAlign w:val="bottom"/>
            <w:vMerge w:val="continue"/>
            <w:shd w:val="clear" w:color="auto" w:fill="BF2115"/>
          </w:tcPr>
          <w:p>
            <w:pPr>
              <w:spacing w:after="0"/>
              <w:rPr>
                <w:sz w:val="9"/>
                <w:szCs w:val="9"/>
                <w:color w:val="auto"/>
              </w:rPr>
            </w:pPr>
          </w:p>
        </w:tc>
        <w:tc>
          <w:tcPr>
            <w:tcW w:w="1180" w:type="dxa"/>
            <w:vAlign w:val="bottom"/>
            <w:vMerge w:val="continue"/>
            <w:shd w:val="clear" w:color="auto" w:fill="BF2115"/>
          </w:tcPr>
          <w:p>
            <w:pPr>
              <w:spacing w:after="0"/>
              <w:rPr>
                <w:sz w:val="9"/>
                <w:szCs w:val="9"/>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Option</w:t>
            </w:r>
          </w:p>
        </w:tc>
        <w:tc>
          <w:tcPr>
            <w:tcW w:w="720" w:type="dxa"/>
            <w:vAlign w:val="bottom"/>
            <w:vMerge w:val="continue"/>
            <w:shd w:val="clear" w:color="auto" w:fill="BF2115"/>
          </w:tcPr>
          <w:p>
            <w:pPr>
              <w:spacing w:after="0"/>
              <w:rPr>
                <w:sz w:val="9"/>
                <w:szCs w:val="9"/>
                <w:color w:val="auto"/>
              </w:rPr>
            </w:pPr>
          </w:p>
        </w:tc>
        <w:tc>
          <w:tcPr>
            <w:tcW w:w="1180" w:type="dxa"/>
            <w:vAlign w:val="bottom"/>
            <w:vMerge w:val="continue"/>
            <w:shd w:val="clear" w:color="auto" w:fill="BF2115"/>
          </w:tcPr>
          <w:p>
            <w:pPr>
              <w:spacing w:after="0"/>
              <w:rPr>
                <w:sz w:val="9"/>
                <w:szCs w:val="9"/>
                <w:color w:val="auto"/>
              </w:rPr>
            </w:pPr>
          </w:p>
        </w:tc>
        <w:tc>
          <w:tcPr>
            <w:tcW w:w="1200" w:type="dxa"/>
            <w:vAlign w:val="bottom"/>
            <w:vMerge w:val="continue"/>
            <w:shd w:val="clear" w:color="auto" w:fill="BF2115"/>
          </w:tcPr>
          <w:p>
            <w:pPr>
              <w:spacing w:after="0"/>
              <w:rPr>
                <w:sz w:val="9"/>
                <w:szCs w:val="9"/>
                <w:color w:val="auto"/>
              </w:rPr>
            </w:pPr>
          </w:p>
        </w:tc>
        <w:tc>
          <w:tcPr>
            <w:tcW w:w="1180" w:type="dxa"/>
            <w:vAlign w:val="bottom"/>
            <w:shd w:val="clear" w:color="auto" w:fill="BF2115"/>
          </w:tcPr>
          <w:p>
            <w:pPr>
              <w:jc w:val="center"/>
              <w:spacing w:after="0" w:line="107" w:lineRule="exact"/>
              <w:rPr>
                <w:sz w:val="20"/>
                <w:szCs w:val="20"/>
                <w:color w:val="auto"/>
              </w:rPr>
            </w:pPr>
            <w:r>
              <w:rPr>
                <w:rFonts w:ascii="Arial" w:cs="Arial" w:eastAsia="Arial" w:hAnsi="Arial"/>
                <w:sz w:val="11"/>
                <w:szCs w:val="11"/>
                <w:b w:val="1"/>
                <w:bCs w:val="1"/>
                <w:color w:val="FFFFFF"/>
                <w:w w:val="96"/>
              </w:rPr>
              <w:t>or Other Rights</w:t>
            </w:r>
          </w:p>
        </w:tc>
        <w:tc>
          <w:tcPr>
            <w:tcW w:w="0" w:type="dxa"/>
            <w:vAlign w:val="bottom"/>
          </w:tcPr>
          <w:p>
            <w:pPr>
              <w:spacing w:after="0"/>
              <w:rPr>
                <w:sz w:val="1"/>
                <w:szCs w:val="1"/>
                <w:color w:val="auto"/>
              </w:rPr>
            </w:pPr>
          </w:p>
        </w:tc>
      </w:tr>
      <w:tr>
        <w:trPr>
          <w:trHeight w:val="118"/>
        </w:trPr>
        <w:tc>
          <w:tcPr>
            <w:tcW w:w="2240" w:type="dxa"/>
            <w:vAlign w:val="bottom"/>
            <w:shd w:val="clear" w:color="auto" w:fill="BF2115"/>
          </w:tcPr>
          <w:p>
            <w:pPr>
              <w:spacing w:after="0"/>
              <w:rPr>
                <w:sz w:val="10"/>
                <w:szCs w:val="10"/>
                <w:color w:val="auto"/>
              </w:rPr>
            </w:pPr>
          </w:p>
        </w:tc>
        <w:tc>
          <w:tcPr>
            <w:tcW w:w="1160" w:type="dxa"/>
            <w:vAlign w:val="bottom"/>
            <w:shd w:val="clear" w:color="auto" w:fill="BF2115"/>
          </w:tcPr>
          <w:p>
            <w:pPr>
              <w:jc w:val="center"/>
              <w:spacing w:after="0" w:line="118" w:lineRule="exact"/>
              <w:rPr>
                <w:sz w:val="20"/>
                <w:szCs w:val="20"/>
                <w:color w:val="auto"/>
              </w:rPr>
            </w:pPr>
            <w:r>
              <w:rPr>
                <w:rFonts w:ascii="Arial" w:cs="Arial" w:eastAsia="Arial" w:hAnsi="Arial"/>
                <w:sz w:val="11"/>
                <w:szCs w:val="11"/>
                <w:b w:val="1"/>
                <w:bCs w:val="1"/>
                <w:color w:val="FFFFFF"/>
                <w:w w:val="96"/>
              </w:rPr>
              <w:t>Options</w:t>
            </w:r>
          </w:p>
        </w:tc>
        <w:tc>
          <w:tcPr>
            <w:tcW w:w="1200" w:type="dxa"/>
            <w:vAlign w:val="bottom"/>
            <w:shd w:val="clear" w:color="auto" w:fill="BF2115"/>
          </w:tcPr>
          <w:p>
            <w:pPr>
              <w:jc w:val="center"/>
              <w:spacing w:after="0" w:line="118" w:lineRule="exact"/>
              <w:rPr>
                <w:sz w:val="20"/>
                <w:szCs w:val="20"/>
                <w:color w:val="auto"/>
              </w:rPr>
            </w:pPr>
            <w:r>
              <w:rPr>
                <w:rFonts w:ascii="Arial" w:cs="Arial" w:eastAsia="Arial" w:hAnsi="Arial"/>
                <w:sz w:val="11"/>
                <w:szCs w:val="11"/>
                <w:b w:val="1"/>
                <w:bCs w:val="1"/>
                <w:color w:val="FFFFFF"/>
                <w:w w:val="96"/>
              </w:rPr>
              <w:t>Options</w:t>
            </w:r>
          </w:p>
        </w:tc>
        <w:tc>
          <w:tcPr>
            <w:tcW w:w="1180" w:type="dxa"/>
            <w:vAlign w:val="bottom"/>
            <w:shd w:val="clear" w:color="auto" w:fill="BF2115"/>
          </w:tcPr>
          <w:p>
            <w:pPr>
              <w:jc w:val="center"/>
              <w:spacing w:after="0" w:line="118" w:lineRule="exact"/>
              <w:rPr>
                <w:sz w:val="20"/>
                <w:szCs w:val="20"/>
                <w:color w:val="auto"/>
              </w:rPr>
            </w:pPr>
            <w:r>
              <w:rPr>
                <w:rFonts w:ascii="Arial" w:cs="Arial" w:eastAsia="Arial" w:hAnsi="Arial"/>
                <w:sz w:val="11"/>
                <w:szCs w:val="11"/>
                <w:b w:val="1"/>
                <w:bCs w:val="1"/>
                <w:color w:val="FFFFFF"/>
                <w:w w:val="97"/>
              </w:rPr>
              <w:t>Exercise</w:t>
            </w:r>
          </w:p>
        </w:tc>
        <w:tc>
          <w:tcPr>
            <w:tcW w:w="1180" w:type="dxa"/>
            <w:vAlign w:val="bottom"/>
            <w:vMerge w:val="continue"/>
            <w:shd w:val="clear" w:color="auto" w:fill="BF2115"/>
          </w:tcPr>
          <w:p>
            <w:pPr>
              <w:spacing w:after="0"/>
              <w:rPr>
                <w:sz w:val="10"/>
                <w:szCs w:val="10"/>
                <w:color w:val="auto"/>
              </w:rPr>
            </w:pPr>
          </w:p>
        </w:tc>
        <w:tc>
          <w:tcPr>
            <w:tcW w:w="720" w:type="dxa"/>
            <w:vAlign w:val="bottom"/>
            <w:shd w:val="clear" w:color="auto" w:fill="BF2115"/>
          </w:tcPr>
          <w:p>
            <w:pPr>
              <w:jc w:val="center"/>
              <w:spacing w:after="0" w:line="118" w:lineRule="exact"/>
              <w:rPr>
                <w:sz w:val="20"/>
                <w:szCs w:val="20"/>
                <w:color w:val="auto"/>
              </w:rPr>
            </w:pPr>
            <w:r>
              <w:rPr>
                <w:rFonts w:ascii="Arial" w:cs="Arial" w:eastAsia="Arial" w:hAnsi="Arial"/>
                <w:sz w:val="11"/>
                <w:szCs w:val="11"/>
                <w:b w:val="1"/>
                <w:bCs w:val="1"/>
                <w:color w:val="FFFFFF"/>
                <w:w w:val="96"/>
              </w:rPr>
              <w:t>Have Not</w:t>
            </w:r>
          </w:p>
        </w:tc>
        <w:tc>
          <w:tcPr>
            <w:tcW w:w="1180" w:type="dxa"/>
            <w:vAlign w:val="bottom"/>
            <w:shd w:val="clear" w:color="auto" w:fill="BF2115"/>
          </w:tcPr>
          <w:p>
            <w:pPr>
              <w:jc w:val="center"/>
              <w:spacing w:after="0" w:line="118" w:lineRule="exact"/>
              <w:rPr>
                <w:sz w:val="20"/>
                <w:szCs w:val="20"/>
                <w:color w:val="auto"/>
              </w:rPr>
            </w:pPr>
            <w:r>
              <w:rPr>
                <w:rFonts w:ascii="Arial" w:cs="Arial" w:eastAsia="Arial" w:hAnsi="Arial"/>
                <w:sz w:val="11"/>
                <w:szCs w:val="11"/>
                <w:b w:val="1"/>
                <w:bCs w:val="1"/>
                <w:color w:val="FFFFFF"/>
                <w:w w:val="96"/>
              </w:rPr>
              <w:t>Have Not</w:t>
            </w:r>
          </w:p>
        </w:tc>
        <w:tc>
          <w:tcPr>
            <w:tcW w:w="1200" w:type="dxa"/>
            <w:vAlign w:val="bottom"/>
            <w:shd w:val="clear" w:color="auto" w:fill="BF2115"/>
          </w:tcPr>
          <w:p>
            <w:pPr>
              <w:jc w:val="center"/>
              <w:spacing w:after="0" w:line="118" w:lineRule="exact"/>
              <w:rPr>
                <w:sz w:val="20"/>
                <w:szCs w:val="20"/>
                <w:color w:val="auto"/>
              </w:rPr>
            </w:pPr>
            <w:r>
              <w:rPr>
                <w:rFonts w:ascii="Arial" w:cs="Arial" w:eastAsia="Arial" w:hAnsi="Arial"/>
                <w:sz w:val="11"/>
                <w:szCs w:val="11"/>
                <w:b w:val="1"/>
                <w:bCs w:val="1"/>
                <w:color w:val="FFFFFF"/>
                <w:w w:val="98"/>
              </w:rPr>
              <w:t>That Have</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That Have</w:t>
            </w:r>
          </w:p>
        </w:tc>
        <w:tc>
          <w:tcPr>
            <w:tcW w:w="0" w:type="dxa"/>
            <w:vAlign w:val="bottom"/>
          </w:tcPr>
          <w:p>
            <w:pPr>
              <w:spacing w:after="0"/>
              <w:rPr>
                <w:sz w:val="1"/>
                <w:szCs w:val="1"/>
                <w:color w:val="auto"/>
              </w:rPr>
            </w:pPr>
          </w:p>
        </w:tc>
      </w:tr>
      <w:tr>
        <w:trPr>
          <w:trHeight w:val="53"/>
        </w:trPr>
        <w:tc>
          <w:tcPr>
            <w:tcW w:w="2240" w:type="dxa"/>
            <w:vAlign w:val="bottom"/>
            <w:shd w:val="clear" w:color="auto" w:fill="BF2115"/>
          </w:tcPr>
          <w:p>
            <w:pPr>
              <w:spacing w:after="0"/>
              <w:rPr>
                <w:sz w:val="4"/>
                <w:szCs w:val="4"/>
                <w:color w:val="auto"/>
              </w:rPr>
            </w:pPr>
          </w:p>
        </w:tc>
        <w:tc>
          <w:tcPr>
            <w:tcW w:w="116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Exercisable</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Unexercisable</w:t>
            </w:r>
            <w:r>
              <w:rPr>
                <w:rFonts w:ascii="Arial" w:cs="Arial" w:eastAsia="Arial" w:hAnsi="Arial"/>
                <w:sz w:val="13"/>
                <w:szCs w:val="13"/>
                <w:b w:val="1"/>
                <w:bCs w:val="1"/>
                <w:color w:val="FFFFFF"/>
                <w:w w:val="95"/>
                <w:vertAlign w:val="superscript"/>
              </w:rPr>
              <w:t>1</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Price</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Expiration</w:t>
            </w:r>
          </w:p>
        </w:tc>
        <w:tc>
          <w:tcPr>
            <w:tcW w:w="72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Vested</w:t>
            </w:r>
            <w:r>
              <w:rPr>
                <w:rFonts w:ascii="Arial" w:cs="Arial" w:eastAsia="Arial" w:hAnsi="Arial"/>
                <w:sz w:val="13"/>
                <w:szCs w:val="13"/>
                <w:b w:val="1"/>
                <w:bCs w:val="1"/>
                <w:color w:val="FFFFFF"/>
                <w:w w:val="97"/>
                <w:vertAlign w:val="superscript"/>
              </w:rPr>
              <w:t>2</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2"/>
              </w:rPr>
              <w:t>Vested</w:t>
            </w:r>
            <w:r>
              <w:rPr>
                <w:rFonts w:ascii="Arial" w:cs="Arial" w:eastAsia="Arial" w:hAnsi="Arial"/>
                <w:sz w:val="13"/>
                <w:szCs w:val="13"/>
                <w:b w:val="1"/>
                <w:bCs w:val="1"/>
                <w:color w:val="FFFFFF"/>
                <w:w w:val="92"/>
                <w:vertAlign w:val="superscript"/>
              </w:rPr>
              <w:t>3</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Not Vested</w:t>
            </w:r>
            <w:r>
              <w:rPr>
                <w:rFonts w:ascii="Arial" w:cs="Arial" w:eastAsia="Arial" w:hAnsi="Arial"/>
                <w:sz w:val="13"/>
                <w:szCs w:val="13"/>
                <w:b w:val="1"/>
                <w:bCs w:val="1"/>
                <w:color w:val="FFFFFF"/>
                <w:w w:val="96"/>
                <w:vertAlign w:val="superscript"/>
              </w:rPr>
              <w:t>4</w:t>
            </w:r>
          </w:p>
        </w:tc>
        <w:tc>
          <w:tcPr>
            <w:tcW w:w="1180" w:type="dxa"/>
            <w:vAlign w:val="bottom"/>
            <w:vMerge w:val="continue"/>
            <w:shd w:val="clear" w:color="auto" w:fill="BF2115"/>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2240" w:type="dxa"/>
            <w:vAlign w:val="bottom"/>
            <w:vMerge w:val="restart"/>
            <w:shd w:val="clear" w:color="auto" w:fill="BF2115"/>
          </w:tcPr>
          <w:p>
            <w:pPr>
              <w:ind w:left="20"/>
              <w:spacing w:after="0"/>
              <w:rPr>
                <w:sz w:val="20"/>
                <w:szCs w:val="20"/>
                <w:color w:val="auto"/>
              </w:rPr>
            </w:pPr>
            <w:r>
              <w:rPr>
                <w:rFonts w:ascii="Arial" w:cs="Arial" w:eastAsia="Arial" w:hAnsi="Arial"/>
                <w:sz w:val="11"/>
                <w:szCs w:val="11"/>
                <w:b w:val="1"/>
                <w:bCs w:val="1"/>
                <w:color w:val="FFFFFF"/>
              </w:rPr>
              <w:t>Name</w:t>
            </w:r>
          </w:p>
        </w:tc>
        <w:tc>
          <w:tcPr>
            <w:tcW w:w="1160" w:type="dxa"/>
            <w:vAlign w:val="bottom"/>
            <w:vMerge w:val="continue"/>
            <w:shd w:val="clear" w:color="auto" w:fill="BF2115"/>
          </w:tcPr>
          <w:p>
            <w:pPr>
              <w:spacing w:after="0"/>
              <w:rPr>
                <w:sz w:val="9"/>
                <w:szCs w:val="9"/>
                <w:color w:val="auto"/>
              </w:rPr>
            </w:pPr>
          </w:p>
        </w:tc>
        <w:tc>
          <w:tcPr>
            <w:tcW w:w="1200" w:type="dxa"/>
            <w:vAlign w:val="bottom"/>
            <w:vMerge w:val="continue"/>
            <w:shd w:val="clear" w:color="auto" w:fill="BF2115"/>
          </w:tcPr>
          <w:p>
            <w:pPr>
              <w:spacing w:after="0"/>
              <w:rPr>
                <w:sz w:val="9"/>
                <w:szCs w:val="9"/>
                <w:color w:val="auto"/>
              </w:rPr>
            </w:pPr>
          </w:p>
        </w:tc>
        <w:tc>
          <w:tcPr>
            <w:tcW w:w="1180" w:type="dxa"/>
            <w:vAlign w:val="bottom"/>
            <w:vMerge w:val="continue"/>
            <w:shd w:val="clear" w:color="auto" w:fill="BF2115"/>
          </w:tcPr>
          <w:p>
            <w:pPr>
              <w:spacing w:after="0"/>
              <w:rPr>
                <w:sz w:val="9"/>
                <w:szCs w:val="9"/>
                <w:color w:val="auto"/>
              </w:rPr>
            </w:pPr>
          </w:p>
        </w:tc>
        <w:tc>
          <w:tcPr>
            <w:tcW w:w="1180" w:type="dxa"/>
            <w:vAlign w:val="bottom"/>
            <w:vMerge w:val="continue"/>
            <w:shd w:val="clear" w:color="auto" w:fill="BF2115"/>
          </w:tcPr>
          <w:p>
            <w:pPr>
              <w:spacing w:after="0"/>
              <w:rPr>
                <w:sz w:val="9"/>
                <w:szCs w:val="9"/>
                <w:color w:val="auto"/>
              </w:rPr>
            </w:pPr>
          </w:p>
        </w:tc>
        <w:tc>
          <w:tcPr>
            <w:tcW w:w="720" w:type="dxa"/>
            <w:vAlign w:val="bottom"/>
            <w:vMerge w:val="continue"/>
            <w:shd w:val="clear" w:color="auto" w:fill="BF2115"/>
          </w:tcPr>
          <w:p>
            <w:pPr>
              <w:spacing w:after="0"/>
              <w:rPr>
                <w:sz w:val="9"/>
                <w:szCs w:val="9"/>
                <w:color w:val="auto"/>
              </w:rPr>
            </w:pPr>
          </w:p>
        </w:tc>
        <w:tc>
          <w:tcPr>
            <w:tcW w:w="1180" w:type="dxa"/>
            <w:vAlign w:val="bottom"/>
            <w:vMerge w:val="continue"/>
            <w:shd w:val="clear" w:color="auto" w:fill="BF2115"/>
          </w:tcPr>
          <w:p>
            <w:pPr>
              <w:spacing w:after="0"/>
              <w:rPr>
                <w:sz w:val="9"/>
                <w:szCs w:val="9"/>
                <w:color w:val="auto"/>
              </w:rPr>
            </w:pPr>
          </w:p>
        </w:tc>
        <w:tc>
          <w:tcPr>
            <w:tcW w:w="1200" w:type="dxa"/>
            <w:vAlign w:val="bottom"/>
            <w:vMerge w:val="continue"/>
            <w:shd w:val="clear" w:color="auto" w:fill="BF2115"/>
          </w:tcPr>
          <w:p>
            <w:pPr>
              <w:spacing w:after="0"/>
              <w:rPr>
                <w:sz w:val="9"/>
                <w:szCs w:val="9"/>
                <w:color w:val="auto"/>
              </w:rPr>
            </w:pPr>
          </w:p>
        </w:tc>
        <w:tc>
          <w:tcPr>
            <w:tcW w:w="1180" w:type="dxa"/>
            <w:vAlign w:val="bottom"/>
            <w:shd w:val="clear" w:color="auto" w:fill="BF2115"/>
          </w:tcPr>
          <w:p>
            <w:pPr>
              <w:jc w:val="center"/>
              <w:spacing w:after="0" w:line="109" w:lineRule="exact"/>
              <w:rPr>
                <w:sz w:val="20"/>
                <w:szCs w:val="20"/>
                <w:color w:val="auto"/>
              </w:rPr>
            </w:pPr>
            <w:r>
              <w:rPr>
                <w:rFonts w:ascii="Arial" w:cs="Arial" w:eastAsia="Arial" w:hAnsi="Arial"/>
                <w:sz w:val="10"/>
                <w:szCs w:val="10"/>
                <w:b w:val="1"/>
                <w:bCs w:val="1"/>
                <w:color w:val="FFFFFF"/>
              </w:rPr>
              <w:t>Not Vested</w:t>
            </w:r>
            <w:r>
              <w:rPr>
                <w:rFonts w:ascii="Arial" w:cs="Arial" w:eastAsia="Arial" w:hAnsi="Arial"/>
                <w:sz w:val="12"/>
                <w:szCs w:val="12"/>
                <w:b w:val="1"/>
                <w:bCs w:val="1"/>
                <w:color w:val="FFFFFF"/>
                <w:vertAlign w:val="superscript"/>
              </w:rPr>
              <w:t>5</w:t>
            </w:r>
          </w:p>
        </w:tc>
        <w:tc>
          <w:tcPr>
            <w:tcW w:w="0" w:type="dxa"/>
            <w:vAlign w:val="bottom"/>
          </w:tcPr>
          <w:p>
            <w:pPr>
              <w:spacing w:after="0"/>
              <w:rPr>
                <w:sz w:val="1"/>
                <w:szCs w:val="1"/>
                <w:color w:val="auto"/>
              </w:rPr>
            </w:pPr>
          </w:p>
        </w:tc>
      </w:tr>
      <w:tr>
        <w:trPr>
          <w:trHeight w:val="53"/>
        </w:trPr>
        <w:tc>
          <w:tcPr>
            <w:tcW w:w="2240" w:type="dxa"/>
            <w:vAlign w:val="bottom"/>
            <w:vMerge w:val="continue"/>
            <w:shd w:val="clear" w:color="auto" w:fill="BF2115"/>
          </w:tcPr>
          <w:p>
            <w:pPr>
              <w:spacing w:after="0"/>
              <w:rPr>
                <w:sz w:val="4"/>
                <w:szCs w:val="4"/>
                <w:color w:val="auto"/>
              </w:rPr>
            </w:pPr>
          </w:p>
        </w:tc>
        <w:tc>
          <w:tcPr>
            <w:tcW w:w="1160" w:type="dxa"/>
            <w:vAlign w:val="bottom"/>
            <w:shd w:val="clear" w:color="auto" w:fill="BF2115"/>
          </w:tcPr>
          <w:p>
            <w:pPr>
              <w:jc w:val="center"/>
              <w:spacing w:after="0" w:line="54" w:lineRule="exact"/>
              <w:rPr>
                <w:sz w:val="20"/>
                <w:szCs w:val="20"/>
                <w:color w:val="auto"/>
              </w:rPr>
            </w:pPr>
            <w:r>
              <w:rPr>
                <w:rFonts w:ascii="Arial" w:cs="Arial" w:eastAsia="Arial" w:hAnsi="Arial"/>
                <w:sz w:val="6"/>
                <w:szCs w:val="6"/>
                <w:b w:val="1"/>
                <w:bCs w:val="1"/>
                <w:color w:val="FFFFFF"/>
              </w:rPr>
              <w:t>(#)</w:t>
            </w:r>
          </w:p>
        </w:tc>
        <w:tc>
          <w:tcPr>
            <w:tcW w:w="1200" w:type="dxa"/>
            <w:vAlign w:val="bottom"/>
            <w:shd w:val="clear" w:color="auto" w:fill="BF2115"/>
          </w:tcPr>
          <w:p>
            <w:pPr>
              <w:jc w:val="center"/>
              <w:spacing w:after="0" w:line="54" w:lineRule="exact"/>
              <w:rPr>
                <w:sz w:val="20"/>
                <w:szCs w:val="20"/>
                <w:color w:val="auto"/>
              </w:rPr>
            </w:pPr>
            <w:r>
              <w:rPr>
                <w:rFonts w:ascii="Arial" w:cs="Arial" w:eastAsia="Arial" w:hAnsi="Arial"/>
                <w:sz w:val="6"/>
                <w:szCs w:val="6"/>
                <w:b w:val="1"/>
                <w:bCs w:val="1"/>
                <w:color w:val="FFFFFF"/>
              </w:rPr>
              <w:t>(#)</w:t>
            </w:r>
          </w:p>
        </w:tc>
        <w:tc>
          <w:tcPr>
            <w:tcW w:w="1180" w:type="dxa"/>
            <w:vAlign w:val="bottom"/>
            <w:shd w:val="clear" w:color="auto" w:fill="BF2115"/>
          </w:tcPr>
          <w:p>
            <w:pPr>
              <w:jc w:val="center"/>
              <w:spacing w:after="0" w:line="54" w:lineRule="exact"/>
              <w:rPr>
                <w:sz w:val="20"/>
                <w:szCs w:val="20"/>
                <w:color w:val="auto"/>
              </w:rPr>
            </w:pPr>
            <w:r>
              <w:rPr>
                <w:rFonts w:ascii="Arial" w:cs="Arial" w:eastAsia="Arial" w:hAnsi="Arial"/>
                <w:sz w:val="6"/>
                <w:szCs w:val="6"/>
                <w:b w:val="1"/>
                <w:bCs w:val="1"/>
                <w:color w:val="FFFFFF"/>
              </w:rPr>
              <w:t>($)</w:t>
            </w:r>
          </w:p>
        </w:tc>
        <w:tc>
          <w:tcPr>
            <w:tcW w:w="1180" w:type="dxa"/>
            <w:vAlign w:val="bottom"/>
            <w:shd w:val="clear" w:color="auto" w:fill="BF2115"/>
          </w:tcPr>
          <w:p>
            <w:pPr>
              <w:jc w:val="center"/>
              <w:spacing w:after="0" w:line="54" w:lineRule="exact"/>
              <w:rPr>
                <w:sz w:val="20"/>
                <w:szCs w:val="20"/>
                <w:color w:val="auto"/>
              </w:rPr>
            </w:pPr>
            <w:r>
              <w:rPr>
                <w:rFonts w:ascii="Arial" w:cs="Arial" w:eastAsia="Arial" w:hAnsi="Arial"/>
                <w:sz w:val="6"/>
                <w:szCs w:val="6"/>
                <w:b w:val="1"/>
                <w:bCs w:val="1"/>
                <w:color w:val="FFFFFF"/>
              </w:rPr>
              <w:t>Date</w:t>
            </w:r>
          </w:p>
        </w:tc>
        <w:tc>
          <w:tcPr>
            <w:tcW w:w="720" w:type="dxa"/>
            <w:vAlign w:val="bottom"/>
            <w:shd w:val="clear" w:color="auto" w:fill="BF2115"/>
          </w:tcPr>
          <w:p>
            <w:pPr>
              <w:jc w:val="center"/>
              <w:spacing w:after="0" w:line="54" w:lineRule="exact"/>
              <w:rPr>
                <w:sz w:val="20"/>
                <w:szCs w:val="20"/>
                <w:color w:val="auto"/>
              </w:rPr>
            </w:pPr>
            <w:r>
              <w:rPr>
                <w:rFonts w:ascii="Arial" w:cs="Arial" w:eastAsia="Arial" w:hAnsi="Arial"/>
                <w:sz w:val="6"/>
                <w:szCs w:val="6"/>
                <w:b w:val="1"/>
                <w:bCs w:val="1"/>
                <w:color w:val="FFFFFF"/>
              </w:rPr>
              <w:t>(#)</w:t>
            </w:r>
          </w:p>
        </w:tc>
        <w:tc>
          <w:tcPr>
            <w:tcW w:w="1180" w:type="dxa"/>
            <w:vAlign w:val="bottom"/>
            <w:shd w:val="clear" w:color="auto" w:fill="BF2115"/>
          </w:tcPr>
          <w:p>
            <w:pPr>
              <w:jc w:val="center"/>
              <w:spacing w:after="0" w:line="54" w:lineRule="exact"/>
              <w:rPr>
                <w:sz w:val="20"/>
                <w:szCs w:val="20"/>
                <w:color w:val="auto"/>
              </w:rPr>
            </w:pPr>
            <w:r>
              <w:rPr>
                <w:rFonts w:ascii="Arial" w:cs="Arial" w:eastAsia="Arial" w:hAnsi="Arial"/>
                <w:sz w:val="6"/>
                <w:szCs w:val="6"/>
                <w:b w:val="1"/>
                <w:bCs w:val="1"/>
                <w:color w:val="FFFFFF"/>
              </w:rPr>
              <w:t>($)</w:t>
            </w:r>
          </w:p>
        </w:tc>
        <w:tc>
          <w:tcPr>
            <w:tcW w:w="1200" w:type="dxa"/>
            <w:vAlign w:val="bottom"/>
            <w:shd w:val="clear" w:color="auto" w:fill="BF2115"/>
          </w:tcPr>
          <w:p>
            <w:pPr>
              <w:jc w:val="center"/>
              <w:spacing w:after="0" w:line="54" w:lineRule="exact"/>
              <w:rPr>
                <w:sz w:val="20"/>
                <w:szCs w:val="20"/>
                <w:color w:val="auto"/>
              </w:rPr>
            </w:pPr>
            <w:r>
              <w:rPr>
                <w:rFonts w:ascii="Arial" w:cs="Arial" w:eastAsia="Arial" w:hAnsi="Arial"/>
                <w:sz w:val="6"/>
                <w:szCs w:val="6"/>
                <w:b w:val="1"/>
                <w:bCs w:val="1"/>
                <w:color w:val="FFFFFF"/>
              </w:rPr>
              <w:t>(#)</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7"/>
                <w:szCs w:val="7"/>
                <w:b w:val="1"/>
                <w:bCs w:val="1"/>
                <w:color w:val="FFFFFF"/>
                <w:w w:val="92"/>
              </w:rPr>
              <w:t>($)</w:t>
            </w:r>
          </w:p>
        </w:tc>
        <w:tc>
          <w:tcPr>
            <w:tcW w:w="0" w:type="dxa"/>
            <w:vAlign w:val="bottom"/>
          </w:tcPr>
          <w:p>
            <w:pPr>
              <w:spacing w:after="0"/>
              <w:rPr>
                <w:sz w:val="1"/>
                <w:szCs w:val="1"/>
                <w:color w:val="auto"/>
              </w:rPr>
            </w:pPr>
          </w:p>
        </w:tc>
      </w:tr>
      <w:tr>
        <w:trPr>
          <w:trHeight w:val="73"/>
        </w:trPr>
        <w:tc>
          <w:tcPr>
            <w:tcW w:w="2240" w:type="dxa"/>
            <w:vAlign w:val="bottom"/>
            <w:tcBorders>
              <w:bottom w:val="single" w:sz="8" w:color="BF2115"/>
            </w:tcBorders>
            <w:shd w:val="clear" w:color="auto" w:fill="BF2115"/>
          </w:tcPr>
          <w:p>
            <w:pPr>
              <w:spacing w:after="0"/>
              <w:rPr>
                <w:sz w:val="6"/>
                <w:szCs w:val="6"/>
                <w:color w:val="auto"/>
              </w:rPr>
            </w:pPr>
          </w:p>
        </w:tc>
        <w:tc>
          <w:tcPr>
            <w:tcW w:w="1160" w:type="dxa"/>
            <w:vAlign w:val="bottom"/>
            <w:tcBorders>
              <w:bottom w:val="single" w:sz="8" w:color="BF2115"/>
            </w:tcBorders>
            <w:shd w:val="clear" w:color="auto" w:fill="BF2115"/>
          </w:tcPr>
          <w:p>
            <w:pPr>
              <w:spacing w:after="0"/>
              <w:rPr>
                <w:sz w:val="6"/>
                <w:szCs w:val="6"/>
                <w:color w:val="auto"/>
              </w:rPr>
            </w:pPr>
          </w:p>
        </w:tc>
        <w:tc>
          <w:tcPr>
            <w:tcW w:w="1200" w:type="dxa"/>
            <w:vAlign w:val="bottom"/>
            <w:tcBorders>
              <w:bottom w:val="single" w:sz="8" w:color="BF2115"/>
            </w:tcBorders>
            <w:shd w:val="clear" w:color="auto" w:fill="BF2115"/>
          </w:tcPr>
          <w:p>
            <w:pPr>
              <w:spacing w:after="0"/>
              <w:rPr>
                <w:sz w:val="6"/>
                <w:szCs w:val="6"/>
                <w:color w:val="auto"/>
              </w:rPr>
            </w:pPr>
          </w:p>
        </w:tc>
        <w:tc>
          <w:tcPr>
            <w:tcW w:w="1180" w:type="dxa"/>
            <w:vAlign w:val="bottom"/>
            <w:tcBorders>
              <w:bottom w:val="single" w:sz="8" w:color="BF2115"/>
            </w:tcBorders>
            <w:shd w:val="clear" w:color="auto" w:fill="BF2115"/>
          </w:tcPr>
          <w:p>
            <w:pPr>
              <w:spacing w:after="0"/>
              <w:rPr>
                <w:sz w:val="6"/>
                <w:szCs w:val="6"/>
                <w:color w:val="auto"/>
              </w:rPr>
            </w:pPr>
          </w:p>
        </w:tc>
        <w:tc>
          <w:tcPr>
            <w:tcW w:w="1180" w:type="dxa"/>
            <w:vAlign w:val="bottom"/>
            <w:tcBorders>
              <w:bottom w:val="single" w:sz="8" w:color="BF2115"/>
            </w:tcBorders>
            <w:shd w:val="clear" w:color="auto" w:fill="BF2115"/>
          </w:tcPr>
          <w:p>
            <w:pPr>
              <w:spacing w:after="0"/>
              <w:rPr>
                <w:sz w:val="6"/>
                <w:szCs w:val="6"/>
                <w:color w:val="auto"/>
              </w:rPr>
            </w:pPr>
          </w:p>
        </w:tc>
        <w:tc>
          <w:tcPr>
            <w:tcW w:w="720" w:type="dxa"/>
            <w:vAlign w:val="bottom"/>
            <w:tcBorders>
              <w:bottom w:val="single" w:sz="8" w:color="BF2115"/>
            </w:tcBorders>
            <w:shd w:val="clear" w:color="auto" w:fill="BF2115"/>
          </w:tcPr>
          <w:p>
            <w:pPr>
              <w:spacing w:after="0"/>
              <w:rPr>
                <w:sz w:val="6"/>
                <w:szCs w:val="6"/>
                <w:color w:val="auto"/>
              </w:rPr>
            </w:pPr>
          </w:p>
        </w:tc>
        <w:tc>
          <w:tcPr>
            <w:tcW w:w="1180" w:type="dxa"/>
            <w:vAlign w:val="bottom"/>
            <w:tcBorders>
              <w:bottom w:val="single" w:sz="8" w:color="BF2115"/>
            </w:tcBorders>
            <w:shd w:val="clear" w:color="auto" w:fill="BF2115"/>
          </w:tcPr>
          <w:p>
            <w:pPr>
              <w:spacing w:after="0"/>
              <w:rPr>
                <w:sz w:val="6"/>
                <w:szCs w:val="6"/>
                <w:color w:val="auto"/>
              </w:rPr>
            </w:pPr>
          </w:p>
        </w:tc>
        <w:tc>
          <w:tcPr>
            <w:tcW w:w="1200" w:type="dxa"/>
            <w:vAlign w:val="bottom"/>
            <w:tcBorders>
              <w:bottom w:val="single" w:sz="8" w:color="BF2115"/>
            </w:tcBorders>
            <w:shd w:val="clear" w:color="auto" w:fill="BF2115"/>
          </w:tcPr>
          <w:p>
            <w:pPr>
              <w:spacing w:after="0"/>
              <w:rPr>
                <w:sz w:val="6"/>
                <w:szCs w:val="6"/>
                <w:color w:val="auto"/>
              </w:rPr>
            </w:pPr>
          </w:p>
        </w:tc>
        <w:tc>
          <w:tcPr>
            <w:tcW w:w="1180" w:type="dxa"/>
            <w:vAlign w:val="bottom"/>
            <w:tcBorders>
              <w:bottom w:val="single" w:sz="8" w:color="BF2115"/>
            </w:tcBorders>
            <w:vMerge w:val="continue"/>
            <w:shd w:val="clear" w:color="auto" w:fill="BF2115"/>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240" w:type="dxa"/>
            <w:vAlign w:val="bottom"/>
          </w:tcPr>
          <w:p>
            <w:pPr>
              <w:ind w:left="20"/>
              <w:spacing w:after="0"/>
              <w:rPr>
                <w:sz w:val="20"/>
                <w:szCs w:val="20"/>
                <w:color w:val="auto"/>
              </w:rPr>
            </w:pPr>
            <w:r>
              <w:rPr>
                <w:rFonts w:ascii="Arial" w:cs="Arial" w:eastAsia="Arial" w:hAnsi="Arial"/>
                <w:sz w:val="12"/>
                <w:szCs w:val="12"/>
                <w:color w:val="auto"/>
              </w:rPr>
              <w:t>Edric C. Funk</w:t>
            </w:r>
          </w:p>
        </w:tc>
        <w:tc>
          <w:tcPr>
            <w:tcW w:w="1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Stock Options</w:t>
            </w:r>
          </w:p>
        </w:tc>
        <w:tc>
          <w:tcPr>
            <w:tcW w:w="1160" w:type="dxa"/>
            <w:vAlign w:val="bottom"/>
          </w:tcPr>
          <w:p>
            <w:pPr>
              <w:jc w:val="right"/>
              <w:spacing w:after="0"/>
              <w:rPr>
                <w:sz w:val="20"/>
                <w:szCs w:val="20"/>
                <w:color w:val="auto"/>
              </w:rPr>
            </w:pPr>
            <w:r>
              <w:rPr>
                <w:rFonts w:ascii="Arial" w:cs="Arial" w:eastAsia="Arial" w:hAnsi="Arial"/>
                <w:sz w:val="12"/>
                <w:szCs w:val="12"/>
                <w:color w:val="auto"/>
              </w:rPr>
              <w:t>3,700</w:t>
            </w:r>
          </w:p>
        </w:tc>
        <w:tc>
          <w:tcPr>
            <w:tcW w:w="1200" w:type="dxa"/>
            <w:vAlign w:val="bottom"/>
          </w:tcPr>
          <w:p>
            <w:pPr>
              <w:jc w:val="right"/>
              <w:spacing w:after="0"/>
              <w:rPr>
                <w:sz w:val="20"/>
                <w:szCs w:val="20"/>
                <w:color w:val="auto"/>
              </w:rPr>
            </w:pPr>
            <w:r>
              <w:rPr>
                <w:rFonts w:ascii="Arial" w:cs="Arial" w:eastAsia="Arial" w:hAnsi="Arial"/>
                <w:sz w:val="12"/>
                <w:szCs w:val="12"/>
                <w:color w:val="auto"/>
              </w:rPr>
              <w:t>0</w:t>
            </w:r>
          </w:p>
        </w:tc>
        <w:tc>
          <w:tcPr>
            <w:tcW w:w="1180" w:type="dxa"/>
            <w:vAlign w:val="bottom"/>
          </w:tcPr>
          <w:p>
            <w:pPr>
              <w:jc w:val="right"/>
              <w:spacing w:after="0"/>
              <w:rPr>
                <w:sz w:val="20"/>
                <w:szCs w:val="20"/>
                <w:color w:val="auto"/>
              </w:rPr>
            </w:pPr>
            <w:r>
              <w:rPr>
                <w:rFonts w:ascii="Arial" w:cs="Arial" w:eastAsia="Arial" w:hAnsi="Arial"/>
                <w:sz w:val="12"/>
                <w:szCs w:val="12"/>
                <w:color w:val="auto"/>
              </w:rPr>
              <w:t>93.3300</w:t>
            </w:r>
          </w:p>
        </w:tc>
        <w:tc>
          <w:tcPr>
            <w:tcW w:w="1180" w:type="dxa"/>
            <w:vAlign w:val="bottom"/>
          </w:tcPr>
          <w:p>
            <w:pPr>
              <w:jc w:val="right"/>
              <w:spacing w:after="0"/>
              <w:rPr>
                <w:sz w:val="20"/>
                <w:szCs w:val="20"/>
                <w:color w:val="auto"/>
              </w:rPr>
            </w:pPr>
            <w:r>
              <w:rPr>
                <w:rFonts w:ascii="Arial" w:cs="Arial" w:eastAsia="Arial" w:hAnsi="Arial"/>
                <w:sz w:val="12"/>
                <w:szCs w:val="12"/>
                <w:color w:val="auto"/>
              </w:rPr>
              <w:t>12/17/2030</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3,100</w:t>
            </w:r>
          </w:p>
        </w:tc>
        <w:tc>
          <w:tcPr>
            <w:tcW w:w="1200" w:type="dxa"/>
            <w:vAlign w:val="bottom"/>
          </w:tcPr>
          <w:p>
            <w:pPr>
              <w:jc w:val="right"/>
              <w:spacing w:after="0"/>
              <w:rPr>
                <w:sz w:val="20"/>
                <w:szCs w:val="20"/>
                <w:color w:val="auto"/>
              </w:rPr>
            </w:pPr>
            <w:r>
              <w:rPr>
                <w:rFonts w:ascii="Arial" w:cs="Arial" w:eastAsia="Arial" w:hAnsi="Arial"/>
                <w:sz w:val="12"/>
                <w:szCs w:val="12"/>
                <w:color w:val="auto"/>
              </w:rPr>
              <w:t>0</w:t>
            </w:r>
          </w:p>
        </w:tc>
        <w:tc>
          <w:tcPr>
            <w:tcW w:w="1180" w:type="dxa"/>
            <w:vAlign w:val="bottom"/>
          </w:tcPr>
          <w:p>
            <w:pPr>
              <w:jc w:val="right"/>
              <w:spacing w:after="0"/>
              <w:rPr>
                <w:sz w:val="20"/>
                <w:szCs w:val="20"/>
                <w:color w:val="auto"/>
              </w:rPr>
            </w:pPr>
            <w:r>
              <w:rPr>
                <w:rFonts w:ascii="Arial" w:cs="Arial" w:eastAsia="Arial" w:hAnsi="Arial"/>
                <w:sz w:val="12"/>
                <w:szCs w:val="12"/>
                <w:color w:val="auto"/>
              </w:rPr>
              <w:t>99.3400</w:t>
            </w:r>
          </w:p>
        </w:tc>
        <w:tc>
          <w:tcPr>
            <w:tcW w:w="1180" w:type="dxa"/>
            <w:vAlign w:val="bottom"/>
          </w:tcPr>
          <w:p>
            <w:pPr>
              <w:jc w:val="right"/>
              <w:spacing w:after="0"/>
              <w:rPr>
                <w:sz w:val="20"/>
                <w:szCs w:val="20"/>
                <w:color w:val="auto"/>
              </w:rPr>
            </w:pPr>
            <w:r>
              <w:rPr>
                <w:rFonts w:ascii="Arial" w:cs="Arial" w:eastAsia="Arial" w:hAnsi="Arial"/>
                <w:sz w:val="12"/>
                <w:szCs w:val="12"/>
                <w:color w:val="auto"/>
              </w:rPr>
              <w:t>12/16/2031</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6,266</w:t>
            </w:r>
          </w:p>
        </w:tc>
        <w:tc>
          <w:tcPr>
            <w:tcW w:w="1200" w:type="dxa"/>
            <w:vAlign w:val="bottom"/>
          </w:tcPr>
          <w:p>
            <w:pPr>
              <w:jc w:val="right"/>
              <w:spacing w:after="0"/>
              <w:rPr>
                <w:sz w:val="20"/>
                <w:szCs w:val="20"/>
                <w:color w:val="auto"/>
              </w:rPr>
            </w:pPr>
            <w:r>
              <w:rPr>
                <w:rFonts w:ascii="Arial" w:cs="Arial" w:eastAsia="Arial" w:hAnsi="Arial"/>
                <w:sz w:val="12"/>
                <w:szCs w:val="12"/>
                <w:color w:val="auto"/>
              </w:rPr>
              <w:t>3,134</w:t>
            </w:r>
          </w:p>
        </w:tc>
        <w:tc>
          <w:tcPr>
            <w:tcW w:w="1180" w:type="dxa"/>
            <w:vAlign w:val="bottom"/>
          </w:tcPr>
          <w:p>
            <w:pPr>
              <w:jc w:val="right"/>
              <w:spacing w:after="0"/>
              <w:rPr>
                <w:sz w:val="20"/>
                <w:szCs w:val="20"/>
                <w:color w:val="auto"/>
              </w:rPr>
            </w:pPr>
            <w:r>
              <w:rPr>
                <w:rFonts w:ascii="Arial" w:cs="Arial" w:eastAsia="Arial" w:hAnsi="Arial"/>
                <w:sz w:val="12"/>
                <w:szCs w:val="12"/>
                <w:color w:val="auto"/>
              </w:rPr>
              <w:t>111.1500</w:t>
            </w:r>
          </w:p>
        </w:tc>
        <w:tc>
          <w:tcPr>
            <w:tcW w:w="1180" w:type="dxa"/>
            <w:vAlign w:val="bottom"/>
          </w:tcPr>
          <w:p>
            <w:pPr>
              <w:jc w:val="right"/>
              <w:spacing w:after="0"/>
              <w:rPr>
                <w:sz w:val="20"/>
                <w:szCs w:val="20"/>
                <w:color w:val="auto"/>
              </w:rPr>
            </w:pPr>
            <w:r>
              <w:rPr>
                <w:rFonts w:ascii="Arial" w:cs="Arial" w:eastAsia="Arial" w:hAnsi="Arial"/>
                <w:sz w:val="12"/>
                <w:szCs w:val="12"/>
                <w:color w:val="auto"/>
              </w:rPr>
              <w:t>12/22/2032</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4,666</w:t>
            </w:r>
          </w:p>
        </w:tc>
        <w:tc>
          <w:tcPr>
            <w:tcW w:w="1200" w:type="dxa"/>
            <w:vAlign w:val="bottom"/>
          </w:tcPr>
          <w:p>
            <w:pPr>
              <w:jc w:val="right"/>
              <w:spacing w:after="0"/>
              <w:rPr>
                <w:sz w:val="20"/>
                <w:szCs w:val="20"/>
                <w:color w:val="auto"/>
              </w:rPr>
            </w:pPr>
            <w:r>
              <w:rPr>
                <w:rFonts w:ascii="Arial" w:cs="Arial" w:eastAsia="Arial" w:hAnsi="Arial"/>
                <w:sz w:val="12"/>
                <w:szCs w:val="12"/>
                <w:color w:val="auto"/>
              </w:rPr>
              <w:t>9,334</w:t>
            </w:r>
          </w:p>
        </w:tc>
        <w:tc>
          <w:tcPr>
            <w:tcW w:w="1180" w:type="dxa"/>
            <w:vAlign w:val="bottom"/>
          </w:tcPr>
          <w:p>
            <w:pPr>
              <w:jc w:val="right"/>
              <w:spacing w:after="0"/>
              <w:rPr>
                <w:sz w:val="20"/>
                <w:szCs w:val="20"/>
                <w:color w:val="auto"/>
              </w:rPr>
            </w:pPr>
            <w:r>
              <w:rPr>
                <w:rFonts w:ascii="Arial" w:cs="Arial" w:eastAsia="Arial" w:hAnsi="Arial"/>
                <w:sz w:val="12"/>
                <w:szCs w:val="12"/>
                <w:color w:val="auto"/>
              </w:rPr>
              <w:t>99.6000</w:t>
            </w:r>
          </w:p>
        </w:tc>
        <w:tc>
          <w:tcPr>
            <w:tcW w:w="1180" w:type="dxa"/>
            <w:vAlign w:val="bottom"/>
          </w:tcPr>
          <w:p>
            <w:pPr>
              <w:jc w:val="right"/>
              <w:spacing w:after="0"/>
              <w:rPr>
                <w:sz w:val="20"/>
                <w:szCs w:val="20"/>
                <w:color w:val="auto"/>
              </w:rPr>
            </w:pPr>
            <w:r>
              <w:rPr>
                <w:rFonts w:ascii="Arial" w:cs="Arial" w:eastAsia="Arial" w:hAnsi="Arial"/>
                <w:sz w:val="12"/>
                <w:szCs w:val="12"/>
                <w:color w:val="auto"/>
              </w:rPr>
              <w:t>12/26/2033</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0</w:t>
            </w:r>
          </w:p>
        </w:tc>
        <w:tc>
          <w:tcPr>
            <w:tcW w:w="1200" w:type="dxa"/>
            <w:vAlign w:val="bottom"/>
          </w:tcPr>
          <w:p>
            <w:pPr>
              <w:jc w:val="right"/>
              <w:spacing w:after="0"/>
              <w:rPr>
                <w:sz w:val="20"/>
                <w:szCs w:val="20"/>
                <w:color w:val="auto"/>
              </w:rPr>
            </w:pPr>
            <w:r>
              <w:rPr>
                <w:rFonts w:ascii="Arial" w:cs="Arial" w:eastAsia="Arial" w:hAnsi="Arial"/>
                <w:sz w:val="12"/>
                <w:szCs w:val="12"/>
                <w:color w:val="auto"/>
              </w:rPr>
              <w:t>15,060</w:t>
            </w:r>
          </w:p>
        </w:tc>
        <w:tc>
          <w:tcPr>
            <w:tcW w:w="1180" w:type="dxa"/>
            <w:vAlign w:val="bottom"/>
          </w:tcPr>
          <w:p>
            <w:pPr>
              <w:jc w:val="right"/>
              <w:spacing w:after="0"/>
              <w:rPr>
                <w:sz w:val="20"/>
                <w:szCs w:val="20"/>
                <w:color w:val="auto"/>
              </w:rPr>
            </w:pPr>
            <w:r>
              <w:rPr>
                <w:rFonts w:ascii="Arial" w:cs="Arial" w:eastAsia="Arial" w:hAnsi="Arial"/>
                <w:sz w:val="12"/>
                <w:szCs w:val="12"/>
                <w:color w:val="auto"/>
              </w:rPr>
              <w:t>80.2100</w:t>
            </w:r>
          </w:p>
        </w:tc>
        <w:tc>
          <w:tcPr>
            <w:tcW w:w="1180" w:type="dxa"/>
            <w:vAlign w:val="bottom"/>
          </w:tcPr>
          <w:p>
            <w:pPr>
              <w:jc w:val="right"/>
              <w:spacing w:after="0"/>
              <w:rPr>
                <w:sz w:val="20"/>
                <w:szCs w:val="20"/>
                <w:color w:val="auto"/>
              </w:rPr>
            </w:pPr>
            <w:r>
              <w:rPr>
                <w:rFonts w:ascii="Arial" w:cs="Arial" w:eastAsia="Arial" w:hAnsi="Arial"/>
                <w:sz w:val="12"/>
                <w:szCs w:val="12"/>
                <w:color w:val="auto"/>
              </w:rPr>
              <w:t>12/23/2034</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Restricted Stock Units</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19,282</w:t>
            </w:r>
          </w:p>
        </w:tc>
        <w:tc>
          <w:tcPr>
            <w:tcW w:w="1180" w:type="dxa"/>
            <w:vAlign w:val="bottom"/>
          </w:tcPr>
          <w:p>
            <w:pPr>
              <w:jc w:val="right"/>
              <w:spacing w:after="0"/>
              <w:rPr>
                <w:sz w:val="20"/>
                <w:szCs w:val="20"/>
                <w:color w:val="auto"/>
              </w:rPr>
            </w:pPr>
            <w:r>
              <w:rPr>
                <w:rFonts w:ascii="Arial" w:cs="Arial" w:eastAsia="Arial" w:hAnsi="Arial"/>
                <w:sz w:val="12"/>
                <w:szCs w:val="12"/>
                <w:color w:val="auto"/>
              </w:rPr>
              <w:t>1,440,967</w:t>
            </w: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F24-F26 Performance Shares</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1,760</w:t>
            </w:r>
          </w:p>
        </w:tc>
        <w:tc>
          <w:tcPr>
            <w:tcW w:w="1180" w:type="dxa"/>
            <w:vAlign w:val="bottom"/>
          </w:tcPr>
          <w:p>
            <w:pPr>
              <w:jc w:val="right"/>
              <w:spacing w:after="0"/>
              <w:rPr>
                <w:sz w:val="20"/>
                <w:szCs w:val="20"/>
                <w:color w:val="auto"/>
              </w:rPr>
            </w:pPr>
            <w:r>
              <w:rPr>
                <w:rFonts w:ascii="Arial" w:cs="Arial" w:eastAsia="Arial" w:hAnsi="Arial"/>
                <w:sz w:val="12"/>
                <w:szCs w:val="12"/>
                <w:color w:val="auto"/>
              </w:rPr>
              <w:t>131,525</w:t>
            </w:r>
          </w:p>
        </w:tc>
        <w:tc>
          <w:tcPr>
            <w:tcW w:w="0" w:type="dxa"/>
            <w:vAlign w:val="bottom"/>
          </w:tcPr>
          <w:p>
            <w:pPr>
              <w:spacing w:after="0"/>
              <w:rPr>
                <w:sz w:val="1"/>
                <w:szCs w:val="1"/>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F25-F27 Performance Shares</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6,974</w:t>
            </w:r>
          </w:p>
        </w:tc>
        <w:tc>
          <w:tcPr>
            <w:tcW w:w="1180" w:type="dxa"/>
            <w:vAlign w:val="bottom"/>
          </w:tcPr>
          <w:p>
            <w:pPr>
              <w:jc w:val="right"/>
              <w:spacing w:after="0"/>
              <w:rPr>
                <w:sz w:val="20"/>
                <w:szCs w:val="20"/>
                <w:color w:val="auto"/>
              </w:rPr>
            </w:pPr>
            <w:r>
              <w:rPr>
                <w:rFonts w:ascii="Arial" w:cs="Arial" w:eastAsia="Arial" w:hAnsi="Arial"/>
                <w:sz w:val="12"/>
                <w:szCs w:val="12"/>
                <w:color w:val="auto"/>
              </w:rPr>
              <w:t>521,167</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240" w:type="dxa"/>
            <w:vAlign w:val="bottom"/>
            <w:shd w:val="clear" w:color="auto" w:fill="DBDBDB"/>
          </w:tcPr>
          <w:p>
            <w:pPr>
              <w:ind w:left="20"/>
              <w:spacing w:after="0"/>
              <w:rPr>
                <w:sz w:val="20"/>
                <w:szCs w:val="20"/>
                <w:color w:val="auto"/>
              </w:rPr>
            </w:pPr>
            <w:r>
              <w:rPr>
                <w:rFonts w:ascii="Arial" w:cs="Arial" w:eastAsia="Arial" w:hAnsi="Arial"/>
                <w:sz w:val="12"/>
                <w:szCs w:val="12"/>
                <w:color w:val="auto"/>
              </w:rPr>
              <w:t>Peter D. Moeller</w:t>
            </w:r>
          </w:p>
        </w:tc>
        <w:tc>
          <w:tcPr>
            <w:tcW w:w="116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ind w:left="100"/>
              <w:spacing w:after="0"/>
              <w:rPr>
                <w:sz w:val="20"/>
                <w:szCs w:val="20"/>
                <w:color w:val="auto"/>
              </w:rPr>
            </w:pPr>
            <w:r>
              <w:rPr>
                <w:rFonts w:ascii="Arial" w:cs="Arial" w:eastAsia="Arial" w:hAnsi="Arial"/>
                <w:sz w:val="12"/>
                <w:szCs w:val="12"/>
                <w:color w:val="auto"/>
              </w:rPr>
              <w:t>Stock Options</w:t>
            </w: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2,000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56.5400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12/09/2026</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4,500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65.9300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12/08/2027</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5,400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58.5300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12/07/2028</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5,200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76.5300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12/19/2029</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7,500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93.3300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12/17/2030</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6,700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99.3400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12/16/2031</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4,400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111.1500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12/22/2032</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4,666</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9,334</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99.6000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12/26/2033</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13,554</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80.2100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12/23/2034</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ind w:left="100"/>
              <w:spacing w:after="0"/>
              <w:rPr>
                <w:sz w:val="20"/>
                <w:szCs w:val="20"/>
                <w:color w:val="auto"/>
              </w:rPr>
            </w:pPr>
            <w:r>
              <w:rPr>
                <w:rFonts w:ascii="Arial" w:cs="Arial" w:eastAsia="Arial" w:hAnsi="Arial"/>
                <w:sz w:val="12"/>
                <w:szCs w:val="12"/>
                <w:color w:val="auto"/>
              </w:rPr>
              <w:t>Restricted Stock Units</w:t>
            </w:r>
          </w:p>
        </w:tc>
        <w:tc>
          <w:tcPr>
            <w:tcW w:w="116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2"/>
                <w:szCs w:val="12"/>
                <w:color w:val="auto"/>
              </w:rPr>
              <w:t>21,579</w:t>
            </w:r>
          </w:p>
        </w:tc>
        <w:tc>
          <w:tcPr>
            <w:tcW w:w="1180" w:type="dxa"/>
            <w:vAlign w:val="bottom"/>
            <w:shd w:val="clear" w:color="auto" w:fill="DBDBDB"/>
          </w:tcPr>
          <w:p>
            <w:pPr>
              <w:jc w:val="right"/>
              <w:ind w:right="6"/>
              <w:spacing w:after="0"/>
              <w:rPr>
                <w:sz w:val="20"/>
                <w:szCs w:val="20"/>
                <w:color w:val="auto"/>
              </w:rPr>
            </w:pPr>
            <w:r>
              <w:rPr>
                <w:rFonts w:ascii="Arial" w:cs="Arial" w:eastAsia="Arial" w:hAnsi="Arial"/>
                <w:sz w:val="12"/>
                <w:szCs w:val="12"/>
                <w:color w:val="auto"/>
              </w:rPr>
              <w:t>1,612,578</w:t>
            </w: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ind w:left="100"/>
              <w:spacing w:after="0"/>
              <w:rPr>
                <w:sz w:val="20"/>
                <w:szCs w:val="20"/>
                <w:color w:val="auto"/>
              </w:rPr>
            </w:pPr>
            <w:r>
              <w:rPr>
                <w:rFonts w:ascii="Arial" w:cs="Arial" w:eastAsia="Arial" w:hAnsi="Arial"/>
                <w:sz w:val="12"/>
                <w:szCs w:val="12"/>
                <w:color w:val="auto"/>
              </w:rPr>
              <w:t>F24-F26 Performance Shares</w:t>
            </w:r>
          </w:p>
        </w:tc>
        <w:tc>
          <w:tcPr>
            <w:tcW w:w="116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1,760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131,525</w:t>
            </w:r>
          </w:p>
        </w:tc>
        <w:tc>
          <w:tcPr>
            <w:tcW w:w="0" w:type="dxa"/>
            <w:vAlign w:val="bottom"/>
          </w:tcPr>
          <w:p>
            <w:pPr>
              <w:spacing w:after="0"/>
              <w:rPr>
                <w:sz w:val="1"/>
                <w:szCs w:val="1"/>
                <w:color w:val="auto"/>
              </w:rPr>
            </w:pPr>
          </w:p>
        </w:tc>
      </w:tr>
      <w:tr>
        <w:trPr>
          <w:trHeight w:val="207"/>
        </w:trPr>
        <w:tc>
          <w:tcPr>
            <w:tcW w:w="224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2"/>
                <w:szCs w:val="12"/>
                <w:color w:val="auto"/>
              </w:rPr>
              <w:t>F25-F27 Performance Shares</w:t>
            </w:r>
          </w:p>
        </w:tc>
        <w:tc>
          <w:tcPr>
            <w:tcW w:w="116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6,277</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469,080</w:t>
            </w:r>
          </w:p>
        </w:tc>
        <w:tc>
          <w:tcPr>
            <w:tcW w:w="0" w:type="dxa"/>
            <w:vAlign w:val="bottom"/>
          </w:tcPr>
          <w:p>
            <w:pPr>
              <w:spacing w:after="0"/>
              <w:rPr>
                <w:sz w:val="1"/>
                <w:szCs w:val="1"/>
                <w:color w:val="auto"/>
              </w:rPr>
            </w:pPr>
          </w:p>
        </w:tc>
      </w:tr>
      <w:tr>
        <w:trPr>
          <w:trHeight w:val="173"/>
        </w:trPr>
        <w:tc>
          <w:tcPr>
            <w:tcW w:w="2240" w:type="dxa"/>
            <w:vAlign w:val="bottom"/>
          </w:tcPr>
          <w:p>
            <w:pPr>
              <w:ind w:left="20"/>
              <w:spacing w:after="0"/>
              <w:rPr>
                <w:sz w:val="20"/>
                <w:szCs w:val="20"/>
                <w:color w:val="auto"/>
              </w:rPr>
            </w:pPr>
            <w:r>
              <w:rPr>
                <w:rFonts w:ascii="Arial" w:cs="Arial" w:eastAsia="Arial" w:hAnsi="Arial"/>
                <w:sz w:val="12"/>
                <w:szCs w:val="12"/>
                <w:color w:val="auto"/>
              </w:rPr>
              <w:t>Gregory S. Janey</w:t>
            </w:r>
          </w:p>
        </w:tc>
        <w:tc>
          <w:tcPr>
            <w:tcW w:w="1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Stock Options</w:t>
            </w:r>
          </w:p>
        </w:tc>
        <w:tc>
          <w:tcPr>
            <w:tcW w:w="1160" w:type="dxa"/>
            <w:vAlign w:val="bottom"/>
          </w:tcPr>
          <w:p>
            <w:pPr>
              <w:jc w:val="right"/>
              <w:spacing w:after="0"/>
              <w:rPr>
                <w:sz w:val="20"/>
                <w:szCs w:val="20"/>
                <w:color w:val="auto"/>
              </w:rPr>
            </w:pPr>
            <w:r>
              <w:rPr>
                <w:rFonts w:ascii="Arial" w:cs="Arial" w:eastAsia="Arial" w:hAnsi="Arial"/>
                <w:sz w:val="12"/>
                <w:szCs w:val="12"/>
                <w:color w:val="auto"/>
              </w:rPr>
              <w:t>1,750</w:t>
            </w:r>
          </w:p>
        </w:tc>
        <w:tc>
          <w:tcPr>
            <w:tcW w:w="1200" w:type="dxa"/>
            <w:vAlign w:val="bottom"/>
          </w:tcPr>
          <w:p>
            <w:pPr>
              <w:jc w:val="right"/>
              <w:spacing w:after="0"/>
              <w:rPr>
                <w:sz w:val="20"/>
                <w:szCs w:val="20"/>
                <w:color w:val="auto"/>
              </w:rPr>
            </w:pPr>
            <w:r>
              <w:rPr>
                <w:rFonts w:ascii="Arial" w:cs="Arial" w:eastAsia="Arial" w:hAnsi="Arial"/>
                <w:sz w:val="12"/>
                <w:szCs w:val="12"/>
                <w:color w:val="auto"/>
              </w:rPr>
              <w:t>0</w:t>
            </w:r>
          </w:p>
        </w:tc>
        <w:tc>
          <w:tcPr>
            <w:tcW w:w="1180" w:type="dxa"/>
            <w:vAlign w:val="bottom"/>
          </w:tcPr>
          <w:p>
            <w:pPr>
              <w:jc w:val="right"/>
              <w:spacing w:after="0"/>
              <w:rPr>
                <w:sz w:val="20"/>
                <w:szCs w:val="20"/>
                <w:color w:val="auto"/>
              </w:rPr>
            </w:pPr>
            <w:r>
              <w:rPr>
                <w:rFonts w:ascii="Arial" w:cs="Arial" w:eastAsia="Arial" w:hAnsi="Arial"/>
                <w:sz w:val="12"/>
                <w:szCs w:val="12"/>
                <w:color w:val="auto"/>
              </w:rPr>
              <w:t>56.5400</w:t>
            </w:r>
          </w:p>
        </w:tc>
        <w:tc>
          <w:tcPr>
            <w:tcW w:w="1180" w:type="dxa"/>
            <w:vAlign w:val="bottom"/>
          </w:tcPr>
          <w:p>
            <w:pPr>
              <w:jc w:val="right"/>
              <w:spacing w:after="0"/>
              <w:rPr>
                <w:sz w:val="20"/>
                <w:szCs w:val="20"/>
                <w:color w:val="auto"/>
              </w:rPr>
            </w:pPr>
            <w:r>
              <w:rPr>
                <w:rFonts w:ascii="Arial" w:cs="Arial" w:eastAsia="Arial" w:hAnsi="Arial"/>
                <w:sz w:val="12"/>
                <w:szCs w:val="12"/>
                <w:color w:val="auto"/>
              </w:rPr>
              <w:t>12/09/2026</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1,750</w:t>
            </w:r>
          </w:p>
        </w:tc>
        <w:tc>
          <w:tcPr>
            <w:tcW w:w="1200" w:type="dxa"/>
            <w:vAlign w:val="bottom"/>
          </w:tcPr>
          <w:p>
            <w:pPr>
              <w:jc w:val="right"/>
              <w:spacing w:after="0"/>
              <w:rPr>
                <w:sz w:val="20"/>
                <w:szCs w:val="20"/>
                <w:color w:val="auto"/>
              </w:rPr>
            </w:pPr>
            <w:r>
              <w:rPr>
                <w:rFonts w:ascii="Arial" w:cs="Arial" w:eastAsia="Arial" w:hAnsi="Arial"/>
                <w:sz w:val="12"/>
                <w:szCs w:val="12"/>
                <w:color w:val="auto"/>
              </w:rPr>
              <w:t>0</w:t>
            </w:r>
          </w:p>
        </w:tc>
        <w:tc>
          <w:tcPr>
            <w:tcW w:w="1180" w:type="dxa"/>
            <w:vAlign w:val="bottom"/>
          </w:tcPr>
          <w:p>
            <w:pPr>
              <w:jc w:val="right"/>
              <w:spacing w:after="0"/>
              <w:rPr>
                <w:sz w:val="20"/>
                <w:szCs w:val="20"/>
                <w:color w:val="auto"/>
              </w:rPr>
            </w:pPr>
            <w:r>
              <w:rPr>
                <w:rFonts w:ascii="Arial" w:cs="Arial" w:eastAsia="Arial" w:hAnsi="Arial"/>
                <w:sz w:val="12"/>
                <w:szCs w:val="12"/>
                <w:color w:val="auto"/>
              </w:rPr>
              <w:t>56.5400</w:t>
            </w:r>
          </w:p>
        </w:tc>
        <w:tc>
          <w:tcPr>
            <w:tcW w:w="1180" w:type="dxa"/>
            <w:vAlign w:val="bottom"/>
          </w:tcPr>
          <w:p>
            <w:pPr>
              <w:jc w:val="right"/>
              <w:spacing w:after="0"/>
              <w:rPr>
                <w:sz w:val="20"/>
                <w:szCs w:val="20"/>
                <w:color w:val="auto"/>
              </w:rPr>
            </w:pPr>
            <w:r>
              <w:rPr>
                <w:rFonts w:ascii="Arial" w:cs="Arial" w:eastAsia="Arial" w:hAnsi="Arial"/>
                <w:sz w:val="12"/>
                <w:szCs w:val="12"/>
                <w:color w:val="auto"/>
              </w:rPr>
              <w:t>12/09/2026</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6,600</w:t>
            </w:r>
          </w:p>
        </w:tc>
        <w:tc>
          <w:tcPr>
            <w:tcW w:w="1200" w:type="dxa"/>
            <w:vAlign w:val="bottom"/>
          </w:tcPr>
          <w:p>
            <w:pPr>
              <w:jc w:val="right"/>
              <w:spacing w:after="0"/>
              <w:rPr>
                <w:sz w:val="20"/>
                <w:szCs w:val="20"/>
                <w:color w:val="auto"/>
              </w:rPr>
            </w:pPr>
            <w:r>
              <w:rPr>
                <w:rFonts w:ascii="Arial" w:cs="Arial" w:eastAsia="Arial" w:hAnsi="Arial"/>
                <w:sz w:val="12"/>
                <w:szCs w:val="12"/>
                <w:color w:val="auto"/>
              </w:rPr>
              <w:t>0</w:t>
            </w:r>
          </w:p>
        </w:tc>
        <w:tc>
          <w:tcPr>
            <w:tcW w:w="1180" w:type="dxa"/>
            <w:vAlign w:val="bottom"/>
          </w:tcPr>
          <w:p>
            <w:pPr>
              <w:jc w:val="right"/>
              <w:spacing w:after="0"/>
              <w:rPr>
                <w:sz w:val="20"/>
                <w:szCs w:val="20"/>
                <w:color w:val="auto"/>
              </w:rPr>
            </w:pPr>
            <w:r>
              <w:rPr>
                <w:rFonts w:ascii="Arial" w:cs="Arial" w:eastAsia="Arial" w:hAnsi="Arial"/>
                <w:sz w:val="12"/>
                <w:szCs w:val="12"/>
                <w:color w:val="auto"/>
              </w:rPr>
              <w:t>65.9300</w:t>
            </w:r>
          </w:p>
        </w:tc>
        <w:tc>
          <w:tcPr>
            <w:tcW w:w="1180" w:type="dxa"/>
            <w:vAlign w:val="bottom"/>
          </w:tcPr>
          <w:p>
            <w:pPr>
              <w:jc w:val="right"/>
              <w:spacing w:after="0"/>
              <w:rPr>
                <w:sz w:val="20"/>
                <w:szCs w:val="20"/>
                <w:color w:val="auto"/>
              </w:rPr>
            </w:pPr>
            <w:r>
              <w:rPr>
                <w:rFonts w:ascii="Arial" w:cs="Arial" w:eastAsia="Arial" w:hAnsi="Arial"/>
                <w:sz w:val="12"/>
                <w:szCs w:val="12"/>
                <w:color w:val="auto"/>
              </w:rPr>
              <w:t>12/08/2027</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8,100</w:t>
            </w:r>
          </w:p>
        </w:tc>
        <w:tc>
          <w:tcPr>
            <w:tcW w:w="1200" w:type="dxa"/>
            <w:vAlign w:val="bottom"/>
          </w:tcPr>
          <w:p>
            <w:pPr>
              <w:jc w:val="right"/>
              <w:spacing w:after="0"/>
              <w:rPr>
                <w:sz w:val="20"/>
                <w:szCs w:val="20"/>
                <w:color w:val="auto"/>
              </w:rPr>
            </w:pPr>
            <w:r>
              <w:rPr>
                <w:rFonts w:ascii="Arial" w:cs="Arial" w:eastAsia="Arial" w:hAnsi="Arial"/>
                <w:sz w:val="12"/>
                <w:szCs w:val="12"/>
                <w:color w:val="auto"/>
              </w:rPr>
              <w:t>0</w:t>
            </w:r>
          </w:p>
        </w:tc>
        <w:tc>
          <w:tcPr>
            <w:tcW w:w="1180" w:type="dxa"/>
            <w:vAlign w:val="bottom"/>
          </w:tcPr>
          <w:p>
            <w:pPr>
              <w:jc w:val="right"/>
              <w:spacing w:after="0"/>
              <w:rPr>
                <w:sz w:val="20"/>
                <w:szCs w:val="20"/>
                <w:color w:val="auto"/>
              </w:rPr>
            </w:pPr>
            <w:r>
              <w:rPr>
                <w:rFonts w:ascii="Arial" w:cs="Arial" w:eastAsia="Arial" w:hAnsi="Arial"/>
                <w:sz w:val="12"/>
                <w:szCs w:val="12"/>
                <w:color w:val="auto"/>
              </w:rPr>
              <w:t>58.5300</w:t>
            </w:r>
          </w:p>
        </w:tc>
        <w:tc>
          <w:tcPr>
            <w:tcW w:w="1180" w:type="dxa"/>
            <w:vAlign w:val="bottom"/>
          </w:tcPr>
          <w:p>
            <w:pPr>
              <w:jc w:val="right"/>
              <w:spacing w:after="0"/>
              <w:rPr>
                <w:sz w:val="20"/>
                <w:szCs w:val="20"/>
                <w:color w:val="auto"/>
              </w:rPr>
            </w:pPr>
            <w:r>
              <w:rPr>
                <w:rFonts w:ascii="Arial" w:cs="Arial" w:eastAsia="Arial" w:hAnsi="Arial"/>
                <w:sz w:val="12"/>
                <w:szCs w:val="12"/>
                <w:color w:val="auto"/>
              </w:rPr>
              <w:t>12/07/2028</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8,700</w:t>
            </w:r>
          </w:p>
        </w:tc>
        <w:tc>
          <w:tcPr>
            <w:tcW w:w="1200" w:type="dxa"/>
            <w:vAlign w:val="bottom"/>
          </w:tcPr>
          <w:p>
            <w:pPr>
              <w:jc w:val="right"/>
              <w:spacing w:after="0"/>
              <w:rPr>
                <w:sz w:val="20"/>
                <w:szCs w:val="20"/>
                <w:color w:val="auto"/>
              </w:rPr>
            </w:pPr>
            <w:r>
              <w:rPr>
                <w:rFonts w:ascii="Arial" w:cs="Arial" w:eastAsia="Arial" w:hAnsi="Arial"/>
                <w:sz w:val="12"/>
                <w:szCs w:val="12"/>
                <w:color w:val="auto"/>
              </w:rPr>
              <w:t>0</w:t>
            </w:r>
          </w:p>
        </w:tc>
        <w:tc>
          <w:tcPr>
            <w:tcW w:w="1180" w:type="dxa"/>
            <w:vAlign w:val="bottom"/>
          </w:tcPr>
          <w:p>
            <w:pPr>
              <w:jc w:val="right"/>
              <w:spacing w:after="0"/>
              <w:rPr>
                <w:sz w:val="20"/>
                <w:szCs w:val="20"/>
                <w:color w:val="auto"/>
              </w:rPr>
            </w:pPr>
            <w:r>
              <w:rPr>
                <w:rFonts w:ascii="Arial" w:cs="Arial" w:eastAsia="Arial" w:hAnsi="Arial"/>
                <w:sz w:val="12"/>
                <w:szCs w:val="12"/>
                <w:color w:val="auto"/>
              </w:rPr>
              <w:t>76.5300</w:t>
            </w:r>
          </w:p>
        </w:tc>
        <w:tc>
          <w:tcPr>
            <w:tcW w:w="1180" w:type="dxa"/>
            <w:vAlign w:val="bottom"/>
          </w:tcPr>
          <w:p>
            <w:pPr>
              <w:jc w:val="right"/>
              <w:spacing w:after="0"/>
              <w:rPr>
                <w:sz w:val="20"/>
                <w:szCs w:val="20"/>
                <w:color w:val="auto"/>
              </w:rPr>
            </w:pPr>
            <w:r>
              <w:rPr>
                <w:rFonts w:ascii="Arial" w:cs="Arial" w:eastAsia="Arial" w:hAnsi="Arial"/>
                <w:sz w:val="12"/>
                <w:szCs w:val="12"/>
                <w:color w:val="auto"/>
              </w:rPr>
              <w:t>12/19/2029</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9,000</w:t>
            </w:r>
          </w:p>
        </w:tc>
        <w:tc>
          <w:tcPr>
            <w:tcW w:w="1200" w:type="dxa"/>
            <w:vAlign w:val="bottom"/>
          </w:tcPr>
          <w:p>
            <w:pPr>
              <w:jc w:val="right"/>
              <w:spacing w:after="0"/>
              <w:rPr>
                <w:sz w:val="20"/>
                <w:szCs w:val="20"/>
                <w:color w:val="auto"/>
              </w:rPr>
            </w:pPr>
            <w:r>
              <w:rPr>
                <w:rFonts w:ascii="Arial" w:cs="Arial" w:eastAsia="Arial" w:hAnsi="Arial"/>
                <w:sz w:val="12"/>
                <w:szCs w:val="12"/>
                <w:color w:val="auto"/>
              </w:rPr>
              <w:t>0</w:t>
            </w:r>
          </w:p>
        </w:tc>
        <w:tc>
          <w:tcPr>
            <w:tcW w:w="1180" w:type="dxa"/>
            <w:vAlign w:val="bottom"/>
          </w:tcPr>
          <w:p>
            <w:pPr>
              <w:jc w:val="right"/>
              <w:spacing w:after="0"/>
              <w:rPr>
                <w:sz w:val="20"/>
                <w:szCs w:val="20"/>
                <w:color w:val="auto"/>
              </w:rPr>
            </w:pPr>
            <w:r>
              <w:rPr>
                <w:rFonts w:ascii="Arial" w:cs="Arial" w:eastAsia="Arial" w:hAnsi="Arial"/>
                <w:sz w:val="12"/>
                <w:szCs w:val="12"/>
                <w:color w:val="auto"/>
              </w:rPr>
              <w:t>93.3300</w:t>
            </w:r>
          </w:p>
        </w:tc>
        <w:tc>
          <w:tcPr>
            <w:tcW w:w="1180" w:type="dxa"/>
            <w:vAlign w:val="bottom"/>
          </w:tcPr>
          <w:p>
            <w:pPr>
              <w:jc w:val="right"/>
              <w:spacing w:after="0"/>
              <w:rPr>
                <w:sz w:val="20"/>
                <w:szCs w:val="20"/>
                <w:color w:val="auto"/>
              </w:rPr>
            </w:pPr>
            <w:r>
              <w:rPr>
                <w:rFonts w:ascii="Arial" w:cs="Arial" w:eastAsia="Arial" w:hAnsi="Arial"/>
                <w:sz w:val="12"/>
                <w:szCs w:val="12"/>
                <w:color w:val="auto"/>
              </w:rPr>
              <w:t>12/17/2030</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8,200</w:t>
            </w:r>
          </w:p>
        </w:tc>
        <w:tc>
          <w:tcPr>
            <w:tcW w:w="1200" w:type="dxa"/>
            <w:vAlign w:val="bottom"/>
          </w:tcPr>
          <w:p>
            <w:pPr>
              <w:jc w:val="right"/>
              <w:spacing w:after="0"/>
              <w:rPr>
                <w:sz w:val="20"/>
                <w:szCs w:val="20"/>
                <w:color w:val="auto"/>
              </w:rPr>
            </w:pPr>
            <w:r>
              <w:rPr>
                <w:rFonts w:ascii="Arial" w:cs="Arial" w:eastAsia="Arial" w:hAnsi="Arial"/>
                <w:sz w:val="12"/>
                <w:szCs w:val="12"/>
                <w:color w:val="auto"/>
              </w:rPr>
              <w:t>0</w:t>
            </w:r>
          </w:p>
        </w:tc>
        <w:tc>
          <w:tcPr>
            <w:tcW w:w="1180" w:type="dxa"/>
            <w:vAlign w:val="bottom"/>
          </w:tcPr>
          <w:p>
            <w:pPr>
              <w:jc w:val="right"/>
              <w:spacing w:after="0"/>
              <w:rPr>
                <w:sz w:val="20"/>
                <w:szCs w:val="20"/>
                <w:color w:val="auto"/>
              </w:rPr>
            </w:pPr>
            <w:r>
              <w:rPr>
                <w:rFonts w:ascii="Arial" w:cs="Arial" w:eastAsia="Arial" w:hAnsi="Arial"/>
                <w:sz w:val="12"/>
                <w:szCs w:val="12"/>
                <w:color w:val="auto"/>
              </w:rPr>
              <w:t>99.3400</w:t>
            </w:r>
          </w:p>
        </w:tc>
        <w:tc>
          <w:tcPr>
            <w:tcW w:w="1180" w:type="dxa"/>
            <w:vAlign w:val="bottom"/>
          </w:tcPr>
          <w:p>
            <w:pPr>
              <w:jc w:val="right"/>
              <w:spacing w:after="0"/>
              <w:rPr>
                <w:sz w:val="20"/>
                <w:szCs w:val="20"/>
                <w:color w:val="auto"/>
              </w:rPr>
            </w:pPr>
            <w:r>
              <w:rPr>
                <w:rFonts w:ascii="Arial" w:cs="Arial" w:eastAsia="Arial" w:hAnsi="Arial"/>
                <w:sz w:val="12"/>
                <w:szCs w:val="12"/>
                <w:color w:val="auto"/>
              </w:rPr>
              <w:t>12/16/2031</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7,533</w:t>
            </w:r>
          </w:p>
        </w:tc>
        <w:tc>
          <w:tcPr>
            <w:tcW w:w="1200" w:type="dxa"/>
            <w:vAlign w:val="bottom"/>
          </w:tcPr>
          <w:p>
            <w:pPr>
              <w:jc w:val="right"/>
              <w:spacing w:after="0"/>
              <w:rPr>
                <w:sz w:val="20"/>
                <w:szCs w:val="20"/>
                <w:color w:val="auto"/>
              </w:rPr>
            </w:pPr>
            <w:r>
              <w:rPr>
                <w:rFonts w:ascii="Arial" w:cs="Arial" w:eastAsia="Arial" w:hAnsi="Arial"/>
                <w:sz w:val="12"/>
                <w:szCs w:val="12"/>
                <w:color w:val="auto"/>
              </w:rPr>
              <w:t>3,767</w:t>
            </w:r>
          </w:p>
        </w:tc>
        <w:tc>
          <w:tcPr>
            <w:tcW w:w="1180" w:type="dxa"/>
            <w:vAlign w:val="bottom"/>
          </w:tcPr>
          <w:p>
            <w:pPr>
              <w:jc w:val="right"/>
              <w:spacing w:after="0"/>
              <w:rPr>
                <w:sz w:val="20"/>
                <w:szCs w:val="20"/>
                <w:color w:val="auto"/>
              </w:rPr>
            </w:pPr>
            <w:r>
              <w:rPr>
                <w:rFonts w:ascii="Arial" w:cs="Arial" w:eastAsia="Arial" w:hAnsi="Arial"/>
                <w:sz w:val="12"/>
                <w:szCs w:val="12"/>
                <w:color w:val="auto"/>
              </w:rPr>
              <w:t>111.1500</w:t>
            </w:r>
          </w:p>
        </w:tc>
        <w:tc>
          <w:tcPr>
            <w:tcW w:w="1180" w:type="dxa"/>
            <w:vAlign w:val="bottom"/>
          </w:tcPr>
          <w:p>
            <w:pPr>
              <w:jc w:val="right"/>
              <w:spacing w:after="0"/>
              <w:rPr>
                <w:sz w:val="20"/>
                <w:szCs w:val="20"/>
                <w:color w:val="auto"/>
              </w:rPr>
            </w:pPr>
            <w:r>
              <w:rPr>
                <w:rFonts w:ascii="Arial" w:cs="Arial" w:eastAsia="Arial" w:hAnsi="Arial"/>
                <w:sz w:val="12"/>
                <w:szCs w:val="12"/>
                <w:color w:val="auto"/>
              </w:rPr>
              <w:t>12/22/2032</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4,666</w:t>
            </w:r>
          </w:p>
        </w:tc>
        <w:tc>
          <w:tcPr>
            <w:tcW w:w="1200" w:type="dxa"/>
            <w:vAlign w:val="bottom"/>
          </w:tcPr>
          <w:p>
            <w:pPr>
              <w:jc w:val="right"/>
              <w:spacing w:after="0"/>
              <w:rPr>
                <w:sz w:val="20"/>
                <w:szCs w:val="20"/>
                <w:color w:val="auto"/>
              </w:rPr>
            </w:pPr>
            <w:r>
              <w:rPr>
                <w:rFonts w:ascii="Arial" w:cs="Arial" w:eastAsia="Arial" w:hAnsi="Arial"/>
                <w:sz w:val="12"/>
                <w:szCs w:val="12"/>
                <w:color w:val="auto"/>
              </w:rPr>
              <w:t>9,334</w:t>
            </w:r>
          </w:p>
        </w:tc>
        <w:tc>
          <w:tcPr>
            <w:tcW w:w="1180" w:type="dxa"/>
            <w:vAlign w:val="bottom"/>
          </w:tcPr>
          <w:p>
            <w:pPr>
              <w:jc w:val="right"/>
              <w:spacing w:after="0"/>
              <w:rPr>
                <w:sz w:val="20"/>
                <w:szCs w:val="20"/>
                <w:color w:val="auto"/>
              </w:rPr>
            </w:pPr>
            <w:r>
              <w:rPr>
                <w:rFonts w:ascii="Arial" w:cs="Arial" w:eastAsia="Arial" w:hAnsi="Arial"/>
                <w:sz w:val="12"/>
                <w:szCs w:val="12"/>
                <w:color w:val="auto"/>
              </w:rPr>
              <w:t>99.6000</w:t>
            </w:r>
          </w:p>
        </w:tc>
        <w:tc>
          <w:tcPr>
            <w:tcW w:w="1180" w:type="dxa"/>
            <w:vAlign w:val="bottom"/>
          </w:tcPr>
          <w:p>
            <w:pPr>
              <w:jc w:val="right"/>
              <w:spacing w:after="0"/>
              <w:rPr>
                <w:sz w:val="20"/>
                <w:szCs w:val="20"/>
                <w:color w:val="auto"/>
              </w:rPr>
            </w:pPr>
            <w:r>
              <w:rPr>
                <w:rFonts w:ascii="Arial" w:cs="Arial" w:eastAsia="Arial" w:hAnsi="Arial"/>
                <w:sz w:val="12"/>
                <w:szCs w:val="12"/>
                <w:color w:val="auto"/>
              </w:rPr>
              <w:t>12/26/2033</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0</w:t>
            </w:r>
          </w:p>
        </w:tc>
        <w:tc>
          <w:tcPr>
            <w:tcW w:w="1200" w:type="dxa"/>
            <w:vAlign w:val="bottom"/>
          </w:tcPr>
          <w:p>
            <w:pPr>
              <w:jc w:val="right"/>
              <w:spacing w:after="0"/>
              <w:rPr>
                <w:sz w:val="20"/>
                <w:szCs w:val="20"/>
                <w:color w:val="auto"/>
              </w:rPr>
            </w:pPr>
            <w:r>
              <w:rPr>
                <w:rFonts w:ascii="Arial" w:cs="Arial" w:eastAsia="Arial" w:hAnsi="Arial"/>
                <w:sz w:val="12"/>
                <w:szCs w:val="12"/>
                <w:color w:val="auto"/>
              </w:rPr>
              <w:t>13,554</w:t>
            </w:r>
          </w:p>
        </w:tc>
        <w:tc>
          <w:tcPr>
            <w:tcW w:w="1180" w:type="dxa"/>
            <w:vAlign w:val="bottom"/>
          </w:tcPr>
          <w:p>
            <w:pPr>
              <w:jc w:val="right"/>
              <w:spacing w:after="0"/>
              <w:rPr>
                <w:sz w:val="20"/>
                <w:szCs w:val="20"/>
                <w:color w:val="auto"/>
              </w:rPr>
            </w:pPr>
            <w:r>
              <w:rPr>
                <w:rFonts w:ascii="Arial" w:cs="Arial" w:eastAsia="Arial" w:hAnsi="Arial"/>
                <w:sz w:val="12"/>
                <w:szCs w:val="12"/>
                <w:color w:val="auto"/>
              </w:rPr>
              <w:t>80.2100</w:t>
            </w:r>
          </w:p>
        </w:tc>
        <w:tc>
          <w:tcPr>
            <w:tcW w:w="1180" w:type="dxa"/>
            <w:vAlign w:val="bottom"/>
          </w:tcPr>
          <w:p>
            <w:pPr>
              <w:jc w:val="right"/>
              <w:spacing w:after="0"/>
              <w:rPr>
                <w:sz w:val="20"/>
                <w:szCs w:val="20"/>
                <w:color w:val="auto"/>
              </w:rPr>
            </w:pPr>
            <w:r>
              <w:rPr>
                <w:rFonts w:ascii="Arial" w:cs="Arial" w:eastAsia="Arial" w:hAnsi="Arial"/>
                <w:sz w:val="12"/>
                <w:szCs w:val="12"/>
                <w:color w:val="auto"/>
              </w:rPr>
              <w:t>12/23/2034</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Restricted Stock Units</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21,404</w:t>
            </w:r>
          </w:p>
        </w:tc>
        <w:tc>
          <w:tcPr>
            <w:tcW w:w="1180" w:type="dxa"/>
            <w:vAlign w:val="bottom"/>
          </w:tcPr>
          <w:p>
            <w:pPr>
              <w:jc w:val="right"/>
              <w:spacing w:after="0"/>
              <w:rPr>
                <w:sz w:val="20"/>
                <w:szCs w:val="20"/>
                <w:color w:val="auto"/>
              </w:rPr>
            </w:pPr>
            <w:r>
              <w:rPr>
                <w:rFonts w:ascii="Arial" w:cs="Arial" w:eastAsia="Arial" w:hAnsi="Arial"/>
                <w:sz w:val="12"/>
                <w:szCs w:val="12"/>
                <w:color w:val="auto"/>
              </w:rPr>
              <w:t>1,599,507</w:t>
            </w: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F24-F26 Performance Shares</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1,760</w:t>
            </w:r>
          </w:p>
        </w:tc>
        <w:tc>
          <w:tcPr>
            <w:tcW w:w="1180" w:type="dxa"/>
            <w:vAlign w:val="bottom"/>
          </w:tcPr>
          <w:p>
            <w:pPr>
              <w:jc w:val="right"/>
              <w:spacing w:after="0"/>
              <w:rPr>
                <w:sz w:val="20"/>
                <w:szCs w:val="20"/>
                <w:color w:val="auto"/>
              </w:rPr>
            </w:pPr>
            <w:r>
              <w:rPr>
                <w:rFonts w:ascii="Arial" w:cs="Arial" w:eastAsia="Arial" w:hAnsi="Arial"/>
                <w:sz w:val="12"/>
                <w:szCs w:val="12"/>
                <w:color w:val="auto"/>
              </w:rPr>
              <w:t>131,525</w:t>
            </w:r>
          </w:p>
        </w:tc>
        <w:tc>
          <w:tcPr>
            <w:tcW w:w="0" w:type="dxa"/>
            <w:vAlign w:val="bottom"/>
          </w:tcPr>
          <w:p>
            <w:pPr>
              <w:spacing w:after="0"/>
              <w:rPr>
                <w:sz w:val="1"/>
                <w:szCs w:val="1"/>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F25-F27 Performance Shares</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6,277</w:t>
            </w:r>
          </w:p>
        </w:tc>
        <w:tc>
          <w:tcPr>
            <w:tcW w:w="1180" w:type="dxa"/>
            <w:vAlign w:val="bottom"/>
          </w:tcPr>
          <w:p>
            <w:pPr>
              <w:jc w:val="right"/>
              <w:spacing w:after="0"/>
              <w:rPr>
                <w:sz w:val="20"/>
                <w:szCs w:val="20"/>
                <w:color w:val="auto"/>
              </w:rPr>
            </w:pPr>
            <w:r>
              <w:rPr>
                <w:rFonts w:ascii="Arial" w:cs="Arial" w:eastAsia="Arial" w:hAnsi="Arial"/>
                <w:sz w:val="12"/>
                <w:szCs w:val="12"/>
                <w:color w:val="auto"/>
              </w:rPr>
              <w:t>469,080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-5523230</wp:posOffset>
            </wp:positionV>
            <wp:extent cx="57188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1881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135890</wp:posOffset>
            </wp:positionV>
            <wp:extent cx="19913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297" w:lineRule="exact"/>
        <w:rPr>
          <w:sz w:val="20"/>
          <w:szCs w:val="20"/>
          <w:color w:val="auto"/>
        </w:rPr>
      </w:pPr>
    </w:p>
    <w:p>
      <w:pPr>
        <w:ind w:left="320" w:right="400" w:hanging="313"/>
        <w:spacing w:after="0" w:line="261" w:lineRule="auto"/>
        <w:tabs>
          <w:tab w:leader="none" w:pos="32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Stock options have a ten-year term and vest in three equal installments on each of the first, second and third year anniversaries of the grant date. The vesting schedule for options unexercisable as of October 31, 2025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64" w:name="page65"/>
    <w:bookmarkEnd w:id="64"/>
    <w:tbl>
      <w:tblPr>
        <w:tblLayout w:type="fixed"/>
        <w:tblInd w:w="640" w:type="dxa"/>
        <w:tblCellMar>
          <w:top w:w="0" w:type="dxa"/>
          <w:left w:w="0" w:type="dxa"/>
          <w:bottom w:w="0" w:type="dxa"/>
          <w:right w:w="0" w:type="dxa"/>
        </w:tblCellMar>
      </w:tblPr>
      <w:tr>
        <w:trPr>
          <w:trHeight w:val="204"/>
        </w:trPr>
        <w:tc>
          <w:tcPr>
            <w:tcW w:w="1200" w:type="dxa"/>
            <w:vAlign w:val="bottom"/>
            <w:shd w:val="clear" w:color="auto" w:fill="BF2115"/>
          </w:tcPr>
          <w:p>
            <w:pPr>
              <w:spacing w:after="0"/>
              <w:rPr>
                <w:sz w:val="17"/>
                <w:szCs w:val="17"/>
                <w:color w:val="auto"/>
              </w:rPr>
            </w:pPr>
          </w:p>
        </w:tc>
        <w:tc>
          <w:tcPr>
            <w:tcW w:w="1200" w:type="dxa"/>
            <w:vAlign w:val="bottom"/>
            <w:shd w:val="clear" w:color="auto" w:fill="BF2115"/>
          </w:tcPr>
          <w:p>
            <w:pPr>
              <w:spacing w:after="0"/>
              <w:rPr>
                <w:sz w:val="17"/>
                <w:szCs w:val="17"/>
                <w:color w:val="auto"/>
              </w:rPr>
            </w:pPr>
          </w:p>
        </w:tc>
        <w:tc>
          <w:tcPr>
            <w:tcW w:w="1340" w:type="dxa"/>
            <w:vAlign w:val="bottom"/>
            <w:shd w:val="clear" w:color="auto" w:fill="BF2115"/>
          </w:tcPr>
          <w:p>
            <w:pPr>
              <w:spacing w:after="0"/>
              <w:rPr>
                <w:sz w:val="17"/>
                <w:szCs w:val="17"/>
                <w:color w:val="auto"/>
              </w:rPr>
            </w:pPr>
          </w:p>
        </w:tc>
        <w:tc>
          <w:tcPr>
            <w:tcW w:w="1220" w:type="dxa"/>
            <w:vAlign w:val="bottom"/>
            <w:shd w:val="clear" w:color="auto" w:fill="BF2115"/>
          </w:tcPr>
          <w:p>
            <w:pPr>
              <w:spacing w:after="0"/>
              <w:rPr>
                <w:sz w:val="17"/>
                <w:szCs w:val="17"/>
                <w:color w:val="auto"/>
              </w:rPr>
            </w:pPr>
          </w:p>
        </w:tc>
        <w:tc>
          <w:tcPr>
            <w:tcW w:w="1200" w:type="dxa"/>
            <w:vAlign w:val="bottom"/>
            <w:shd w:val="clear" w:color="auto" w:fill="BF2115"/>
          </w:tcPr>
          <w:p>
            <w:pPr>
              <w:spacing w:after="0"/>
              <w:rPr>
                <w:sz w:val="17"/>
                <w:szCs w:val="17"/>
                <w:color w:val="auto"/>
              </w:rPr>
            </w:pPr>
          </w:p>
        </w:tc>
        <w:tc>
          <w:tcPr>
            <w:tcW w:w="1200" w:type="dxa"/>
            <w:vAlign w:val="bottom"/>
            <w:shd w:val="clear" w:color="auto" w:fill="BF2115"/>
          </w:tcPr>
          <w:p>
            <w:pPr>
              <w:spacing w:after="0"/>
              <w:rPr>
                <w:sz w:val="17"/>
                <w:szCs w:val="17"/>
                <w:color w:val="auto"/>
              </w:rPr>
            </w:pPr>
          </w:p>
        </w:tc>
        <w:tc>
          <w:tcPr>
            <w:tcW w:w="1200" w:type="dxa"/>
            <w:vAlign w:val="bottom"/>
            <w:shd w:val="clear" w:color="auto" w:fill="BF2115"/>
          </w:tcPr>
          <w:p>
            <w:pPr>
              <w:spacing w:after="0"/>
              <w:rPr>
                <w:sz w:val="17"/>
                <w:szCs w:val="17"/>
                <w:color w:val="auto"/>
              </w:rPr>
            </w:pPr>
          </w:p>
        </w:tc>
        <w:tc>
          <w:tcPr>
            <w:tcW w:w="1180" w:type="dxa"/>
            <w:vAlign w:val="bottom"/>
            <w:shd w:val="clear" w:color="auto" w:fill="BF2115"/>
          </w:tcPr>
          <w:p>
            <w:pPr>
              <w:spacing w:after="0"/>
              <w:rPr>
                <w:sz w:val="17"/>
                <w:szCs w:val="17"/>
                <w:color w:val="auto"/>
              </w:rPr>
            </w:pPr>
          </w:p>
        </w:tc>
        <w:tc>
          <w:tcPr>
            <w:tcW w:w="9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Option</w:t>
            </w:r>
          </w:p>
        </w:tc>
      </w:tr>
      <w:tr>
        <w:trPr>
          <w:trHeight w:val="187"/>
        </w:trPr>
        <w:tc>
          <w:tcPr>
            <w:tcW w:w="1200" w:type="dxa"/>
            <w:vAlign w:val="bottom"/>
            <w:shd w:val="clear" w:color="auto" w:fill="BF2115"/>
          </w:tcPr>
          <w:p>
            <w:pPr>
              <w:spacing w:after="0"/>
              <w:rPr>
                <w:sz w:val="16"/>
                <w:szCs w:val="16"/>
                <w:color w:val="auto"/>
              </w:rPr>
            </w:pPr>
          </w:p>
        </w:tc>
        <w:tc>
          <w:tcPr>
            <w:tcW w:w="1200" w:type="dxa"/>
            <w:vAlign w:val="bottom"/>
            <w:shd w:val="clear" w:color="auto" w:fill="BF2115"/>
          </w:tcPr>
          <w:p>
            <w:pPr>
              <w:spacing w:after="0"/>
              <w:rPr>
                <w:sz w:val="16"/>
                <w:szCs w:val="16"/>
                <w:color w:val="auto"/>
              </w:rPr>
            </w:pPr>
          </w:p>
        </w:tc>
        <w:tc>
          <w:tcPr>
            <w:tcW w:w="1340" w:type="dxa"/>
            <w:vAlign w:val="bottom"/>
            <w:shd w:val="clear" w:color="auto" w:fill="BF2115"/>
          </w:tcPr>
          <w:p>
            <w:pPr>
              <w:spacing w:after="0"/>
              <w:rPr>
                <w:sz w:val="16"/>
                <w:szCs w:val="16"/>
                <w:color w:val="auto"/>
              </w:rPr>
            </w:pPr>
          </w:p>
        </w:tc>
        <w:tc>
          <w:tcPr>
            <w:tcW w:w="1220" w:type="dxa"/>
            <w:vAlign w:val="bottom"/>
            <w:shd w:val="clear" w:color="auto" w:fill="BF2115"/>
          </w:tcPr>
          <w:p>
            <w:pPr>
              <w:spacing w:after="0"/>
              <w:rPr>
                <w:sz w:val="16"/>
                <w:szCs w:val="16"/>
                <w:color w:val="auto"/>
              </w:rPr>
            </w:pPr>
          </w:p>
        </w:tc>
        <w:tc>
          <w:tcPr>
            <w:tcW w:w="1200" w:type="dxa"/>
            <w:vAlign w:val="bottom"/>
            <w:shd w:val="clear" w:color="auto" w:fill="BF2115"/>
          </w:tcPr>
          <w:p>
            <w:pPr>
              <w:spacing w:after="0"/>
              <w:rPr>
                <w:sz w:val="16"/>
                <w:szCs w:val="16"/>
                <w:color w:val="auto"/>
              </w:rPr>
            </w:pPr>
          </w:p>
        </w:tc>
        <w:tc>
          <w:tcPr>
            <w:tcW w:w="1200" w:type="dxa"/>
            <w:vAlign w:val="bottom"/>
            <w:shd w:val="clear" w:color="auto" w:fill="BF2115"/>
          </w:tcPr>
          <w:p>
            <w:pPr>
              <w:spacing w:after="0"/>
              <w:rPr>
                <w:sz w:val="16"/>
                <w:szCs w:val="16"/>
                <w:color w:val="auto"/>
              </w:rPr>
            </w:pPr>
          </w:p>
        </w:tc>
        <w:tc>
          <w:tcPr>
            <w:tcW w:w="1200" w:type="dxa"/>
            <w:vAlign w:val="bottom"/>
            <w:shd w:val="clear" w:color="auto" w:fill="BF2115"/>
          </w:tcPr>
          <w:p>
            <w:pPr>
              <w:spacing w:after="0"/>
              <w:rPr>
                <w:sz w:val="16"/>
                <w:szCs w:val="16"/>
                <w:color w:val="auto"/>
              </w:rPr>
            </w:pPr>
          </w:p>
        </w:tc>
        <w:tc>
          <w:tcPr>
            <w:tcW w:w="1180" w:type="dxa"/>
            <w:vAlign w:val="bottom"/>
            <w:shd w:val="clear" w:color="auto" w:fill="BF2115"/>
          </w:tcPr>
          <w:p>
            <w:pPr>
              <w:spacing w:after="0"/>
              <w:rPr>
                <w:sz w:val="16"/>
                <w:szCs w:val="16"/>
                <w:color w:val="auto"/>
              </w:rPr>
            </w:pPr>
          </w:p>
        </w:tc>
        <w:tc>
          <w:tcPr>
            <w:tcW w:w="9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9"/>
              </w:rPr>
              <w:t>Expiration</w:t>
            </w:r>
          </w:p>
        </w:tc>
      </w:tr>
      <w:tr>
        <w:trPr>
          <w:trHeight w:val="196"/>
        </w:trPr>
        <w:tc>
          <w:tcPr>
            <w:tcW w:w="120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1200" w:type="dxa"/>
            <w:vAlign w:val="bottom"/>
            <w:shd w:val="clear" w:color="auto" w:fill="BF2115"/>
          </w:tcPr>
          <w:p>
            <w:pPr>
              <w:jc w:val="right"/>
              <w:ind w:right="169"/>
              <w:spacing w:after="0"/>
              <w:rPr>
                <w:sz w:val="20"/>
                <w:szCs w:val="20"/>
                <w:color w:val="auto"/>
              </w:rPr>
            </w:pPr>
            <w:r>
              <w:rPr>
                <w:rFonts w:ascii="Arial" w:cs="Arial" w:eastAsia="Arial" w:hAnsi="Arial"/>
                <w:sz w:val="14"/>
                <w:szCs w:val="14"/>
                <w:b w:val="1"/>
                <w:bCs w:val="1"/>
                <w:color w:val="FFFFFF"/>
              </w:rPr>
              <w:t>Grant Date</w:t>
            </w:r>
          </w:p>
        </w:tc>
        <w:tc>
          <w:tcPr>
            <w:tcW w:w="1340" w:type="dxa"/>
            <w:vAlign w:val="bottom"/>
            <w:shd w:val="clear" w:color="auto" w:fill="BF2115"/>
          </w:tcPr>
          <w:p>
            <w:pPr>
              <w:jc w:val="right"/>
              <w:ind w:right="389"/>
              <w:spacing w:after="0"/>
              <w:rPr>
                <w:sz w:val="20"/>
                <w:szCs w:val="20"/>
                <w:color w:val="auto"/>
              </w:rPr>
            </w:pPr>
            <w:r>
              <w:rPr>
                <w:rFonts w:ascii="Arial" w:cs="Arial" w:eastAsia="Arial" w:hAnsi="Arial"/>
                <w:sz w:val="14"/>
                <w:szCs w:val="14"/>
                <w:b w:val="1"/>
                <w:bCs w:val="1"/>
                <w:color w:val="FFFFFF"/>
              </w:rPr>
              <w:t>12/22/25</w:t>
            </w:r>
          </w:p>
        </w:tc>
        <w:tc>
          <w:tcPr>
            <w:tcW w:w="1220" w:type="dxa"/>
            <w:vAlign w:val="bottom"/>
            <w:shd w:val="clear" w:color="auto" w:fill="BF2115"/>
          </w:tcPr>
          <w:p>
            <w:pPr>
              <w:jc w:val="right"/>
              <w:ind w:right="409"/>
              <w:spacing w:after="0"/>
              <w:rPr>
                <w:sz w:val="20"/>
                <w:szCs w:val="20"/>
                <w:color w:val="auto"/>
              </w:rPr>
            </w:pPr>
            <w:r>
              <w:rPr>
                <w:rFonts w:ascii="Arial" w:cs="Arial" w:eastAsia="Arial" w:hAnsi="Arial"/>
                <w:sz w:val="14"/>
                <w:szCs w:val="14"/>
                <w:b w:val="1"/>
                <w:bCs w:val="1"/>
                <w:color w:val="FFFFFF"/>
              </w:rPr>
              <w:t>12/23/25</w:t>
            </w:r>
          </w:p>
        </w:tc>
        <w:tc>
          <w:tcPr>
            <w:tcW w:w="1200" w:type="dxa"/>
            <w:vAlign w:val="bottom"/>
            <w:shd w:val="clear" w:color="auto" w:fill="BF2115"/>
          </w:tcPr>
          <w:p>
            <w:pPr>
              <w:jc w:val="right"/>
              <w:ind w:right="409"/>
              <w:spacing w:after="0"/>
              <w:rPr>
                <w:sz w:val="20"/>
                <w:szCs w:val="20"/>
                <w:color w:val="auto"/>
              </w:rPr>
            </w:pPr>
            <w:r>
              <w:rPr>
                <w:rFonts w:ascii="Arial" w:cs="Arial" w:eastAsia="Arial" w:hAnsi="Arial"/>
                <w:sz w:val="14"/>
                <w:szCs w:val="14"/>
                <w:b w:val="1"/>
                <w:bCs w:val="1"/>
                <w:color w:val="FFFFFF"/>
              </w:rPr>
              <w:t>12/26/25</w:t>
            </w:r>
          </w:p>
        </w:tc>
        <w:tc>
          <w:tcPr>
            <w:tcW w:w="1200" w:type="dxa"/>
            <w:vAlign w:val="bottom"/>
            <w:shd w:val="clear" w:color="auto" w:fill="BF2115"/>
          </w:tcPr>
          <w:p>
            <w:pPr>
              <w:jc w:val="right"/>
              <w:ind w:right="409"/>
              <w:spacing w:after="0"/>
              <w:rPr>
                <w:sz w:val="20"/>
                <w:szCs w:val="20"/>
                <w:color w:val="auto"/>
              </w:rPr>
            </w:pPr>
            <w:r>
              <w:rPr>
                <w:rFonts w:ascii="Arial" w:cs="Arial" w:eastAsia="Arial" w:hAnsi="Arial"/>
                <w:sz w:val="14"/>
                <w:szCs w:val="14"/>
                <w:b w:val="1"/>
                <w:bCs w:val="1"/>
                <w:color w:val="FFFFFF"/>
              </w:rPr>
              <w:t>12/23/26</w:t>
            </w:r>
          </w:p>
        </w:tc>
        <w:tc>
          <w:tcPr>
            <w:tcW w:w="1200" w:type="dxa"/>
            <w:vAlign w:val="bottom"/>
            <w:shd w:val="clear" w:color="auto" w:fill="BF2115"/>
          </w:tcPr>
          <w:p>
            <w:pPr>
              <w:jc w:val="right"/>
              <w:ind w:right="409"/>
              <w:spacing w:after="0"/>
              <w:rPr>
                <w:sz w:val="20"/>
                <w:szCs w:val="20"/>
                <w:color w:val="auto"/>
              </w:rPr>
            </w:pPr>
            <w:r>
              <w:rPr>
                <w:rFonts w:ascii="Arial" w:cs="Arial" w:eastAsia="Arial" w:hAnsi="Arial"/>
                <w:sz w:val="14"/>
                <w:szCs w:val="14"/>
                <w:b w:val="1"/>
                <w:bCs w:val="1"/>
                <w:color w:val="FFFFFF"/>
              </w:rPr>
              <w:t>12/26/26</w:t>
            </w:r>
          </w:p>
        </w:tc>
        <w:tc>
          <w:tcPr>
            <w:tcW w:w="1180" w:type="dxa"/>
            <w:vAlign w:val="bottom"/>
            <w:shd w:val="clear" w:color="auto" w:fill="BF2115"/>
          </w:tcPr>
          <w:p>
            <w:pPr>
              <w:jc w:val="right"/>
              <w:ind w:right="389"/>
              <w:spacing w:after="0"/>
              <w:rPr>
                <w:sz w:val="20"/>
                <w:szCs w:val="20"/>
                <w:color w:val="auto"/>
              </w:rPr>
            </w:pPr>
            <w:r>
              <w:rPr>
                <w:rFonts w:ascii="Arial" w:cs="Arial" w:eastAsia="Arial" w:hAnsi="Arial"/>
                <w:sz w:val="14"/>
                <w:szCs w:val="14"/>
                <w:b w:val="1"/>
                <w:bCs w:val="1"/>
                <w:color w:val="FFFFFF"/>
              </w:rPr>
              <w:t>12/23/27</w:t>
            </w:r>
          </w:p>
        </w:tc>
        <w:tc>
          <w:tcPr>
            <w:tcW w:w="9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Date</w:t>
            </w:r>
          </w:p>
        </w:tc>
      </w:tr>
      <w:tr>
        <w:trPr>
          <w:trHeight w:val="206"/>
        </w:trPr>
        <w:tc>
          <w:tcPr>
            <w:tcW w:w="1200" w:type="dxa"/>
            <w:vAlign w:val="bottom"/>
          </w:tcPr>
          <w:p>
            <w:pPr>
              <w:ind w:left="20"/>
              <w:spacing w:after="0"/>
              <w:rPr>
                <w:sz w:val="20"/>
                <w:szCs w:val="20"/>
                <w:color w:val="auto"/>
              </w:rPr>
            </w:pPr>
            <w:r>
              <w:rPr>
                <w:rFonts w:ascii="Arial" w:cs="Arial" w:eastAsia="Arial" w:hAnsi="Arial"/>
                <w:sz w:val="14"/>
                <w:szCs w:val="14"/>
                <w:color w:val="auto"/>
              </w:rPr>
              <w:t>Mr. Olson</w:t>
            </w:r>
          </w:p>
        </w:tc>
        <w:tc>
          <w:tcPr>
            <w:tcW w:w="1200" w:type="dxa"/>
            <w:vAlign w:val="bottom"/>
          </w:tcPr>
          <w:p>
            <w:pPr>
              <w:jc w:val="right"/>
              <w:spacing w:after="0"/>
              <w:rPr>
                <w:sz w:val="20"/>
                <w:szCs w:val="20"/>
                <w:color w:val="auto"/>
              </w:rPr>
            </w:pPr>
            <w:r>
              <w:rPr>
                <w:rFonts w:ascii="Arial" w:cs="Arial" w:eastAsia="Arial" w:hAnsi="Arial"/>
                <w:sz w:val="14"/>
                <w:szCs w:val="14"/>
                <w:color w:val="auto"/>
              </w:rPr>
              <w:t>12/22/22</w:t>
            </w:r>
          </w:p>
        </w:tc>
        <w:tc>
          <w:tcPr>
            <w:tcW w:w="1340" w:type="dxa"/>
            <w:vAlign w:val="bottom"/>
          </w:tcPr>
          <w:p>
            <w:pPr>
              <w:jc w:val="right"/>
              <w:ind w:right="89"/>
              <w:spacing w:after="0"/>
              <w:rPr>
                <w:sz w:val="20"/>
                <w:szCs w:val="20"/>
                <w:color w:val="auto"/>
              </w:rPr>
            </w:pPr>
            <w:r>
              <w:rPr>
                <w:rFonts w:ascii="Arial" w:cs="Arial" w:eastAsia="Arial" w:hAnsi="Arial"/>
                <w:sz w:val="14"/>
                <w:szCs w:val="14"/>
                <w:color w:val="auto"/>
              </w:rPr>
              <w:t>36,400</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12/22/3</w:t>
            </w:r>
          </w:p>
        </w:tc>
      </w:tr>
      <w:tr>
        <w:trPr>
          <w:trHeight w:val="213"/>
        </w:trPr>
        <w:tc>
          <w:tcPr>
            <w:tcW w:w="1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12/26/23</w:t>
            </w: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33,767</w:t>
            </w:r>
          </w:p>
        </w:tc>
        <w:tc>
          <w:tcPr>
            <w:tcW w:w="1200" w:type="dxa"/>
            <w:vAlign w:val="bottom"/>
          </w:tcPr>
          <w:p>
            <w:pPr>
              <w:spacing w:after="0"/>
              <w:rPr>
                <w:sz w:val="18"/>
                <w:szCs w:val="18"/>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33,767</w:t>
            </w:r>
          </w:p>
        </w:tc>
        <w:tc>
          <w:tcPr>
            <w:tcW w:w="1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12/26/3</w:t>
            </w:r>
          </w:p>
        </w:tc>
      </w:tr>
      <w:tr>
        <w:trPr>
          <w:trHeight w:val="217"/>
        </w:trPr>
        <w:tc>
          <w:tcPr>
            <w:tcW w:w="1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12/23/24</w:t>
            </w:r>
          </w:p>
        </w:tc>
        <w:tc>
          <w:tcPr>
            <w:tcW w:w="1340" w:type="dxa"/>
            <w:vAlign w:val="bottom"/>
          </w:tcPr>
          <w:p>
            <w:pPr>
              <w:spacing w:after="0"/>
              <w:rPr>
                <w:sz w:val="18"/>
                <w:szCs w:val="18"/>
                <w:color w:val="auto"/>
              </w:rPr>
            </w:pPr>
          </w:p>
        </w:tc>
        <w:tc>
          <w:tcPr>
            <w:tcW w:w="1220" w:type="dxa"/>
            <w:vAlign w:val="bottom"/>
          </w:tcPr>
          <w:p>
            <w:pPr>
              <w:jc w:val="right"/>
              <w:ind w:right="109"/>
              <w:spacing w:after="0"/>
              <w:rPr>
                <w:sz w:val="20"/>
                <w:szCs w:val="20"/>
                <w:color w:val="auto"/>
              </w:rPr>
            </w:pPr>
            <w:r>
              <w:rPr>
                <w:rFonts w:ascii="Arial" w:cs="Arial" w:eastAsia="Arial" w:hAnsi="Arial"/>
                <w:sz w:val="14"/>
                <w:szCs w:val="14"/>
                <w:color w:val="auto"/>
              </w:rPr>
              <w:t>29,618</w:t>
            </w:r>
          </w:p>
        </w:tc>
        <w:tc>
          <w:tcPr>
            <w:tcW w:w="1200" w:type="dxa"/>
            <w:vAlign w:val="bottom"/>
          </w:tcPr>
          <w:p>
            <w:pPr>
              <w:spacing w:after="0"/>
              <w:rPr>
                <w:sz w:val="18"/>
                <w:szCs w:val="18"/>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29,618</w:t>
            </w:r>
          </w:p>
        </w:tc>
        <w:tc>
          <w:tcPr>
            <w:tcW w:w="1200" w:type="dxa"/>
            <w:vAlign w:val="bottom"/>
          </w:tcPr>
          <w:p>
            <w:pPr>
              <w:spacing w:after="0"/>
              <w:rPr>
                <w:sz w:val="18"/>
                <w:szCs w:val="18"/>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29,619</w:t>
            </w:r>
          </w:p>
        </w:tc>
        <w:tc>
          <w:tcPr>
            <w:tcW w:w="960" w:type="dxa"/>
            <w:vAlign w:val="bottom"/>
          </w:tcPr>
          <w:p>
            <w:pPr>
              <w:jc w:val="right"/>
              <w:spacing w:after="0"/>
              <w:rPr>
                <w:sz w:val="20"/>
                <w:szCs w:val="20"/>
                <w:color w:val="auto"/>
              </w:rPr>
            </w:pPr>
            <w:r>
              <w:rPr>
                <w:rFonts w:ascii="Arial" w:cs="Arial" w:eastAsia="Arial" w:hAnsi="Arial"/>
                <w:sz w:val="14"/>
                <w:szCs w:val="14"/>
                <w:color w:val="auto"/>
              </w:rPr>
              <w:t>12/23/3</w:t>
            </w:r>
          </w:p>
        </w:tc>
      </w:tr>
      <w:tr>
        <w:trPr>
          <w:trHeight w:val="210"/>
        </w:trPr>
        <w:tc>
          <w:tcPr>
            <w:tcW w:w="1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Ms. Drake</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12/22/22</w:t>
            </w:r>
          </w:p>
        </w:tc>
        <w:tc>
          <w:tcPr>
            <w:tcW w:w="1340" w:type="dxa"/>
            <w:vAlign w:val="bottom"/>
            <w:shd w:val="clear" w:color="auto" w:fill="DBDBDB"/>
          </w:tcPr>
          <w:p>
            <w:pPr>
              <w:jc w:val="right"/>
              <w:ind w:right="89"/>
              <w:spacing w:after="0"/>
              <w:rPr>
                <w:sz w:val="20"/>
                <w:szCs w:val="20"/>
                <w:color w:val="auto"/>
              </w:rPr>
            </w:pPr>
            <w:r>
              <w:rPr>
                <w:rFonts w:ascii="Arial" w:cs="Arial" w:eastAsia="Arial" w:hAnsi="Arial"/>
                <w:sz w:val="14"/>
                <w:szCs w:val="14"/>
                <w:color w:val="auto"/>
              </w:rPr>
              <w:t>2,200</w:t>
            </w:r>
          </w:p>
        </w:tc>
        <w:tc>
          <w:tcPr>
            <w:tcW w:w="122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12/22/3</w:t>
            </w:r>
          </w:p>
        </w:tc>
      </w:tr>
      <w:tr>
        <w:trPr>
          <w:trHeight w:val="213"/>
        </w:trPr>
        <w:tc>
          <w:tcPr>
            <w:tcW w:w="120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12/26/23</w:t>
            </w:r>
          </w:p>
        </w:tc>
        <w:tc>
          <w:tcPr>
            <w:tcW w:w="134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7,867</w:t>
            </w:r>
          </w:p>
        </w:tc>
        <w:tc>
          <w:tcPr>
            <w:tcW w:w="120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7,867</w:t>
            </w:r>
          </w:p>
        </w:tc>
        <w:tc>
          <w:tcPr>
            <w:tcW w:w="118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12/26/3</w:t>
            </w:r>
          </w:p>
        </w:tc>
      </w:tr>
      <w:tr>
        <w:trPr>
          <w:trHeight w:val="221"/>
        </w:trPr>
        <w:tc>
          <w:tcPr>
            <w:tcW w:w="120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12/23/24</w:t>
            </w:r>
          </w:p>
        </w:tc>
        <w:tc>
          <w:tcPr>
            <w:tcW w:w="1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7,530</w:t>
            </w:r>
          </w:p>
        </w:tc>
        <w:tc>
          <w:tcPr>
            <w:tcW w:w="1200" w:type="dxa"/>
            <w:vAlign w:val="bottom"/>
            <w:shd w:val="clear" w:color="auto" w:fill="DBDBDB"/>
          </w:tcPr>
          <w:p>
            <w:pPr>
              <w:spacing w:after="0"/>
              <w:rPr>
                <w:sz w:val="19"/>
                <w:szCs w:val="19"/>
                <w:color w:val="auto"/>
              </w:rPr>
            </w:pPr>
          </w:p>
        </w:tc>
        <w:tc>
          <w:tcPr>
            <w:tcW w:w="120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7,530</w:t>
            </w:r>
          </w:p>
        </w:tc>
        <w:tc>
          <w:tcPr>
            <w:tcW w:w="120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auto"/>
              </w:rPr>
              <w:t>7,530</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12/26/3</w:t>
            </w:r>
          </w:p>
        </w:tc>
      </w:tr>
      <w:tr>
        <w:trPr>
          <w:trHeight w:val="206"/>
        </w:trPr>
        <w:tc>
          <w:tcPr>
            <w:tcW w:w="1200" w:type="dxa"/>
            <w:vAlign w:val="bottom"/>
          </w:tcPr>
          <w:p>
            <w:pPr>
              <w:ind w:left="20"/>
              <w:spacing w:after="0"/>
              <w:rPr>
                <w:sz w:val="20"/>
                <w:szCs w:val="20"/>
                <w:color w:val="auto"/>
              </w:rPr>
            </w:pPr>
            <w:r>
              <w:rPr>
                <w:rFonts w:ascii="Arial" w:cs="Arial" w:eastAsia="Arial" w:hAnsi="Arial"/>
                <w:sz w:val="14"/>
                <w:szCs w:val="14"/>
                <w:color w:val="auto"/>
              </w:rPr>
              <w:t>Mr. Funk</w:t>
            </w:r>
          </w:p>
        </w:tc>
        <w:tc>
          <w:tcPr>
            <w:tcW w:w="1200" w:type="dxa"/>
            <w:vAlign w:val="bottom"/>
          </w:tcPr>
          <w:p>
            <w:pPr>
              <w:jc w:val="right"/>
              <w:spacing w:after="0"/>
              <w:rPr>
                <w:sz w:val="20"/>
                <w:szCs w:val="20"/>
                <w:color w:val="auto"/>
              </w:rPr>
            </w:pPr>
            <w:r>
              <w:rPr>
                <w:rFonts w:ascii="Arial" w:cs="Arial" w:eastAsia="Arial" w:hAnsi="Arial"/>
                <w:sz w:val="14"/>
                <w:szCs w:val="14"/>
                <w:color w:val="auto"/>
              </w:rPr>
              <w:t>12/22/22</w:t>
            </w:r>
          </w:p>
        </w:tc>
        <w:tc>
          <w:tcPr>
            <w:tcW w:w="1340" w:type="dxa"/>
            <w:vAlign w:val="bottom"/>
          </w:tcPr>
          <w:p>
            <w:pPr>
              <w:jc w:val="right"/>
              <w:ind w:right="89"/>
              <w:spacing w:after="0"/>
              <w:rPr>
                <w:sz w:val="20"/>
                <w:szCs w:val="20"/>
                <w:color w:val="auto"/>
              </w:rPr>
            </w:pPr>
            <w:r>
              <w:rPr>
                <w:rFonts w:ascii="Arial" w:cs="Arial" w:eastAsia="Arial" w:hAnsi="Arial"/>
                <w:sz w:val="14"/>
                <w:szCs w:val="14"/>
                <w:color w:val="auto"/>
              </w:rPr>
              <w:t>3,134</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12/22/3</w:t>
            </w:r>
          </w:p>
        </w:tc>
      </w:tr>
      <w:tr>
        <w:trPr>
          <w:trHeight w:val="213"/>
        </w:trPr>
        <w:tc>
          <w:tcPr>
            <w:tcW w:w="1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12/26/23</w:t>
            </w: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4,667</w:t>
            </w:r>
          </w:p>
        </w:tc>
        <w:tc>
          <w:tcPr>
            <w:tcW w:w="1200" w:type="dxa"/>
            <w:vAlign w:val="bottom"/>
          </w:tcPr>
          <w:p>
            <w:pPr>
              <w:spacing w:after="0"/>
              <w:rPr>
                <w:sz w:val="18"/>
                <w:szCs w:val="18"/>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4,667</w:t>
            </w:r>
          </w:p>
        </w:tc>
        <w:tc>
          <w:tcPr>
            <w:tcW w:w="1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12/26/3</w:t>
            </w:r>
          </w:p>
        </w:tc>
      </w:tr>
      <w:tr>
        <w:trPr>
          <w:trHeight w:val="217"/>
        </w:trPr>
        <w:tc>
          <w:tcPr>
            <w:tcW w:w="1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12/23/24</w:t>
            </w:r>
          </w:p>
        </w:tc>
        <w:tc>
          <w:tcPr>
            <w:tcW w:w="1340" w:type="dxa"/>
            <w:vAlign w:val="bottom"/>
          </w:tcPr>
          <w:p>
            <w:pPr>
              <w:spacing w:after="0"/>
              <w:rPr>
                <w:sz w:val="18"/>
                <w:szCs w:val="18"/>
                <w:color w:val="auto"/>
              </w:rPr>
            </w:pPr>
          </w:p>
        </w:tc>
        <w:tc>
          <w:tcPr>
            <w:tcW w:w="1220" w:type="dxa"/>
            <w:vAlign w:val="bottom"/>
          </w:tcPr>
          <w:p>
            <w:pPr>
              <w:jc w:val="right"/>
              <w:ind w:right="109"/>
              <w:spacing w:after="0"/>
              <w:rPr>
                <w:sz w:val="20"/>
                <w:szCs w:val="20"/>
                <w:color w:val="auto"/>
              </w:rPr>
            </w:pPr>
            <w:r>
              <w:rPr>
                <w:rFonts w:ascii="Arial" w:cs="Arial" w:eastAsia="Arial" w:hAnsi="Arial"/>
                <w:sz w:val="14"/>
                <w:szCs w:val="14"/>
                <w:color w:val="auto"/>
              </w:rPr>
              <w:t>5,020</w:t>
            </w:r>
          </w:p>
        </w:tc>
        <w:tc>
          <w:tcPr>
            <w:tcW w:w="1200" w:type="dxa"/>
            <w:vAlign w:val="bottom"/>
          </w:tcPr>
          <w:p>
            <w:pPr>
              <w:spacing w:after="0"/>
              <w:rPr>
                <w:sz w:val="18"/>
                <w:szCs w:val="18"/>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5,020</w:t>
            </w:r>
          </w:p>
        </w:tc>
        <w:tc>
          <w:tcPr>
            <w:tcW w:w="1200" w:type="dxa"/>
            <w:vAlign w:val="bottom"/>
          </w:tcPr>
          <w:p>
            <w:pPr>
              <w:spacing w:after="0"/>
              <w:rPr>
                <w:sz w:val="18"/>
                <w:szCs w:val="18"/>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5,020</w:t>
            </w:r>
          </w:p>
        </w:tc>
        <w:tc>
          <w:tcPr>
            <w:tcW w:w="960" w:type="dxa"/>
            <w:vAlign w:val="bottom"/>
          </w:tcPr>
          <w:p>
            <w:pPr>
              <w:jc w:val="right"/>
              <w:spacing w:after="0"/>
              <w:rPr>
                <w:sz w:val="20"/>
                <w:szCs w:val="20"/>
                <w:color w:val="auto"/>
              </w:rPr>
            </w:pPr>
            <w:r>
              <w:rPr>
                <w:rFonts w:ascii="Arial" w:cs="Arial" w:eastAsia="Arial" w:hAnsi="Arial"/>
                <w:sz w:val="14"/>
                <w:szCs w:val="14"/>
                <w:color w:val="auto"/>
              </w:rPr>
              <w:t>12/23/3</w:t>
            </w:r>
          </w:p>
        </w:tc>
      </w:tr>
      <w:tr>
        <w:trPr>
          <w:trHeight w:val="210"/>
        </w:trPr>
        <w:tc>
          <w:tcPr>
            <w:tcW w:w="1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Mr. Moeller</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12/22/22</w:t>
            </w:r>
          </w:p>
        </w:tc>
        <w:tc>
          <w:tcPr>
            <w:tcW w:w="1340" w:type="dxa"/>
            <w:vAlign w:val="bottom"/>
            <w:shd w:val="clear" w:color="auto" w:fill="DBDBDB"/>
          </w:tcPr>
          <w:p>
            <w:pPr>
              <w:jc w:val="right"/>
              <w:ind w:right="89"/>
              <w:spacing w:after="0"/>
              <w:rPr>
                <w:sz w:val="20"/>
                <w:szCs w:val="20"/>
                <w:color w:val="auto"/>
              </w:rPr>
            </w:pPr>
            <w:r>
              <w:rPr>
                <w:rFonts w:ascii="Arial" w:cs="Arial" w:eastAsia="Arial" w:hAnsi="Arial"/>
                <w:sz w:val="14"/>
                <w:szCs w:val="14"/>
                <w:color w:val="auto"/>
              </w:rPr>
              <w:t>2,200</w:t>
            </w:r>
          </w:p>
        </w:tc>
        <w:tc>
          <w:tcPr>
            <w:tcW w:w="122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12/22/3</w:t>
            </w:r>
          </w:p>
        </w:tc>
      </w:tr>
      <w:tr>
        <w:trPr>
          <w:trHeight w:val="213"/>
        </w:trPr>
        <w:tc>
          <w:tcPr>
            <w:tcW w:w="120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12/26/23</w:t>
            </w:r>
          </w:p>
        </w:tc>
        <w:tc>
          <w:tcPr>
            <w:tcW w:w="134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4,667</w:t>
            </w:r>
          </w:p>
        </w:tc>
        <w:tc>
          <w:tcPr>
            <w:tcW w:w="120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4,667</w:t>
            </w:r>
          </w:p>
        </w:tc>
        <w:tc>
          <w:tcPr>
            <w:tcW w:w="118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12/26/3</w:t>
            </w:r>
          </w:p>
        </w:tc>
      </w:tr>
      <w:tr>
        <w:trPr>
          <w:trHeight w:val="221"/>
        </w:trPr>
        <w:tc>
          <w:tcPr>
            <w:tcW w:w="120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12/23/24</w:t>
            </w:r>
          </w:p>
        </w:tc>
        <w:tc>
          <w:tcPr>
            <w:tcW w:w="1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4,518</w:t>
            </w:r>
          </w:p>
        </w:tc>
        <w:tc>
          <w:tcPr>
            <w:tcW w:w="1200" w:type="dxa"/>
            <w:vAlign w:val="bottom"/>
            <w:shd w:val="clear" w:color="auto" w:fill="DBDBDB"/>
          </w:tcPr>
          <w:p>
            <w:pPr>
              <w:spacing w:after="0"/>
              <w:rPr>
                <w:sz w:val="19"/>
                <w:szCs w:val="19"/>
                <w:color w:val="auto"/>
              </w:rPr>
            </w:pPr>
          </w:p>
        </w:tc>
        <w:tc>
          <w:tcPr>
            <w:tcW w:w="120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4,518</w:t>
            </w:r>
          </w:p>
        </w:tc>
        <w:tc>
          <w:tcPr>
            <w:tcW w:w="120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auto"/>
              </w:rPr>
              <w:t>4,518</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12/23/3</w:t>
            </w:r>
          </w:p>
        </w:tc>
      </w:tr>
      <w:tr>
        <w:trPr>
          <w:trHeight w:val="206"/>
        </w:trPr>
        <w:tc>
          <w:tcPr>
            <w:tcW w:w="1200" w:type="dxa"/>
            <w:vAlign w:val="bottom"/>
          </w:tcPr>
          <w:p>
            <w:pPr>
              <w:ind w:left="20"/>
              <w:spacing w:after="0"/>
              <w:rPr>
                <w:sz w:val="20"/>
                <w:szCs w:val="20"/>
                <w:color w:val="auto"/>
              </w:rPr>
            </w:pPr>
            <w:r>
              <w:rPr>
                <w:rFonts w:ascii="Arial" w:cs="Arial" w:eastAsia="Arial" w:hAnsi="Arial"/>
                <w:sz w:val="14"/>
                <w:szCs w:val="14"/>
                <w:color w:val="auto"/>
              </w:rPr>
              <w:t>Mr. Janey</w:t>
            </w:r>
          </w:p>
        </w:tc>
        <w:tc>
          <w:tcPr>
            <w:tcW w:w="1200" w:type="dxa"/>
            <w:vAlign w:val="bottom"/>
          </w:tcPr>
          <w:p>
            <w:pPr>
              <w:jc w:val="right"/>
              <w:spacing w:after="0"/>
              <w:rPr>
                <w:sz w:val="20"/>
                <w:szCs w:val="20"/>
                <w:color w:val="auto"/>
              </w:rPr>
            </w:pPr>
            <w:r>
              <w:rPr>
                <w:rFonts w:ascii="Arial" w:cs="Arial" w:eastAsia="Arial" w:hAnsi="Arial"/>
                <w:sz w:val="14"/>
                <w:szCs w:val="14"/>
                <w:color w:val="auto"/>
              </w:rPr>
              <w:t>12/22/22</w:t>
            </w:r>
          </w:p>
        </w:tc>
        <w:tc>
          <w:tcPr>
            <w:tcW w:w="1340" w:type="dxa"/>
            <w:vAlign w:val="bottom"/>
          </w:tcPr>
          <w:p>
            <w:pPr>
              <w:jc w:val="right"/>
              <w:ind w:right="89"/>
              <w:spacing w:after="0"/>
              <w:rPr>
                <w:sz w:val="20"/>
                <w:szCs w:val="20"/>
                <w:color w:val="auto"/>
              </w:rPr>
            </w:pPr>
            <w:r>
              <w:rPr>
                <w:rFonts w:ascii="Arial" w:cs="Arial" w:eastAsia="Arial" w:hAnsi="Arial"/>
                <w:sz w:val="14"/>
                <w:szCs w:val="14"/>
                <w:color w:val="auto"/>
              </w:rPr>
              <w:t>3,767</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12/22/3</w:t>
            </w:r>
          </w:p>
        </w:tc>
      </w:tr>
      <w:tr>
        <w:trPr>
          <w:trHeight w:val="213"/>
        </w:trPr>
        <w:tc>
          <w:tcPr>
            <w:tcW w:w="1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12/26/23</w:t>
            </w: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4,667</w:t>
            </w:r>
          </w:p>
        </w:tc>
        <w:tc>
          <w:tcPr>
            <w:tcW w:w="1200" w:type="dxa"/>
            <w:vAlign w:val="bottom"/>
          </w:tcPr>
          <w:p>
            <w:pPr>
              <w:spacing w:after="0"/>
              <w:rPr>
                <w:sz w:val="18"/>
                <w:szCs w:val="18"/>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4,667</w:t>
            </w:r>
          </w:p>
        </w:tc>
        <w:tc>
          <w:tcPr>
            <w:tcW w:w="1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12/26/3</w:t>
            </w:r>
          </w:p>
        </w:tc>
      </w:tr>
      <w:tr>
        <w:trPr>
          <w:trHeight w:val="213"/>
        </w:trPr>
        <w:tc>
          <w:tcPr>
            <w:tcW w:w="1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12/23/24</w:t>
            </w:r>
          </w:p>
        </w:tc>
        <w:tc>
          <w:tcPr>
            <w:tcW w:w="1340" w:type="dxa"/>
            <w:vAlign w:val="bottom"/>
          </w:tcPr>
          <w:p>
            <w:pPr>
              <w:spacing w:after="0"/>
              <w:rPr>
                <w:sz w:val="18"/>
                <w:szCs w:val="18"/>
                <w:color w:val="auto"/>
              </w:rPr>
            </w:pPr>
          </w:p>
        </w:tc>
        <w:tc>
          <w:tcPr>
            <w:tcW w:w="1220" w:type="dxa"/>
            <w:vAlign w:val="bottom"/>
          </w:tcPr>
          <w:p>
            <w:pPr>
              <w:jc w:val="right"/>
              <w:ind w:right="109"/>
              <w:spacing w:after="0"/>
              <w:rPr>
                <w:sz w:val="20"/>
                <w:szCs w:val="20"/>
                <w:color w:val="auto"/>
              </w:rPr>
            </w:pPr>
            <w:r>
              <w:rPr>
                <w:rFonts w:ascii="Arial" w:cs="Arial" w:eastAsia="Arial" w:hAnsi="Arial"/>
                <w:sz w:val="14"/>
                <w:szCs w:val="14"/>
                <w:color w:val="auto"/>
              </w:rPr>
              <w:t>4,518</w:t>
            </w:r>
          </w:p>
        </w:tc>
        <w:tc>
          <w:tcPr>
            <w:tcW w:w="1200" w:type="dxa"/>
            <w:vAlign w:val="bottom"/>
          </w:tcPr>
          <w:p>
            <w:pPr>
              <w:spacing w:after="0"/>
              <w:rPr>
                <w:sz w:val="18"/>
                <w:szCs w:val="18"/>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4,518</w:t>
            </w:r>
          </w:p>
        </w:tc>
        <w:tc>
          <w:tcPr>
            <w:tcW w:w="1200" w:type="dxa"/>
            <w:vAlign w:val="bottom"/>
          </w:tcPr>
          <w:p>
            <w:pPr>
              <w:spacing w:after="0"/>
              <w:rPr>
                <w:sz w:val="18"/>
                <w:szCs w:val="18"/>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4,518</w:t>
            </w:r>
          </w:p>
        </w:tc>
        <w:tc>
          <w:tcPr>
            <w:tcW w:w="960" w:type="dxa"/>
            <w:vAlign w:val="bottom"/>
          </w:tcPr>
          <w:p>
            <w:pPr>
              <w:jc w:val="right"/>
              <w:spacing w:after="0"/>
              <w:rPr>
                <w:sz w:val="20"/>
                <w:szCs w:val="20"/>
                <w:color w:val="auto"/>
              </w:rPr>
            </w:pPr>
            <w:r>
              <w:rPr>
                <w:rFonts w:ascii="Arial" w:cs="Arial" w:eastAsia="Arial" w:hAnsi="Arial"/>
                <w:sz w:val="14"/>
                <w:szCs w:val="14"/>
                <w:color w:val="auto"/>
              </w:rPr>
              <w:t>12/23/3</w:t>
            </w:r>
          </w:p>
        </w:tc>
      </w:tr>
    </w:tbl>
    <w:p>
      <w:pPr>
        <w:spacing w:after="0" w:line="71" w:lineRule="exact"/>
        <w:rPr>
          <w:sz w:val="20"/>
          <w:szCs w:val="20"/>
          <w:color w:val="auto"/>
        </w:rPr>
      </w:pPr>
    </w:p>
    <w:p>
      <w:pPr>
        <w:jc w:val="both"/>
        <w:ind w:left="320" w:right="100" w:hanging="313"/>
        <w:spacing w:after="0" w:line="233" w:lineRule="auto"/>
        <w:tabs>
          <w:tab w:leader="none" w:pos="308"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Amounts reported represent the number of unvested restricted stock units held by Ms. Drake and Messrs. Funk, Moeller, and Janey, including the following dividend equivalents earned on those restricted stock units (Ms. Drake — 126 shares, Mr. Funk — 130 shares, Mr. Moeller — 44 shares and Mr. Janey 38 shares). Ms. Drake's unvested restricted stock units vest on March 10, 2026. Mr. Funk's unvested restricted stock units vest on November 1, 2025 (772), September 2, 2026 (6,170), September 2, 2027 (6,170) and September 2, 2028 (6,171). Mr. Moeller's unvested restricted stock units vest on March 1, 2026 (947) and October 10, 2028 (20,632). Mr. Janey's unvested restricted stock units vest on November 1, 2025 (772) and October 10, 2028 (20,632).</w:t>
      </w:r>
    </w:p>
    <w:p>
      <w:pPr>
        <w:spacing w:after="0" w:line="21" w:lineRule="exact"/>
        <w:rPr>
          <w:rFonts w:ascii="Arial" w:cs="Arial" w:eastAsia="Arial" w:hAnsi="Arial"/>
          <w:sz w:val="18"/>
          <w:szCs w:val="18"/>
          <w:color w:val="auto"/>
        </w:rPr>
      </w:pPr>
    </w:p>
    <w:p>
      <w:pPr>
        <w:ind w:left="320" w:right="100" w:hanging="313"/>
        <w:spacing w:after="0" w:line="246" w:lineRule="auto"/>
        <w:tabs>
          <w:tab w:leader="none" w:pos="308"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Amounts reported represent the value of unvested restricted stock units based on the closing price of our common stock on October 31, 2025 of $74.73 per share.</w:t>
      </w:r>
    </w:p>
    <w:p>
      <w:pPr>
        <w:spacing w:after="0" w:line="15" w:lineRule="exact"/>
        <w:rPr>
          <w:rFonts w:ascii="Arial" w:cs="Arial" w:eastAsia="Arial" w:hAnsi="Arial"/>
          <w:sz w:val="18"/>
          <w:szCs w:val="18"/>
          <w:color w:val="auto"/>
        </w:rPr>
      </w:pPr>
    </w:p>
    <w:p>
      <w:pPr>
        <w:ind w:left="320" w:right="100" w:hanging="313"/>
        <w:spacing w:after="0" w:line="255" w:lineRule="auto"/>
        <w:tabs>
          <w:tab w:leader="none" w:pos="308"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Amounts reported represent the number of performance share awards that were in progress based on threshold levels of performance for F24 - F26 and target levels of performance for F25 - F27.</w:t>
      </w:r>
    </w:p>
    <w:p>
      <w:pPr>
        <w:ind w:left="320" w:right="120" w:hanging="313"/>
        <w:spacing w:after="0" w:line="262" w:lineRule="auto"/>
        <w:tabs>
          <w:tab w:leader="none" w:pos="308"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Amounts reported represent the value of performance share awards that were in progress based on the closing price of our common stock on October 31, 2025 of $74.73 per share.</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Option Exercises and Stock Vested for Fiscal 2025</w:t>
      </w:r>
    </w:p>
    <w:p>
      <w:pPr>
        <w:spacing w:after="0" w:line="4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summarizes all stock options exercised and stock vested during fiscal 2025, which consisted of restricted stock units for four NEOs and performance share awards for the fiscal 2023 to fiscal 2025 performance period for all our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154" w:right="239" w:bottom="1440" w:gutter="0" w:footer="0" w:header="0"/>
        </w:sectPr>
      </w:pPr>
    </w:p>
    <w:bookmarkStart w:id="65" w:name="page66"/>
    <w:bookmarkEnd w:id="65"/>
    <w:tbl>
      <w:tblPr>
        <w:tblLayout w:type="fixed"/>
        <w:tblInd w:w="320" w:type="dxa"/>
        <w:tblCellMar>
          <w:top w:w="0" w:type="dxa"/>
          <w:left w:w="0" w:type="dxa"/>
          <w:bottom w:w="0" w:type="dxa"/>
          <w:right w:w="0" w:type="dxa"/>
        </w:tblCellMar>
      </w:tblPr>
      <w:tr>
        <w:trPr>
          <w:trHeight w:val="227"/>
        </w:trPr>
        <w:tc>
          <w:tcPr>
            <w:tcW w:w="3980" w:type="dxa"/>
            <w:vAlign w:val="bottom"/>
            <w:shd w:val="clear" w:color="auto" w:fill="BF2115"/>
          </w:tcPr>
          <w:p>
            <w:pPr>
              <w:spacing w:after="0"/>
              <w:rPr>
                <w:sz w:val="19"/>
                <w:szCs w:val="19"/>
                <w:color w:val="auto"/>
              </w:rPr>
            </w:pPr>
          </w:p>
        </w:tc>
        <w:tc>
          <w:tcPr>
            <w:tcW w:w="3320" w:type="dxa"/>
            <w:vAlign w:val="bottom"/>
            <w:gridSpan w:val="2"/>
            <w:shd w:val="clear" w:color="auto" w:fill="BF2115"/>
          </w:tcPr>
          <w:p>
            <w:pPr>
              <w:jc w:val="right"/>
              <w:ind w:right="1069"/>
              <w:spacing w:after="0"/>
              <w:rPr>
                <w:sz w:val="20"/>
                <w:szCs w:val="20"/>
                <w:color w:val="auto"/>
              </w:rPr>
            </w:pPr>
            <w:r>
              <w:rPr>
                <w:rFonts w:ascii="Arial" w:cs="Arial" w:eastAsia="Arial" w:hAnsi="Arial"/>
                <w:sz w:val="14"/>
                <w:szCs w:val="14"/>
                <w:b w:val="1"/>
                <w:bCs w:val="1"/>
                <w:color w:val="FFFFFF"/>
              </w:rPr>
              <w:t>Option Awards</w:t>
            </w:r>
            <w:r>
              <w:rPr>
                <w:rFonts w:ascii="Arial" w:cs="Arial" w:eastAsia="Arial" w:hAnsi="Arial"/>
                <w:sz w:val="18"/>
                <w:szCs w:val="18"/>
                <w:b w:val="1"/>
                <w:bCs w:val="1"/>
                <w:color w:val="FFFFFF"/>
                <w:vertAlign w:val="superscript"/>
              </w:rPr>
              <w:t>1</w:t>
            </w:r>
          </w:p>
        </w:tc>
        <w:tc>
          <w:tcPr>
            <w:tcW w:w="3300" w:type="dxa"/>
            <w:vAlign w:val="bottom"/>
            <w:gridSpan w:val="2"/>
            <w:shd w:val="clear" w:color="auto" w:fill="BF2115"/>
          </w:tcPr>
          <w:p>
            <w:pPr>
              <w:jc w:val="right"/>
              <w:ind w:right="1089"/>
              <w:spacing w:after="0"/>
              <w:rPr>
                <w:sz w:val="20"/>
                <w:szCs w:val="20"/>
                <w:color w:val="auto"/>
              </w:rPr>
            </w:pPr>
            <w:r>
              <w:rPr>
                <w:rFonts w:ascii="Arial" w:cs="Arial" w:eastAsia="Arial" w:hAnsi="Arial"/>
                <w:sz w:val="14"/>
                <w:szCs w:val="14"/>
                <w:b w:val="1"/>
                <w:bCs w:val="1"/>
                <w:color w:val="FFFFFF"/>
              </w:rPr>
              <w:t>Stock Awards</w:t>
            </w:r>
            <w:r>
              <w:rPr>
                <w:rFonts w:ascii="Arial" w:cs="Arial" w:eastAsia="Arial" w:hAnsi="Arial"/>
                <w:sz w:val="18"/>
                <w:szCs w:val="18"/>
                <w:b w:val="1"/>
                <w:bCs w:val="1"/>
                <w:color w:val="FFFFFF"/>
                <w:vertAlign w:val="superscript"/>
              </w:rPr>
              <w:t>2</w:t>
            </w:r>
          </w:p>
        </w:tc>
      </w:tr>
      <w:tr>
        <w:trPr>
          <w:trHeight w:val="218"/>
        </w:trPr>
        <w:tc>
          <w:tcPr>
            <w:tcW w:w="3980" w:type="dxa"/>
            <w:vAlign w:val="bottom"/>
            <w:shd w:val="clear" w:color="auto" w:fill="BF2115"/>
          </w:tcPr>
          <w:p>
            <w:pPr>
              <w:spacing w:after="0"/>
              <w:rPr>
                <w:sz w:val="18"/>
                <w:szCs w:val="18"/>
                <w:color w:val="auto"/>
              </w:rPr>
            </w:pP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1660" w:type="dxa"/>
            <w:vAlign w:val="bottom"/>
            <w:shd w:val="clear" w:color="auto" w:fill="BF2115"/>
          </w:tcPr>
          <w:p>
            <w:pPr>
              <w:spacing w:after="0"/>
              <w:rPr>
                <w:sz w:val="18"/>
                <w:szCs w:val="18"/>
                <w:color w:val="auto"/>
              </w:rPr>
            </w:pPr>
          </w:p>
        </w:tc>
        <w:tc>
          <w:tcPr>
            <w:tcW w:w="186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rPr>
              <w:t>Number of</w:t>
            </w:r>
          </w:p>
        </w:tc>
        <w:tc>
          <w:tcPr>
            <w:tcW w:w="1440" w:type="dxa"/>
            <w:vAlign w:val="bottom"/>
            <w:shd w:val="clear" w:color="auto" w:fill="BF2115"/>
          </w:tcPr>
          <w:p>
            <w:pPr>
              <w:spacing w:after="0"/>
              <w:rPr>
                <w:sz w:val="18"/>
                <w:szCs w:val="18"/>
                <w:color w:val="auto"/>
              </w:rPr>
            </w:pPr>
          </w:p>
        </w:tc>
      </w:tr>
      <w:tr>
        <w:trPr>
          <w:trHeight w:val="173"/>
        </w:trPr>
        <w:tc>
          <w:tcPr>
            <w:tcW w:w="3980" w:type="dxa"/>
            <w:vAlign w:val="bottom"/>
            <w:shd w:val="clear" w:color="auto" w:fill="BF2115"/>
          </w:tcPr>
          <w:p>
            <w:pPr>
              <w:spacing w:after="0"/>
              <w:rPr>
                <w:sz w:val="15"/>
                <w:szCs w:val="15"/>
                <w:color w:val="auto"/>
              </w:rPr>
            </w:pP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8"/>
              </w:rPr>
              <w:t>Shares</w:t>
            </w: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Value</w:t>
            </w:r>
          </w:p>
        </w:tc>
        <w:tc>
          <w:tcPr>
            <w:tcW w:w="186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rPr>
              <w:t>Shares</w:t>
            </w:r>
          </w:p>
        </w:tc>
        <w:tc>
          <w:tcPr>
            <w:tcW w:w="144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rPr>
              <w:t>Value</w:t>
            </w:r>
          </w:p>
        </w:tc>
      </w:tr>
      <w:tr>
        <w:trPr>
          <w:trHeight w:val="187"/>
        </w:trPr>
        <w:tc>
          <w:tcPr>
            <w:tcW w:w="3980" w:type="dxa"/>
            <w:vAlign w:val="bottom"/>
            <w:shd w:val="clear" w:color="auto" w:fill="BF2115"/>
          </w:tcPr>
          <w:p>
            <w:pPr>
              <w:spacing w:after="0"/>
              <w:rPr>
                <w:sz w:val="16"/>
                <w:szCs w:val="16"/>
                <w:color w:val="auto"/>
              </w:rPr>
            </w:pP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Acquired</w:t>
            </w: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Realized</w:t>
            </w:r>
          </w:p>
        </w:tc>
        <w:tc>
          <w:tcPr>
            <w:tcW w:w="186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w w:val="98"/>
              </w:rPr>
              <w:t>Acquired</w:t>
            </w:r>
          </w:p>
        </w:tc>
        <w:tc>
          <w:tcPr>
            <w:tcW w:w="144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rPr>
              <w:t>Realized on</w:t>
            </w:r>
          </w:p>
        </w:tc>
      </w:tr>
      <w:tr>
        <w:trPr>
          <w:trHeight w:val="173"/>
        </w:trPr>
        <w:tc>
          <w:tcPr>
            <w:tcW w:w="3980" w:type="dxa"/>
            <w:vAlign w:val="bottom"/>
            <w:shd w:val="clear" w:color="auto" w:fill="BF2115"/>
          </w:tcPr>
          <w:p>
            <w:pPr>
              <w:spacing w:after="0"/>
              <w:rPr>
                <w:sz w:val="15"/>
                <w:szCs w:val="15"/>
                <w:color w:val="auto"/>
              </w:rPr>
            </w:pP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On Exercise</w:t>
            </w: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On Exercise</w:t>
            </w:r>
          </w:p>
        </w:tc>
        <w:tc>
          <w:tcPr>
            <w:tcW w:w="186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rPr>
              <w:t>on Vesting</w:t>
            </w:r>
          </w:p>
        </w:tc>
        <w:tc>
          <w:tcPr>
            <w:tcW w:w="144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w w:val="98"/>
              </w:rPr>
              <w:t>Vesting</w:t>
            </w:r>
          </w:p>
        </w:tc>
      </w:tr>
      <w:tr>
        <w:trPr>
          <w:trHeight w:val="196"/>
        </w:trPr>
        <w:tc>
          <w:tcPr>
            <w:tcW w:w="398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t>
            </w: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t>
            </w:r>
          </w:p>
        </w:tc>
        <w:tc>
          <w:tcPr>
            <w:tcW w:w="186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w w:val="93"/>
              </w:rPr>
              <w:t>(#)</w:t>
            </w:r>
          </w:p>
        </w:tc>
        <w:tc>
          <w:tcPr>
            <w:tcW w:w="144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rPr>
              <w:t>($)</w:t>
            </w:r>
          </w:p>
        </w:tc>
      </w:tr>
      <w:tr>
        <w:trPr>
          <w:trHeight w:val="206"/>
        </w:trPr>
        <w:tc>
          <w:tcPr>
            <w:tcW w:w="3980" w:type="dxa"/>
            <w:vAlign w:val="bottom"/>
          </w:tcPr>
          <w:p>
            <w:pPr>
              <w:ind w:left="20"/>
              <w:spacing w:after="0"/>
              <w:rPr>
                <w:sz w:val="20"/>
                <w:szCs w:val="20"/>
                <w:color w:val="auto"/>
              </w:rPr>
            </w:pPr>
            <w:r>
              <w:rPr>
                <w:rFonts w:ascii="Arial" w:cs="Arial" w:eastAsia="Arial" w:hAnsi="Arial"/>
                <w:sz w:val="14"/>
                <w:szCs w:val="14"/>
                <w:color w:val="auto"/>
              </w:rPr>
              <w:t>Richard M. Olson</w:t>
            </w:r>
          </w:p>
        </w:tc>
        <w:tc>
          <w:tcPr>
            <w:tcW w:w="16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3"/>
        </w:trPr>
        <w:tc>
          <w:tcPr>
            <w:tcW w:w="3980" w:type="dxa"/>
            <w:vAlign w:val="bottom"/>
          </w:tcPr>
          <w:p>
            <w:pPr>
              <w:ind w:left="220"/>
              <w:spacing w:after="0"/>
              <w:rPr>
                <w:sz w:val="20"/>
                <w:szCs w:val="20"/>
                <w:color w:val="auto"/>
              </w:rPr>
            </w:pPr>
            <w:r>
              <w:rPr>
                <w:rFonts w:ascii="Arial" w:cs="Arial" w:eastAsia="Arial" w:hAnsi="Arial"/>
                <w:sz w:val="14"/>
                <w:szCs w:val="14"/>
                <w:color w:val="auto"/>
              </w:rPr>
              <w:t>Stock Option Exercises</w:t>
            </w:r>
          </w:p>
        </w:tc>
        <w:tc>
          <w:tcPr>
            <w:tcW w:w="1660" w:type="dxa"/>
            <w:vAlign w:val="bottom"/>
          </w:tcPr>
          <w:p>
            <w:pPr>
              <w:jc w:val="right"/>
              <w:spacing w:after="0"/>
              <w:rPr>
                <w:sz w:val="20"/>
                <w:szCs w:val="20"/>
                <w:color w:val="auto"/>
              </w:rPr>
            </w:pPr>
            <w:r>
              <w:rPr>
                <w:rFonts w:ascii="Arial" w:cs="Arial" w:eastAsia="Arial" w:hAnsi="Arial"/>
                <w:sz w:val="14"/>
                <w:szCs w:val="14"/>
                <w:color w:val="auto"/>
              </w:rPr>
              <w:t>44,400</w:t>
            </w:r>
          </w:p>
        </w:tc>
        <w:tc>
          <w:tcPr>
            <w:tcW w:w="1660" w:type="dxa"/>
            <w:vAlign w:val="bottom"/>
          </w:tcPr>
          <w:p>
            <w:pPr>
              <w:jc w:val="right"/>
              <w:spacing w:after="0"/>
              <w:rPr>
                <w:sz w:val="20"/>
                <w:szCs w:val="20"/>
                <w:color w:val="auto"/>
              </w:rPr>
            </w:pPr>
            <w:r>
              <w:rPr>
                <w:rFonts w:ascii="Arial" w:cs="Arial" w:eastAsia="Arial" w:hAnsi="Arial"/>
                <w:sz w:val="14"/>
                <w:szCs w:val="14"/>
                <w:color w:val="auto"/>
              </w:rPr>
              <w:t>1,353,756</w:t>
            </w:r>
          </w:p>
        </w:tc>
        <w:tc>
          <w:tcPr>
            <w:tcW w:w="18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3980" w:type="dxa"/>
            <w:vAlign w:val="bottom"/>
          </w:tcPr>
          <w:p>
            <w:pPr>
              <w:ind w:left="220"/>
              <w:spacing w:after="0"/>
              <w:rPr>
                <w:sz w:val="20"/>
                <w:szCs w:val="20"/>
                <w:color w:val="auto"/>
              </w:rPr>
            </w:pPr>
            <w:r>
              <w:rPr>
                <w:rFonts w:ascii="Arial" w:cs="Arial" w:eastAsia="Arial" w:hAnsi="Arial"/>
                <w:sz w:val="14"/>
                <w:szCs w:val="14"/>
                <w:color w:val="auto"/>
              </w:rPr>
              <w:t>F23-F25 Performance Share Award Payout</w:t>
            </w:r>
          </w:p>
        </w:tc>
        <w:tc>
          <w:tcPr>
            <w:tcW w:w="1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60" w:type="dxa"/>
            <w:vAlign w:val="bottom"/>
          </w:tcPr>
          <w:p>
            <w:pPr>
              <w:jc w:val="right"/>
              <w:ind w:right="169"/>
              <w:spacing w:after="0"/>
              <w:rPr>
                <w:sz w:val="20"/>
                <w:szCs w:val="20"/>
                <w:color w:val="auto"/>
              </w:rPr>
            </w:pPr>
            <w:r>
              <w:rPr>
                <w:rFonts w:ascii="Arial" w:cs="Arial" w:eastAsia="Arial" w:hAnsi="Arial"/>
                <w:sz w:val="14"/>
                <w:szCs w:val="14"/>
                <w:color w:val="auto"/>
              </w:rPr>
              <w:t>7,122</w:t>
            </w:r>
          </w:p>
        </w:tc>
        <w:tc>
          <w:tcPr>
            <w:tcW w:w="1440" w:type="dxa"/>
            <w:vAlign w:val="bottom"/>
          </w:tcPr>
          <w:p>
            <w:pPr>
              <w:jc w:val="right"/>
              <w:spacing w:after="0"/>
              <w:rPr>
                <w:sz w:val="20"/>
                <w:szCs w:val="20"/>
                <w:color w:val="auto"/>
              </w:rPr>
            </w:pPr>
            <w:r>
              <w:rPr>
                <w:rFonts w:ascii="Arial" w:cs="Arial" w:eastAsia="Arial" w:hAnsi="Arial"/>
                <w:sz w:val="14"/>
                <w:szCs w:val="14"/>
                <w:color w:val="auto"/>
              </w:rPr>
              <w:t>572,822</w:t>
            </w:r>
          </w:p>
        </w:tc>
      </w:tr>
      <w:tr>
        <w:trPr>
          <w:trHeight w:val="210"/>
        </w:trPr>
        <w:tc>
          <w:tcPr>
            <w:tcW w:w="3980" w:type="dxa"/>
            <w:vAlign w:val="bottom"/>
            <w:shd w:val="clear" w:color="auto" w:fill="DBDBDB"/>
          </w:tcPr>
          <w:p>
            <w:pPr>
              <w:ind w:left="20"/>
              <w:spacing w:after="0"/>
              <w:rPr>
                <w:sz w:val="20"/>
                <w:szCs w:val="20"/>
                <w:color w:val="auto"/>
              </w:rPr>
            </w:pPr>
            <w:r>
              <w:rPr>
                <w:rFonts w:ascii="Arial" w:cs="Arial" w:eastAsia="Arial" w:hAnsi="Arial"/>
                <w:sz w:val="14"/>
                <w:szCs w:val="14"/>
                <w:color w:val="auto"/>
              </w:rPr>
              <w:t>Angela C. Drake</w:t>
            </w:r>
          </w:p>
        </w:tc>
        <w:tc>
          <w:tcPr>
            <w:tcW w:w="1660" w:type="dxa"/>
            <w:vAlign w:val="bottom"/>
            <w:shd w:val="clear" w:color="auto" w:fill="DBDBDB"/>
          </w:tcPr>
          <w:p>
            <w:pPr>
              <w:spacing w:after="0"/>
              <w:rPr>
                <w:sz w:val="18"/>
                <w:szCs w:val="18"/>
                <w:color w:val="auto"/>
              </w:rPr>
            </w:pPr>
          </w:p>
        </w:tc>
        <w:tc>
          <w:tcPr>
            <w:tcW w:w="1660" w:type="dxa"/>
            <w:vAlign w:val="bottom"/>
            <w:shd w:val="clear" w:color="auto" w:fill="DBDBDB"/>
          </w:tcPr>
          <w:p>
            <w:pPr>
              <w:spacing w:after="0"/>
              <w:rPr>
                <w:sz w:val="18"/>
                <w:szCs w:val="18"/>
                <w:color w:val="auto"/>
              </w:rPr>
            </w:pPr>
          </w:p>
        </w:tc>
        <w:tc>
          <w:tcPr>
            <w:tcW w:w="186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r>
      <w:tr>
        <w:trPr>
          <w:trHeight w:val="213"/>
        </w:trPr>
        <w:tc>
          <w:tcPr>
            <w:tcW w:w="3980" w:type="dxa"/>
            <w:vAlign w:val="bottom"/>
            <w:shd w:val="clear" w:color="auto" w:fill="DBDBDB"/>
          </w:tcPr>
          <w:p>
            <w:pPr>
              <w:ind w:left="220"/>
              <w:spacing w:after="0"/>
              <w:rPr>
                <w:sz w:val="20"/>
                <w:szCs w:val="20"/>
                <w:color w:val="auto"/>
              </w:rPr>
            </w:pPr>
            <w:r>
              <w:rPr>
                <w:rFonts w:ascii="Arial" w:cs="Arial" w:eastAsia="Arial" w:hAnsi="Arial"/>
                <w:sz w:val="14"/>
                <w:szCs w:val="14"/>
                <w:color w:val="auto"/>
              </w:rPr>
              <w:t>Stock Option Exercises</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N/A</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N/A</w:t>
            </w:r>
          </w:p>
        </w:tc>
        <w:tc>
          <w:tcPr>
            <w:tcW w:w="186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r>
      <w:tr>
        <w:trPr>
          <w:trHeight w:val="213"/>
        </w:trPr>
        <w:tc>
          <w:tcPr>
            <w:tcW w:w="3980" w:type="dxa"/>
            <w:vAlign w:val="bottom"/>
            <w:shd w:val="clear" w:color="auto" w:fill="DBDBDB"/>
          </w:tcPr>
          <w:p>
            <w:pPr>
              <w:ind w:left="220"/>
              <w:spacing w:after="0"/>
              <w:rPr>
                <w:sz w:val="20"/>
                <w:szCs w:val="20"/>
                <w:color w:val="auto"/>
              </w:rPr>
            </w:pPr>
            <w:r>
              <w:rPr>
                <w:rFonts w:ascii="Arial" w:cs="Arial" w:eastAsia="Arial" w:hAnsi="Arial"/>
                <w:sz w:val="14"/>
                <w:szCs w:val="14"/>
                <w:color w:val="auto"/>
              </w:rPr>
              <w:t>F23-F25 Performance Share Award Payout</w:t>
            </w:r>
          </w:p>
        </w:tc>
        <w:tc>
          <w:tcPr>
            <w:tcW w:w="1660" w:type="dxa"/>
            <w:vAlign w:val="bottom"/>
            <w:shd w:val="clear" w:color="auto" w:fill="DBDBDB"/>
          </w:tcPr>
          <w:p>
            <w:pPr>
              <w:spacing w:after="0"/>
              <w:rPr>
                <w:sz w:val="18"/>
                <w:szCs w:val="18"/>
                <w:color w:val="auto"/>
              </w:rPr>
            </w:pPr>
          </w:p>
        </w:tc>
        <w:tc>
          <w:tcPr>
            <w:tcW w:w="1660" w:type="dxa"/>
            <w:vAlign w:val="bottom"/>
            <w:shd w:val="clear" w:color="auto" w:fill="DBDBDB"/>
          </w:tcPr>
          <w:p>
            <w:pPr>
              <w:spacing w:after="0"/>
              <w:rPr>
                <w:sz w:val="18"/>
                <w:szCs w:val="18"/>
                <w:color w:val="auto"/>
              </w:rPr>
            </w:pPr>
          </w:p>
        </w:tc>
        <w:tc>
          <w:tcPr>
            <w:tcW w:w="186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rPr>
              <w:t>421</w:t>
            </w:r>
          </w:p>
        </w:tc>
        <w:tc>
          <w:tcPr>
            <w:tcW w:w="1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33,861</w:t>
            </w:r>
          </w:p>
        </w:tc>
      </w:tr>
      <w:tr>
        <w:trPr>
          <w:trHeight w:val="221"/>
        </w:trPr>
        <w:tc>
          <w:tcPr>
            <w:tcW w:w="3980" w:type="dxa"/>
            <w:vAlign w:val="bottom"/>
            <w:shd w:val="clear" w:color="auto" w:fill="DBDBDB"/>
          </w:tcPr>
          <w:p>
            <w:pPr>
              <w:ind w:left="220"/>
              <w:spacing w:after="0"/>
              <w:rPr>
                <w:sz w:val="20"/>
                <w:szCs w:val="20"/>
                <w:color w:val="auto"/>
              </w:rPr>
            </w:pPr>
            <w:r>
              <w:rPr>
                <w:rFonts w:ascii="Arial" w:cs="Arial" w:eastAsia="Arial" w:hAnsi="Arial"/>
                <w:sz w:val="14"/>
                <w:szCs w:val="14"/>
                <w:color w:val="auto"/>
              </w:rPr>
              <w:t>Restricted Stock Units</w:t>
            </w:r>
          </w:p>
        </w:tc>
        <w:tc>
          <w:tcPr>
            <w:tcW w:w="1660" w:type="dxa"/>
            <w:vAlign w:val="bottom"/>
            <w:shd w:val="clear" w:color="auto" w:fill="DBDBDB"/>
          </w:tcPr>
          <w:p>
            <w:pPr>
              <w:spacing w:after="0"/>
              <w:rPr>
                <w:sz w:val="19"/>
                <w:szCs w:val="19"/>
                <w:color w:val="auto"/>
              </w:rPr>
            </w:pPr>
          </w:p>
        </w:tc>
        <w:tc>
          <w:tcPr>
            <w:tcW w:w="1660" w:type="dxa"/>
            <w:vAlign w:val="bottom"/>
            <w:shd w:val="clear" w:color="auto" w:fill="DBDBDB"/>
          </w:tcPr>
          <w:p>
            <w:pPr>
              <w:spacing w:after="0"/>
              <w:rPr>
                <w:sz w:val="19"/>
                <w:szCs w:val="19"/>
                <w:color w:val="auto"/>
              </w:rPr>
            </w:pPr>
          </w:p>
        </w:tc>
        <w:tc>
          <w:tcPr>
            <w:tcW w:w="186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rPr>
              <w:t>2,675</w:t>
            </w:r>
          </w:p>
        </w:tc>
        <w:tc>
          <w:tcPr>
            <w:tcW w:w="1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206,649</w:t>
            </w:r>
          </w:p>
        </w:tc>
      </w:tr>
      <w:tr>
        <w:trPr>
          <w:trHeight w:val="206"/>
        </w:trPr>
        <w:tc>
          <w:tcPr>
            <w:tcW w:w="3980" w:type="dxa"/>
            <w:vAlign w:val="bottom"/>
          </w:tcPr>
          <w:p>
            <w:pPr>
              <w:ind w:left="20"/>
              <w:spacing w:after="0"/>
              <w:rPr>
                <w:sz w:val="20"/>
                <w:szCs w:val="20"/>
                <w:color w:val="auto"/>
              </w:rPr>
            </w:pPr>
            <w:r>
              <w:rPr>
                <w:rFonts w:ascii="Arial" w:cs="Arial" w:eastAsia="Arial" w:hAnsi="Arial"/>
                <w:sz w:val="14"/>
                <w:szCs w:val="14"/>
                <w:color w:val="auto"/>
              </w:rPr>
              <w:t>Edric C. Funk</w:t>
            </w:r>
          </w:p>
        </w:tc>
        <w:tc>
          <w:tcPr>
            <w:tcW w:w="16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3"/>
        </w:trPr>
        <w:tc>
          <w:tcPr>
            <w:tcW w:w="3980" w:type="dxa"/>
            <w:vAlign w:val="bottom"/>
          </w:tcPr>
          <w:p>
            <w:pPr>
              <w:ind w:left="220"/>
              <w:spacing w:after="0"/>
              <w:rPr>
                <w:sz w:val="20"/>
                <w:szCs w:val="20"/>
                <w:color w:val="auto"/>
              </w:rPr>
            </w:pPr>
            <w:r>
              <w:rPr>
                <w:rFonts w:ascii="Arial" w:cs="Arial" w:eastAsia="Arial" w:hAnsi="Arial"/>
                <w:sz w:val="14"/>
                <w:szCs w:val="14"/>
                <w:color w:val="auto"/>
              </w:rPr>
              <w:t>Stock Option Exercises</w:t>
            </w:r>
          </w:p>
        </w:tc>
        <w:tc>
          <w:tcPr>
            <w:tcW w:w="1660" w:type="dxa"/>
            <w:vAlign w:val="bottom"/>
          </w:tcPr>
          <w:p>
            <w:pPr>
              <w:jc w:val="right"/>
              <w:spacing w:after="0"/>
              <w:rPr>
                <w:sz w:val="20"/>
                <w:szCs w:val="20"/>
                <w:color w:val="auto"/>
              </w:rPr>
            </w:pPr>
            <w:r>
              <w:rPr>
                <w:rFonts w:ascii="Arial" w:cs="Arial" w:eastAsia="Arial" w:hAnsi="Arial"/>
                <w:sz w:val="14"/>
                <w:szCs w:val="14"/>
                <w:color w:val="auto"/>
              </w:rPr>
              <w:t>N/A</w:t>
            </w:r>
          </w:p>
        </w:tc>
        <w:tc>
          <w:tcPr>
            <w:tcW w:w="1660" w:type="dxa"/>
            <w:vAlign w:val="bottom"/>
          </w:tcPr>
          <w:p>
            <w:pPr>
              <w:jc w:val="right"/>
              <w:spacing w:after="0"/>
              <w:rPr>
                <w:sz w:val="20"/>
                <w:szCs w:val="20"/>
                <w:color w:val="auto"/>
              </w:rPr>
            </w:pPr>
            <w:r>
              <w:rPr>
                <w:rFonts w:ascii="Arial" w:cs="Arial" w:eastAsia="Arial" w:hAnsi="Arial"/>
                <w:sz w:val="14"/>
                <w:szCs w:val="14"/>
                <w:color w:val="auto"/>
              </w:rPr>
              <w:t>N/A</w:t>
            </w:r>
          </w:p>
        </w:tc>
        <w:tc>
          <w:tcPr>
            <w:tcW w:w="18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3"/>
        </w:trPr>
        <w:tc>
          <w:tcPr>
            <w:tcW w:w="3980" w:type="dxa"/>
            <w:vAlign w:val="bottom"/>
          </w:tcPr>
          <w:p>
            <w:pPr>
              <w:ind w:left="220"/>
              <w:spacing w:after="0"/>
              <w:rPr>
                <w:sz w:val="20"/>
                <w:szCs w:val="20"/>
                <w:color w:val="auto"/>
              </w:rPr>
            </w:pPr>
            <w:r>
              <w:rPr>
                <w:rFonts w:ascii="Arial" w:cs="Arial" w:eastAsia="Arial" w:hAnsi="Arial"/>
                <w:sz w:val="14"/>
                <w:szCs w:val="14"/>
                <w:color w:val="auto"/>
              </w:rPr>
              <w:t>F23-F25 Performance Share Award Payout</w:t>
            </w:r>
          </w:p>
        </w:tc>
        <w:tc>
          <w:tcPr>
            <w:tcW w:w="1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60" w:type="dxa"/>
            <w:vAlign w:val="bottom"/>
          </w:tcPr>
          <w:p>
            <w:pPr>
              <w:jc w:val="right"/>
              <w:ind w:right="169"/>
              <w:spacing w:after="0"/>
              <w:rPr>
                <w:sz w:val="20"/>
                <w:szCs w:val="20"/>
                <w:color w:val="auto"/>
              </w:rPr>
            </w:pPr>
            <w:r>
              <w:rPr>
                <w:rFonts w:ascii="Arial" w:cs="Arial" w:eastAsia="Arial" w:hAnsi="Arial"/>
                <w:sz w:val="14"/>
                <w:szCs w:val="14"/>
                <w:color w:val="auto"/>
              </w:rPr>
              <w:t>621</w:t>
            </w:r>
          </w:p>
        </w:tc>
        <w:tc>
          <w:tcPr>
            <w:tcW w:w="1440" w:type="dxa"/>
            <w:vAlign w:val="bottom"/>
          </w:tcPr>
          <w:p>
            <w:pPr>
              <w:jc w:val="right"/>
              <w:spacing w:after="0"/>
              <w:rPr>
                <w:sz w:val="20"/>
                <w:szCs w:val="20"/>
                <w:color w:val="auto"/>
              </w:rPr>
            </w:pPr>
            <w:r>
              <w:rPr>
                <w:rFonts w:ascii="Arial" w:cs="Arial" w:eastAsia="Arial" w:hAnsi="Arial"/>
                <w:sz w:val="14"/>
                <w:szCs w:val="14"/>
                <w:color w:val="auto"/>
              </w:rPr>
              <w:t>49,947</w:t>
            </w:r>
          </w:p>
        </w:tc>
      </w:tr>
      <w:tr>
        <w:trPr>
          <w:trHeight w:val="217"/>
        </w:trPr>
        <w:tc>
          <w:tcPr>
            <w:tcW w:w="3980" w:type="dxa"/>
            <w:vAlign w:val="bottom"/>
          </w:tcPr>
          <w:p>
            <w:pPr>
              <w:ind w:left="220"/>
              <w:spacing w:after="0"/>
              <w:rPr>
                <w:sz w:val="20"/>
                <w:szCs w:val="20"/>
                <w:color w:val="auto"/>
              </w:rPr>
            </w:pPr>
            <w:r>
              <w:rPr>
                <w:rFonts w:ascii="Arial" w:cs="Arial" w:eastAsia="Arial" w:hAnsi="Arial"/>
                <w:sz w:val="14"/>
                <w:szCs w:val="14"/>
                <w:color w:val="auto"/>
              </w:rPr>
              <w:t>Restricted Stock Units</w:t>
            </w:r>
          </w:p>
        </w:tc>
        <w:tc>
          <w:tcPr>
            <w:tcW w:w="1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60" w:type="dxa"/>
            <w:vAlign w:val="bottom"/>
          </w:tcPr>
          <w:p>
            <w:pPr>
              <w:jc w:val="right"/>
              <w:ind w:right="169"/>
              <w:spacing w:after="0"/>
              <w:rPr>
                <w:sz w:val="20"/>
                <w:szCs w:val="20"/>
                <w:color w:val="auto"/>
              </w:rPr>
            </w:pPr>
            <w:r>
              <w:rPr>
                <w:rFonts w:ascii="Arial" w:cs="Arial" w:eastAsia="Arial" w:hAnsi="Arial"/>
                <w:sz w:val="14"/>
                <w:szCs w:val="14"/>
                <w:color w:val="auto"/>
              </w:rPr>
              <w:t>755</w:t>
            </w:r>
          </w:p>
        </w:tc>
        <w:tc>
          <w:tcPr>
            <w:tcW w:w="1440" w:type="dxa"/>
            <w:vAlign w:val="bottom"/>
          </w:tcPr>
          <w:p>
            <w:pPr>
              <w:jc w:val="right"/>
              <w:spacing w:after="0"/>
              <w:rPr>
                <w:sz w:val="20"/>
                <w:szCs w:val="20"/>
                <w:color w:val="auto"/>
              </w:rPr>
            </w:pPr>
            <w:r>
              <w:rPr>
                <w:rFonts w:ascii="Arial" w:cs="Arial" w:eastAsia="Arial" w:hAnsi="Arial"/>
                <w:sz w:val="14"/>
                <w:szCs w:val="14"/>
                <w:color w:val="auto"/>
              </w:rPr>
              <w:t>61,552</w:t>
            </w:r>
          </w:p>
        </w:tc>
      </w:tr>
      <w:tr>
        <w:trPr>
          <w:trHeight w:val="210"/>
        </w:trPr>
        <w:tc>
          <w:tcPr>
            <w:tcW w:w="3980" w:type="dxa"/>
            <w:vAlign w:val="bottom"/>
            <w:shd w:val="clear" w:color="auto" w:fill="DBDBDB"/>
          </w:tcPr>
          <w:p>
            <w:pPr>
              <w:ind w:left="20"/>
              <w:spacing w:after="0"/>
              <w:rPr>
                <w:sz w:val="20"/>
                <w:szCs w:val="20"/>
                <w:color w:val="auto"/>
              </w:rPr>
            </w:pPr>
            <w:r>
              <w:rPr>
                <w:rFonts w:ascii="Arial" w:cs="Arial" w:eastAsia="Arial" w:hAnsi="Arial"/>
                <w:sz w:val="14"/>
                <w:szCs w:val="14"/>
                <w:color w:val="auto"/>
              </w:rPr>
              <w:t>Peter D. Moeller</w:t>
            </w:r>
          </w:p>
        </w:tc>
        <w:tc>
          <w:tcPr>
            <w:tcW w:w="1660" w:type="dxa"/>
            <w:vAlign w:val="bottom"/>
            <w:shd w:val="clear" w:color="auto" w:fill="DBDBDB"/>
          </w:tcPr>
          <w:p>
            <w:pPr>
              <w:spacing w:after="0"/>
              <w:rPr>
                <w:sz w:val="18"/>
                <w:szCs w:val="18"/>
                <w:color w:val="auto"/>
              </w:rPr>
            </w:pPr>
          </w:p>
        </w:tc>
        <w:tc>
          <w:tcPr>
            <w:tcW w:w="1660" w:type="dxa"/>
            <w:vAlign w:val="bottom"/>
            <w:shd w:val="clear" w:color="auto" w:fill="DBDBDB"/>
          </w:tcPr>
          <w:p>
            <w:pPr>
              <w:spacing w:after="0"/>
              <w:rPr>
                <w:sz w:val="18"/>
                <w:szCs w:val="18"/>
                <w:color w:val="auto"/>
              </w:rPr>
            </w:pPr>
          </w:p>
        </w:tc>
        <w:tc>
          <w:tcPr>
            <w:tcW w:w="186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r>
      <w:tr>
        <w:trPr>
          <w:trHeight w:val="213"/>
        </w:trPr>
        <w:tc>
          <w:tcPr>
            <w:tcW w:w="3980" w:type="dxa"/>
            <w:vAlign w:val="bottom"/>
            <w:shd w:val="clear" w:color="auto" w:fill="DBDBDB"/>
          </w:tcPr>
          <w:p>
            <w:pPr>
              <w:ind w:left="220"/>
              <w:spacing w:after="0"/>
              <w:rPr>
                <w:sz w:val="20"/>
                <w:szCs w:val="20"/>
                <w:color w:val="auto"/>
              </w:rPr>
            </w:pPr>
            <w:r>
              <w:rPr>
                <w:rFonts w:ascii="Arial" w:cs="Arial" w:eastAsia="Arial" w:hAnsi="Arial"/>
                <w:sz w:val="14"/>
                <w:szCs w:val="14"/>
                <w:color w:val="auto"/>
              </w:rPr>
              <w:t>Stock Option Exercises</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N/A</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N/A</w:t>
            </w:r>
          </w:p>
        </w:tc>
        <w:tc>
          <w:tcPr>
            <w:tcW w:w="186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r>
      <w:tr>
        <w:trPr>
          <w:trHeight w:val="213"/>
        </w:trPr>
        <w:tc>
          <w:tcPr>
            <w:tcW w:w="3980" w:type="dxa"/>
            <w:vAlign w:val="bottom"/>
            <w:shd w:val="clear" w:color="auto" w:fill="DBDBDB"/>
          </w:tcPr>
          <w:p>
            <w:pPr>
              <w:ind w:left="220"/>
              <w:spacing w:after="0"/>
              <w:rPr>
                <w:sz w:val="20"/>
                <w:szCs w:val="20"/>
                <w:color w:val="auto"/>
              </w:rPr>
            </w:pPr>
            <w:r>
              <w:rPr>
                <w:rFonts w:ascii="Arial" w:cs="Arial" w:eastAsia="Arial" w:hAnsi="Arial"/>
                <w:sz w:val="14"/>
                <w:szCs w:val="14"/>
                <w:color w:val="auto"/>
              </w:rPr>
              <w:t>F23-F25 Performance Share Award Payout</w:t>
            </w:r>
          </w:p>
        </w:tc>
        <w:tc>
          <w:tcPr>
            <w:tcW w:w="1660" w:type="dxa"/>
            <w:vAlign w:val="bottom"/>
            <w:shd w:val="clear" w:color="auto" w:fill="DBDBDB"/>
          </w:tcPr>
          <w:p>
            <w:pPr>
              <w:spacing w:after="0"/>
              <w:rPr>
                <w:sz w:val="18"/>
                <w:szCs w:val="18"/>
                <w:color w:val="auto"/>
              </w:rPr>
            </w:pPr>
          </w:p>
        </w:tc>
        <w:tc>
          <w:tcPr>
            <w:tcW w:w="1660" w:type="dxa"/>
            <w:vAlign w:val="bottom"/>
            <w:shd w:val="clear" w:color="auto" w:fill="DBDBDB"/>
          </w:tcPr>
          <w:p>
            <w:pPr>
              <w:spacing w:after="0"/>
              <w:rPr>
                <w:sz w:val="18"/>
                <w:szCs w:val="18"/>
                <w:color w:val="auto"/>
              </w:rPr>
            </w:pPr>
          </w:p>
        </w:tc>
        <w:tc>
          <w:tcPr>
            <w:tcW w:w="1860" w:type="dxa"/>
            <w:vAlign w:val="bottom"/>
            <w:shd w:val="clear" w:color="auto" w:fill="DBDBDB"/>
          </w:tcPr>
          <w:p>
            <w:pPr>
              <w:jc w:val="right"/>
              <w:ind w:right="169"/>
              <w:spacing w:after="0"/>
              <w:rPr>
                <w:sz w:val="20"/>
                <w:szCs w:val="20"/>
                <w:color w:val="auto"/>
              </w:rPr>
            </w:pPr>
            <w:r>
              <w:rPr>
                <w:rFonts w:ascii="Arial" w:cs="Arial" w:eastAsia="Arial" w:hAnsi="Arial"/>
                <w:sz w:val="14"/>
                <w:szCs w:val="14"/>
                <w:color w:val="auto"/>
              </w:rPr>
              <w:t>421</w:t>
            </w:r>
          </w:p>
        </w:tc>
        <w:tc>
          <w:tcPr>
            <w:tcW w:w="1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33,861</w:t>
            </w:r>
          </w:p>
        </w:tc>
      </w:tr>
      <w:tr>
        <w:trPr>
          <w:trHeight w:val="221"/>
        </w:trPr>
        <w:tc>
          <w:tcPr>
            <w:tcW w:w="3980" w:type="dxa"/>
            <w:vAlign w:val="bottom"/>
            <w:shd w:val="clear" w:color="auto" w:fill="DBDBDB"/>
          </w:tcPr>
          <w:p>
            <w:pPr>
              <w:ind w:left="220"/>
              <w:spacing w:after="0"/>
              <w:rPr>
                <w:sz w:val="20"/>
                <w:szCs w:val="20"/>
                <w:color w:val="auto"/>
              </w:rPr>
            </w:pPr>
            <w:r>
              <w:rPr>
                <w:rFonts w:ascii="Arial" w:cs="Arial" w:eastAsia="Arial" w:hAnsi="Arial"/>
                <w:sz w:val="14"/>
                <w:szCs w:val="14"/>
                <w:color w:val="auto"/>
              </w:rPr>
              <w:t>Restricted Stock Units</w:t>
            </w:r>
          </w:p>
        </w:tc>
        <w:tc>
          <w:tcPr>
            <w:tcW w:w="1660" w:type="dxa"/>
            <w:vAlign w:val="bottom"/>
            <w:shd w:val="clear" w:color="auto" w:fill="DBDBDB"/>
          </w:tcPr>
          <w:p>
            <w:pPr>
              <w:spacing w:after="0"/>
              <w:rPr>
                <w:sz w:val="19"/>
                <w:szCs w:val="19"/>
                <w:color w:val="auto"/>
              </w:rPr>
            </w:pPr>
          </w:p>
        </w:tc>
        <w:tc>
          <w:tcPr>
            <w:tcW w:w="1660" w:type="dxa"/>
            <w:vAlign w:val="bottom"/>
            <w:shd w:val="clear" w:color="auto" w:fill="DBDBDB"/>
          </w:tcPr>
          <w:p>
            <w:pPr>
              <w:spacing w:after="0"/>
              <w:rPr>
                <w:sz w:val="19"/>
                <w:szCs w:val="19"/>
                <w:color w:val="auto"/>
              </w:rPr>
            </w:pPr>
          </w:p>
        </w:tc>
        <w:tc>
          <w:tcPr>
            <w:tcW w:w="1860" w:type="dxa"/>
            <w:vAlign w:val="bottom"/>
            <w:shd w:val="clear" w:color="auto" w:fill="DBDBDB"/>
          </w:tcPr>
          <w:p>
            <w:pPr>
              <w:jc w:val="right"/>
              <w:ind w:right="169"/>
              <w:spacing w:after="0"/>
              <w:rPr>
                <w:sz w:val="20"/>
                <w:szCs w:val="20"/>
                <w:color w:val="auto"/>
              </w:rPr>
            </w:pPr>
            <w:r>
              <w:rPr>
                <w:rFonts w:ascii="Arial" w:cs="Arial" w:eastAsia="Arial" w:hAnsi="Arial"/>
                <w:sz w:val="14"/>
                <w:szCs w:val="14"/>
                <w:color w:val="auto"/>
              </w:rPr>
              <w:t>932</w:t>
            </w:r>
          </w:p>
        </w:tc>
        <w:tc>
          <w:tcPr>
            <w:tcW w:w="1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72,160</w:t>
            </w:r>
          </w:p>
        </w:tc>
      </w:tr>
      <w:tr>
        <w:trPr>
          <w:trHeight w:val="206"/>
        </w:trPr>
        <w:tc>
          <w:tcPr>
            <w:tcW w:w="3980" w:type="dxa"/>
            <w:vAlign w:val="bottom"/>
          </w:tcPr>
          <w:p>
            <w:pPr>
              <w:ind w:left="20"/>
              <w:spacing w:after="0"/>
              <w:rPr>
                <w:sz w:val="20"/>
                <w:szCs w:val="20"/>
                <w:color w:val="auto"/>
              </w:rPr>
            </w:pPr>
            <w:r>
              <w:rPr>
                <w:rFonts w:ascii="Arial" w:cs="Arial" w:eastAsia="Arial" w:hAnsi="Arial"/>
                <w:sz w:val="14"/>
                <w:szCs w:val="14"/>
                <w:color w:val="auto"/>
              </w:rPr>
              <w:t>Gregory S. Janey</w:t>
            </w:r>
          </w:p>
        </w:tc>
        <w:tc>
          <w:tcPr>
            <w:tcW w:w="16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3"/>
        </w:trPr>
        <w:tc>
          <w:tcPr>
            <w:tcW w:w="3980" w:type="dxa"/>
            <w:vAlign w:val="bottom"/>
          </w:tcPr>
          <w:p>
            <w:pPr>
              <w:ind w:left="220"/>
              <w:spacing w:after="0"/>
              <w:rPr>
                <w:sz w:val="20"/>
                <w:szCs w:val="20"/>
                <w:color w:val="auto"/>
              </w:rPr>
            </w:pPr>
            <w:r>
              <w:rPr>
                <w:rFonts w:ascii="Arial" w:cs="Arial" w:eastAsia="Arial" w:hAnsi="Arial"/>
                <w:sz w:val="14"/>
                <w:szCs w:val="14"/>
                <w:color w:val="auto"/>
              </w:rPr>
              <w:t>Stock Option Exercises</w:t>
            </w:r>
          </w:p>
        </w:tc>
        <w:tc>
          <w:tcPr>
            <w:tcW w:w="1660" w:type="dxa"/>
            <w:vAlign w:val="bottom"/>
          </w:tcPr>
          <w:p>
            <w:pPr>
              <w:jc w:val="right"/>
              <w:spacing w:after="0"/>
              <w:rPr>
                <w:sz w:val="20"/>
                <w:szCs w:val="20"/>
                <w:color w:val="auto"/>
              </w:rPr>
            </w:pPr>
            <w:r>
              <w:rPr>
                <w:rFonts w:ascii="Arial" w:cs="Arial" w:eastAsia="Arial" w:hAnsi="Arial"/>
                <w:sz w:val="14"/>
                <w:szCs w:val="14"/>
                <w:color w:val="auto"/>
              </w:rPr>
              <w:t>3,880</w:t>
            </w:r>
          </w:p>
        </w:tc>
        <w:tc>
          <w:tcPr>
            <w:tcW w:w="1660" w:type="dxa"/>
            <w:vAlign w:val="bottom"/>
          </w:tcPr>
          <w:p>
            <w:pPr>
              <w:jc w:val="right"/>
              <w:spacing w:after="0"/>
              <w:rPr>
                <w:sz w:val="20"/>
                <w:szCs w:val="20"/>
                <w:color w:val="auto"/>
              </w:rPr>
            </w:pPr>
            <w:r>
              <w:rPr>
                <w:rFonts w:ascii="Arial" w:cs="Arial" w:eastAsia="Arial" w:hAnsi="Arial"/>
                <w:sz w:val="14"/>
                <w:szCs w:val="14"/>
                <w:color w:val="auto"/>
              </w:rPr>
              <w:t>159,875</w:t>
            </w:r>
          </w:p>
        </w:tc>
        <w:tc>
          <w:tcPr>
            <w:tcW w:w="18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3"/>
        </w:trPr>
        <w:tc>
          <w:tcPr>
            <w:tcW w:w="3980" w:type="dxa"/>
            <w:vAlign w:val="bottom"/>
          </w:tcPr>
          <w:p>
            <w:pPr>
              <w:ind w:left="220"/>
              <w:spacing w:after="0"/>
              <w:rPr>
                <w:sz w:val="20"/>
                <w:szCs w:val="20"/>
                <w:color w:val="auto"/>
              </w:rPr>
            </w:pPr>
            <w:r>
              <w:rPr>
                <w:rFonts w:ascii="Arial" w:cs="Arial" w:eastAsia="Arial" w:hAnsi="Arial"/>
                <w:sz w:val="14"/>
                <w:szCs w:val="14"/>
                <w:color w:val="auto"/>
              </w:rPr>
              <w:t>F23-F25 Performance Share Award Payout</w:t>
            </w:r>
          </w:p>
        </w:tc>
        <w:tc>
          <w:tcPr>
            <w:tcW w:w="1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60" w:type="dxa"/>
            <w:vAlign w:val="bottom"/>
          </w:tcPr>
          <w:p>
            <w:pPr>
              <w:jc w:val="right"/>
              <w:ind w:right="169"/>
              <w:spacing w:after="0"/>
              <w:rPr>
                <w:sz w:val="20"/>
                <w:szCs w:val="20"/>
                <w:color w:val="auto"/>
              </w:rPr>
            </w:pPr>
            <w:r>
              <w:rPr>
                <w:rFonts w:ascii="Arial" w:cs="Arial" w:eastAsia="Arial" w:hAnsi="Arial"/>
                <w:sz w:val="14"/>
                <w:szCs w:val="14"/>
                <w:color w:val="auto"/>
              </w:rPr>
              <w:t>732</w:t>
            </w:r>
          </w:p>
        </w:tc>
        <w:tc>
          <w:tcPr>
            <w:tcW w:w="1440" w:type="dxa"/>
            <w:vAlign w:val="bottom"/>
          </w:tcPr>
          <w:p>
            <w:pPr>
              <w:jc w:val="right"/>
              <w:spacing w:after="0"/>
              <w:rPr>
                <w:sz w:val="20"/>
                <w:szCs w:val="20"/>
                <w:color w:val="auto"/>
              </w:rPr>
            </w:pPr>
            <w:r>
              <w:rPr>
                <w:rFonts w:ascii="Arial" w:cs="Arial" w:eastAsia="Arial" w:hAnsi="Arial"/>
                <w:sz w:val="14"/>
                <w:szCs w:val="14"/>
                <w:color w:val="auto"/>
              </w:rPr>
              <w:t>58,875</w:t>
            </w:r>
          </w:p>
        </w:tc>
      </w:tr>
      <w:tr>
        <w:trPr>
          <w:trHeight w:val="213"/>
        </w:trPr>
        <w:tc>
          <w:tcPr>
            <w:tcW w:w="3980" w:type="dxa"/>
            <w:vAlign w:val="bottom"/>
          </w:tcPr>
          <w:p>
            <w:pPr>
              <w:ind w:left="220"/>
              <w:spacing w:after="0"/>
              <w:rPr>
                <w:sz w:val="20"/>
                <w:szCs w:val="20"/>
                <w:color w:val="auto"/>
              </w:rPr>
            </w:pPr>
            <w:r>
              <w:rPr>
                <w:rFonts w:ascii="Arial" w:cs="Arial" w:eastAsia="Arial" w:hAnsi="Arial"/>
                <w:sz w:val="14"/>
                <w:szCs w:val="14"/>
                <w:color w:val="auto"/>
              </w:rPr>
              <w:t>Restricted Stock Units</w:t>
            </w:r>
          </w:p>
        </w:tc>
        <w:tc>
          <w:tcPr>
            <w:tcW w:w="1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60" w:type="dxa"/>
            <w:vAlign w:val="bottom"/>
          </w:tcPr>
          <w:p>
            <w:pPr>
              <w:jc w:val="right"/>
              <w:ind w:right="169"/>
              <w:spacing w:after="0"/>
              <w:rPr>
                <w:sz w:val="20"/>
                <w:szCs w:val="20"/>
                <w:color w:val="auto"/>
              </w:rPr>
            </w:pPr>
            <w:r>
              <w:rPr>
                <w:rFonts w:ascii="Arial" w:cs="Arial" w:eastAsia="Arial" w:hAnsi="Arial"/>
                <w:sz w:val="14"/>
                <w:szCs w:val="14"/>
                <w:color w:val="auto"/>
              </w:rPr>
              <w:t>755</w:t>
            </w:r>
          </w:p>
        </w:tc>
        <w:tc>
          <w:tcPr>
            <w:tcW w:w="1440" w:type="dxa"/>
            <w:vAlign w:val="bottom"/>
          </w:tcPr>
          <w:p>
            <w:pPr>
              <w:jc w:val="right"/>
              <w:spacing w:after="0"/>
              <w:rPr>
                <w:sz w:val="20"/>
                <w:szCs w:val="20"/>
                <w:color w:val="auto"/>
              </w:rPr>
            </w:pPr>
            <w:r>
              <w:rPr>
                <w:rFonts w:ascii="Arial" w:cs="Arial" w:eastAsia="Arial" w:hAnsi="Arial"/>
                <w:sz w:val="14"/>
                <w:szCs w:val="14"/>
                <w:color w:val="auto"/>
              </w:rPr>
              <w:t>61,552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-3171825</wp:posOffset>
            </wp:positionV>
            <wp:extent cx="42024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20243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123190</wp:posOffset>
            </wp:positionV>
            <wp:extent cx="19913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291" w:lineRule="exact"/>
        <w:rPr>
          <w:sz w:val="20"/>
          <w:szCs w:val="20"/>
          <w:color w:val="auto"/>
        </w:rPr>
      </w:pPr>
    </w:p>
    <w:p>
      <w:pPr>
        <w:jc w:val="both"/>
        <w:ind w:left="320" w:hanging="313"/>
        <w:spacing w:after="0" w:line="247" w:lineRule="auto"/>
        <w:tabs>
          <w:tab w:leader="none" w:pos="30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of shares acquired upon exercise reflects the gross number of shares acquired absent any netting for shares surrendered to pay the option exercise price and/or satisfy tax withholding requirements. The value realized on exercise represents the gross number of shares acquired on exercise multiplied by the market price of our common stock on the exercise date, less the per share exercise price.</w:t>
      </w:r>
    </w:p>
    <w:p>
      <w:pPr>
        <w:spacing w:after="0" w:line="1" w:lineRule="exact"/>
        <w:rPr>
          <w:rFonts w:ascii="Arial" w:cs="Arial" w:eastAsia="Arial" w:hAnsi="Arial"/>
          <w:sz w:val="18"/>
          <w:szCs w:val="18"/>
          <w:color w:val="auto"/>
        </w:rPr>
      </w:pPr>
    </w:p>
    <w:p>
      <w:pPr>
        <w:jc w:val="both"/>
        <w:ind w:left="320" w:hanging="313"/>
        <w:spacing w:after="0" w:line="247" w:lineRule="auto"/>
        <w:tabs>
          <w:tab w:leader="none" w:pos="308"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number of shares acquired upon vesting reflects the gross number of shares acquired absent any netting of shares surrendered to satisfy required tax withholding requirements and in the case of restricted stock units, includes the following number of shares underlying dividend equivalent rights that accrued and were paid out at the same time as the shares underlying the stock award (Ms. Drake — 83 shares, Mr. Funk - 22 shares, Mr. Moeller — 29 shares and Mr. Janey — 22 shares). The performance share awards do not accrue any dividend equivalent rights. The value realized on vesting represents the gross number of shares acquired multiplied by the closing price of our common stock on the vesting or payout date. The payout date for the F23-F25 performance share awards was December 17, 2025. Amounts are not reduced to reflect any elections to defer receipt of performance share award payouts. Under the Deferred Plan for Officers, Messrs. Funk, Moeller and Janey deferred receipt of 100% of the fiscal 2023 to fiscal 2025 performance share award payout. The material terms of the Deferred Plan for Officers are described under Nonqualified Deferred Compensation for Fiscal 2025 set forth below.</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Nonqualified Deferred Compensation for Fiscal 2025</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maintain three nonqualified deferred compensation plans in which our NEOs are eligible to participate.</w:t>
      </w:r>
    </w:p>
    <w:p>
      <w:pPr>
        <w:spacing w:after="0" w:line="98" w:lineRule="exact"/>
        <w:rPr>
          <w:sz w:val="20"/>
          <w:szCs w:val="20"/>
          <w:color w:val="auto"/>
        </w:rPr>
      </w:pPr>
    </w:p>
    <w:p>
      <w:pPr>
        <w:spacing w:after="0" w:line="248" w:lineRule="auto"/>
        <w:rPr>
          <w:sz w:val="20"/>
          <w:szCs w:val="20"/>
          <w:color w:val="auto"/>
        </w:rPr>
      </w:pPr>
      <w:r>
        <w:rPr>
          <w:rFonts w:ascii="Arial" w:cs="Arial" w:eastAsia="Arial" w:hAnsi="Arial"/>
          <w:sz w:val="17"/>
          <w:szCs w:val="17"/>
          <w:b w:val="1"/>
          <w:bCs w:val="1"/>
          <w:color w:val="auto"/>
        </w:rPr>
        <w:t xml:space="preserve">The Toro Company Deferred Compensation Plan. </w:t>
      </w:r>
      <w:r>
        <w:rPr>
          <w:rFonts w:ascii="Arial" w:cs="Arial" w:eastAsia="Arial" w:hAnsi="Arial"/>
          <w:sz w:val="17"/>
          <w:szCs w:val="17"/>
          <w:color w:val="auto"/>
        </w:rPr>
        <w:t>This plan allows a select group of management or highly compensated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our executive officers, to defer on a pre-tax basis his or her calendar year base salary and/or fiscal year annual cash incentive payout</w:t>
      </w:r>
    </w:p>
    <w:p>
      <w:pPr>
        <w:spacing w:after="0" w:line="233" w:lineRule="auto"/>
        <w:rPr>
          <w:sz w:val="20"/>
          <w:szCs w:val="20"/>
          <w:color w:val="auto"/>
        </w:rPr>
      </w:pPr>
      <w:r>
        <w:rPr>
          <w:rFonts w:ascii="Arial" w:cs="Arial" w:eastAsia="Arial" w:hAnsi="Arial"/>
          <w:sz w:val="18"/>
          <w:szCs w:val="18"/>
          <w:color w:val="auto"/>
        </w:rPr>
        <w:t>to a date in the future. Participants can defer up to 50% of calendar year base salary and up to 100% of the fiscal year annual cash incentive</w:t>
      </w:r>
    </w:p>
    <w:p>
      <w:pPr>
        <w:spacing w:after="0" w:line="237" w:lineRule="auto"/>
        <w:rPr>
          <w:sz w:val="20"/>
          <w:szCs w:val="20"/>
          <w:color w:val="auto"/>
        </w:rPr>
      </w:pPr>
      <w:r>
        <w:rPr>
          <w:rFonts w:ascii="Arial" w:cs="Arial" w:eastAsia="Arial" w:hAnsi="Arial"/>
          <w:sz w:val="17"/>
          <w:szCs w:val="17"/>
          <w:color w:val="auto"/>
        </w:rPr>
        <w:t>award payout. Deferred amounts are credited to a participant's account and the participant may elect the deemed investment of such deferred amounts in an array of funds that are consistent with or comparable to funds provided in the Retirement Plan. Deferral elections are made on</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an annual basis, before the beginning of the new fiscal year. Participants must elect a distribution date that is at least two years later than the date the compensation otherwise would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66" w:name="page67"/>
    <w:bookmarkEnd w:id="66"/>
    <w:p>
      <w:pPr>
        <w:spacing w:after="0" w:line="262" w:lineRule="auto"/>
        <w:rPr>
          <w:sz w:val="20"/>
          <w:szCs w:val="20"/>
          <w:color w:val="auto"/>
        </w:rPr>
      </w:pPr>
      <w:r>
        <w:rPr>
          <w:rFonts w:ascii="Arial" w:cs="Arial" w:eastAsia="Arial" w:hAnsi="Arial"/>
          <w:sz w:val="18"/>
          <w:szCs w:val="18"/>
          <w:color w:val="auto"/>
        </w:rPr>
        <w:t>been received. Participants elect the frequency of payments and the number of payments to receive at the time of distribution. Participants are always 100% vested in their accounts.</w:t>
      </w:r>
    </w:p>
    <w:p>
      <w:pPr>
        <w:spacing w:after="0" w:line="40"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color w:val="auto"/>
        </w:rPr>
        <w:t xml:space="preserve">The Toro Company Deferred Compensation Plan for Officers. </w:t>
      </w:r>
      <w:r>
        <w:rPr>
          <w:rFonts w:ascii="Arial" w:cs="Arial" w:eastAsia="Arial" w:hAnsi="Arial"/>
          <w:sz w:val="18"/>
          <w:szCs w:val="18"/>
          <w:color w:val="auto"/>
        </w:rPr>
        <w:t>This plan allows key employees that receive performance share awards,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executive officers, an opportunity to defer receipt of shares of our common stock paid out under such awards to a date in the</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future. Participants can defer up to 100% of the common stock payout. Each year, before the third fiscal year of the three-year performance period begins, participants are given the opportunity to elect to defer the receipt of those shares to some point in the future. Participants must</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elect a distribution date that is at least two years later than the date the shares would have been received. Participants elect the frequency of payment and the number of payments to receive at the time of distribution. Participants are always 100% vested in their deferred payout.</w:t>
      </w:r>
    </w:p>
    <w:p>
      <w:pPr>
        <w:spacing w:after="0" w:line="57"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color w:val="auto"/>
        </w:rPr>
        <w:t xml:space="preserve">The Toro Company Supplemental Benefit Plan. </w:t>
      </w:r>
      <w:r>
        <w:rPr>
          <w:rFonts w:ascii="Arial" w:cs="Arial" w:eastAsia="Arial" w:hAnsi="Arial"/>
          <w:sz w:val="17"/>
          <w:szCs w:val="17"/>
          <w:color w:val="auto"/>
        </w:rPr>
        <w:t>This plan is maintained for the purpose of providing to a select group of management or</w:t>
      </w:r>
      <w:r>
        <w:rPr>
          <w:rFonts w:ascii="Arial" w:cs="Arial" w:eastAsia="Arial" w:hAnsi="Arial"/>
          <w:sz w:val="17"/>
          <w:szCs w:val="17"/>
          <w:b w:val="1"/>
          <w:bCs w:val="1"/>
          <w:color w:val="auto"/>
        </w:rPr>
        <w:t xml:space="preserve"> </w:t>
      </w:r>
      <w:r>
        <w:rPr>
          <w:rFonts w:ascii="Arial" w:cs="Arial" w:eastAsia="Arial" w:hAnsi="Arial"/>
          <w:sz w:val="17"/>
          <w:szCs w:val="17"/>
          <w:color w:val="auto"/>
        </w:rPr>
        <w:t>highly compensated employees, including our executive officers, benefits in excess of the limitations on benefits and contributions imposed by</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Code Sections 401(a)(17) and 415. Our credits under this plan are made on a calendar year basis, usually in the first calendar quarter following the end of the prior calendar year. Amounts are credited to the Supplemental Benefit Plan for earnings above the compensation limit</w:t>
      </w:r>
    </w:p>
    <w:p>
      <w:pPr>
        <w:spacing w:after="0" w:line="233" w:lineRule="auto"/>
        <w:rPr>
          <w:sz w:val="20"/>
          <w:szCs w:val="20"/>
          <w:color w:val="auto"/>
        </w:rPr>
      </w:pPr>
      <w:r>
        <w:rPr>
          <w:rFonts w:ascii="Arial" w:cs="Arial" w:eastAsia="Arial" w:hAnsi="Arial"/>
          <w:sz w:val="18"/>
          <w:szCs w:val="18"/>
          <w:color w:val="auto"/>
        </w:rPr>
        <w:t>for all forms of employer contributions, which may include Company matching, investment savings and ESOP contribution amounts. For</w:t>
      </w:r>
    </w:p>
    <w:p>
      <w:pPr>
        <w:spacing w:after="0" w:line="224" w:lineRule="auto"/>
        <w:rPr>
          <w:sz w:val="20"/>
          <w:szCs w:val="20"/>
          <w:color w:val="auto"/>
        </w:rPr>
      </w:pPr>
      <w:r>
        <w:rPr>
          <w:rFonts w:ascii="Arial" w:cs="Arial" w:eastAsia="Arial" w:hAnsi="Arial"/>
          <w:sz w:val="18"/>
          <w:szCs w:val="18"/>
          <w:color w:val="auto"/>
        </w:rPr>
        <w:t>calendar year 2025, employer matching contributions and an investment savings contribution were made. Amounts credited are placed into a participant's account and the participant may elect the deemed investment of such deferred amounts in an array of funds that are consistent</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with or comparable to funds provided in the Retirement Plan. Participants elect the funds into which these contributions are allocated, as well as the frequency of payments and the number of payments to receive. Participants are always 100% vested in their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7" w:name="page68"/>
    <w:bookmarkEnd w:id="67"/>
    <w:p>
      <w:pPr>
        <w:spacing w:after="0" w:line="264" w:lineRule="auto"/>
        <w:rPr>
          <w:sz w:val="20"/>
          <w:szCs w:val="20"/>
          <w:color w:val="auto"/>
        </w:rPr>
      </w:pPr>
      <w:r>
        <w:rPr>
          <w:rFonts w:ascii="Arial" w:cs="Arial" w:eastAsia="Arial" w:hAnsi="Arial"/>
          <w:sz w:val="18"/>
          <w:szCs w:val="18"/>
          <w:b w:val="1"/>
          <w:bCs w:val="1"/>
          <w:color w:val="auto"/>
        </w:rPr>
        <w:t xml:space="preserve">Nonqualified Deferred Compensation for Fiscal 2025 Table. </w:t>
      </w:r>
      <w:r>
        <w:rPr>
          <w:rFonts w:ascii="Arial" w:cs="Arial" w:eastAsia="Arial" w:hAnsi="Arial"/>
          <w:sz w:val="18"/>
          <w:szCs w:val="18"/>
          <w:color w:val="auto"/>
        </w:rPr>
        <w:t>The following table reflects any NEO contributions and Company contributions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fiscal 2025 to our nonqualified deferred compensation plans.</w:t>
      </w:r>
    </w:p>
    <w:p>
      <w:pPr>
        <w:spacing w:after="0" w:line="111" w:lineRule="exact"/>
        <w:rPr>
          <w:sz w:val="20"/>
          <w:szCs w:val="20"/>
          <w:color w:val="auto"/>
        </w:rPr>
      </w:pPr>
    </w:p>
    <w:tbl>
      <w:tblPr>
        <w:tblLayout w:type="fixed"/>
        <w:tblInd w:w="340" w:type="dxa"/>
        <w:tblCellMar>
          <w:top w:w="0" w:type="dxa"/>
          <w:left w:w="0" w:type="dxa"/>
          <w:bottom w:w="0" w:type="dxa"/>
          <w:right w:w="0" w:type="dxa"/>
        </w:tblCellMar>
      </w:tblPr>
      <w:tr>
        <w:trPr>
          <w:trHeight w:val="204"/>
        </w:trPr>
        <w:tc>
          <w:tcPr>
            <w:tcW w:w="2520" w:type="dxa"/>
            <w:vAlign w:val="bottom"/>
            <w:shd w:val="clear" w:color="auto" w:fill="BF2115"/>
          </w:tcPr>
          <w:p>
            <w:pPr>
              <w:spacing w:after="0"/>
              <w:rPr>
                <w:sz w:val="17"/>
                <w:szCs w:val="17"/>
                <w:color w:val="auto"/>
              </w:rPr>
            </w:pPr>
          </w:p>
        </w:tc>
        <w:tc>
          <w:tcPr>
            <w:tcW w:w="16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Executive</w:t>
            </w:r>
          </w:p>
        </w:tc>
        <w:tc>
          <w:tcPr>
            <w:tcW w:w="18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Registrant</w:t>
            </w:r>
          </w:p>
        </w:tc>
        <w:tc>
          <w:tcPr>
            <w:tcW w:w="1540" w:type="dxa"/>
            <w:vAlign w:val="bottom"/>
            <w:shd w:val="clear" w:color="auto" w:fill="BF2115"/>
          </w:tcPr>
          <w:p>
            <w:pPr>
              <w:jc w:val="center"/>
              <w:ind w:right="89"/>
              <w:spacing w:after="0"/>
              <w:rPr>
                <w:sz w:val="20"/>
                <w:szCs w:val="20"/>
                <w:color w:val="auto"/>
              </w:rPr>
            </w:pPr>
            <w:r>
              <w:rPr>
                <w:rFonts w:ascii="Arial" w:cs="Arial" w:eastAsia="Arial" w:hAnsi="Arial"/>
                <w:sz w:val="14"/>
                <w:szCs w:val="14"/>
                <w:b w:val="1"/>
                <w:bCs w:val="1"/>
                <w:color w:val="FFFFFF"/>
              </w:rPr>
              <w:t>Aggregate</w:t>
            </w:r>
          </w:p>
        </w:tc>
        <w:tc>
          <w:tcPr>
            <w:tcW w:w="120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Aggregate</w:t>
            </w:r>
          </w:p>
        </w:tc>
        <w:tc>
          <w:tcPr>
            <w:tcW w:w="440" w:type="dxa"/>
            <w:vAlign w:val="bottom"/>
            <w:shd w:val="clear" w:color="auto" w:fill="BF2115"/>
          </w:tcPr>
          <w:p>
            <w:pPr>
              <w:spacing w:after="0"/>
              <w:rPr>
                <w:sz w:val="17"/>
                <w:szCs w:val="17"/>
                <w:color w:val="auto"/>
              </w:rPr>
            </w:pPr>
          </w:p>
        </w:tc>
        <w:tc>
          <w:tcPr>
            <w:tcW w:w="142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rPr>
              <w:t>Aggregate</w:t>
            </w:r>
          </w:p>
        </w:tc>
      </w:tr>
      <w:tr>
        <w:trPr>
          <w:trHeight w:val="171"/>
        </w:trPr>
        <w:tc>
          <w:tcPr>
            <w:tcW w:w="2520" w:type="dxa"/>
            <w:vAlign w:val="bottom"/>
            <w:shd w:val="clear" w:color="auto" w:fill="BF2115"/>
          </w:tcPr>
          <w:p>
            <w:pPr>
              <w:spacing w:after="0"/>
              <w:rPr>
                <w:sz w:val="14"/>
                <w:szCs w:val="14"/>
                <w:color w:val="auto"/>
              </w:rPr>
            </w:pPr>
          </w:p>
        </w:tc>
        <w:tc>
          <w:tcPr>
            <w:tcW w:w="16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Contributions</w:t>
            </w:r>
          </w:p>
        </w:tc>
        <w:tc>
          <w:tcPr>
            <w:tcW w:w="18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Contributions</w:t>
            </w:r>
          </w:p>
        </w:tc>
        <w:tc>
          <w:tcPr>
            <w:tcW w:w="1540" w:type="dxa"/>
            <w:vAlign w:val="bottom"/>
            <w:shd w:val="clear" w:color="auto" w:fill="BF2115"/>
          </w:tcPr>
          <w:p>
            <w:pPr>
              <w:jc w:val="center"/>
              <w:ind w:right="89"/>
              <w:spacing w:after="0"/>
              <w:rPr>
                <w:sz w:val="20"/>
                <w:szCs w:val="20"/>
                <w:color w:val="auto"/>
              </w:rPr>
            </w:pPr>
            <w:r>
              <w:rPr>
                <w:rFonts w:ascii="Arial" w:cs="Arial" w:eastAsia="Arial" w:hAnsi="Arial"/>
                <w:sz w:val="14"/>
                <w:szCs w:val="14"/>
                <w:b w:val="1"/>
                <w:bCs w:val="1"/>
                <w:color w:val="FFFFFF"/>
              </w:rPr>
              <w:t>Earnings in</w:t>
            </w:r>
          </w:p>
        </w:tc>
        <w:tc>
          <w:tcPr>
            <w:tcW w:w="1200" w:type="dxa"/>
            <w:vAlign w:val="bottom"/>
            <w:shd w:val="clear" w:color="auto" w:fill="BF2115"/>
          </w:tcPr>
          <w:p>
            <w:pPr>
              <w:jc w:val="center"/>
              <w:ind w:left="9"/>
              <w:spacing w:after="0"/>
              <w:rPr>
                <w:sz w:val="20"/>
                <w:szCs w:val="20"/>
                <w:color w:val="auto"/>
              </w:rPr>
            </w:pPr>
            <w:r>
              <w:rPr>
                <w:rFonts w:ascii="Arial" w:cs="Arial" w:eastAsia="Arial" w:hAnsi="Arial"/>
                <w:sz w:val="14"/>
                <w:szCs w:val="14"/>
                <w:b w:val="1"/>
                <w:bCs w:val="1"/>
                <w:color w:val="FFFFFF"/>
              </w:rPr>
              <w:t>Withdrawals/</w:t>
            </w:r>
          </w:p>
        </w:tc>
        <w:tc>
          <w:tcPr>
            <w:tcW w:w="440" w:type="dxa"/>
            <w:vAlign w:val="bottom"/>
            <w:shd w:val="clear" w:color="auto" w:fill="BF2115"/>
          </w:tcPr>
          <w:p>
            <w:pPr>
              <w:spacing w:after="0"/>
              <w:rPr>
                <w:sz w:val="14"/>
                <w:szCs w:val="14"/>
                <w:color w:val="auto"/>
              </w:rPr>
            </w:pPr>
          </w:p>
        </w:tc>
        <w:tc>
          <w:tcPr>
            <w:tcW w:w="142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rPr>
              <w:t>Balance at</w:t>
            </w:r>
          </w:p>
        </w:tc>
      </w:tr>
      <w:tr>
        <w:trPr>
          <w:trHeight w:val="176"/>
        </w:trPr>
        <w:tc>
          <w:tcPr>
            <w:tcW w:w="2520" w:type="dxa"/>
            <w:vAlign w:val="bottom"/>
            <w:shd w:val="clear" w:color="auto" w:fill="BF2115"/>
          </w:tcPr>
          <w:p>
            <w:pPr>
              <w:spacing w:after="0"/>
              <w:rPr>
                <w:sz w:val="15"/>
                <w:szCs w:val="15"/>
                <w:color w:val="auto"/>
              </w:rPr>
            </w:pPr>
          </w:p>
        </w:tc>
        <w:tc>
          <w:tcPr>
            <w:tcW w:w="1620" w:type="dxa"/>
            <w:vAlign w:val="bottom"/>
            <w:shd w:val="clear" w:color="auto" w:fill="BF2115"/>
          </w:tcPr>
          <w:p>
            <w:pPr>
              <w:jc w:val="center"/>
              <w:spacing w:after="0" w:line="176" w:lineRule="exact"/>
              <w:rPr>
                <w:sz w:val="20"/>
                <w:szCs w:val="20"/>
                <w:color w:val="auto"/>
              </w:rPr>
            </w:pPr>
            <w:r>
              <w:rPr>
                <w:rFonts w:ascii="Arial" w:cs="Arial" w:eastAsia="Arial" w:hAnsi="Arial"/>
                <w:sz w:val="14"/>
                <w:szCs w:val="14"/>
                <w:b w:val="1"/>
                <w:bCs w:val="1"/>
                <w:color w:val="FFFFFF"/>
                <w:w w:val="97"/>
              </w:rPr>
              <w:t>in Last FY</w:t>
            </w:r>
            <w:r>
              <w:rPr>
                <w:rFonts w:ascii="Arial" w:cs="Arial" w:eastAsia="Arial" w:hAnsi="Arial"/>
                <w:sz w:val="18"/>
                <w:szCs w:val="18"/>
                <w:b w:val="1"/>
                <w:bCs w:val="1"/>
                <w:color w:val="FFFFFF"/>
                <w:w w:val="97"/>
                <w:vertAlign w:val="superscript"/>
              </w:rPr>
              <w:t>1</w:t>
            </w:r>
          </w:p>
        </w:tc>
        <w:tc>
          <w:tcPr>
            <w:tcW w:w="1840" w:type="dxa"/>
            <w:vAlign w:val="bottom"/>
            <w:shd w:val="clear" w:color="auto" w:fill="BF2115"/>
          </w:tcPr>
          <w:p>
            <w:pPr>
              <w:jc w:val="center"/>
              <w:spacing w:after="0" w:line="176" w:lineRule="exact"/>
              <w:rPr>
                <w:sz w:val="20"/>
                <w:szCs w:val="20"/>
                <w:color w:val="auto"/>
              </w:rPr>
            </w:pPr>
            <w:r>
              <w:rPr>
                <w:rFonts w:ascii="Arial" w:cs="Arial" w:eastAsia="Arial" w:hAnsi="Arial"/>
                <w:sz w:val="14"/>
                <w:szCs w:val="14"/>
                <w:b w:val="1"/>
                <w:bCs w:val="1"/>
                <w:color w:val="FFFFFF"/>
              </w:rPr>
              <w:t>in Last FY</w:t>
            </w:r>
            <w:r>
              <w:rPr>
                <w:rFonts w:ascii="Arial" w:cs="Arial" w:eastAsia="Arial" w:hAnsi="Arial"/>
                <w:sz w:val="18"/>
                <w:szCs w:val="18"/>
                <w:b w:val="1"/>
                <w:bCs w:val="1"/>
                <w:color w:val="FFFFFF"/>
                <w:vertAlign w:val="superscript"/>
              </w:rPr>
              <w:t>2</w:t>
            </w:r>
          </w:p>
        </w:tc>
        <w:tc>
          <w:tcPr>
            <w:tcW w:w="1540" w:type="dxa"/>
            <w:vAlign w:val="bottom"/>
            <w:shd w:val="clear" w:color="auto" w:fill="BF2115"/>
          </w:tcPr>
          <w:p>
            <w:pPr>
              <w:jc w:val="center"/>
              <w:ind w:right="109"/>
              <w:spacing w:after="0" w:line="176" w:lineRule="exact"/>
              <w:rPr>
                <w:sz w:val="20"/>
                <w:szCs w:val="20"/>
                <w:color w:val="auto"/>
              </w:rPr>
            </w:pPr>
            <w:r>
              <w:rPr>
                <w:rFonts w:ascii="Arial" w:cs="Arial" w:eastAsia="Arial" w:hAnsi="Arial"/>
                <w:sz w:val="14"/>
                <w:szCs w:val="14"/>
                <w:b w:val="1"/>
                <w:bCs w:val="1"/>
                <w:color w:val="FFFFFF"/>
                <w:w w:val="97"/>
              </w:rPr>
              <w:t>Last FY</w:t>
            </w:r>
            <w:r>
              <w:rPr>
                <w:rFonts w:ascii="Arial" w:cs="Arial" w:eastAsia="Arial" w:hAnsi="Arial"/>
                <w:sz w:val="18"/>
                <w:szCs w:val="18"/>
                <w:b w:val="1"/>
                <w:bCs w:val="1"/>
                <w:color w:val="FFFFFF"/>
                <w:w w:val="97"/>
                <w:vertAlign w:val="superscript"/>
              </w:rPr>
              <w:t>3</w:t>
            </w:r>
          </w:p>
        </w:tc>
        <w:tc>
          <w:tcPr>
            <w:tcW w:w="1200" w:type="dxa"/>
            <w:vAlign w:val="bottom"/>
            <w:shd w:val="clear" w:color="auto" w:fill="BF2115"/>
          </w:tcPr>
          <w:p>
            <w:pPr>
              <w:jc w:val="center"/>
              <w:ind w:left="9"/>
              <w:spacing w:after="0"/>
              <w:rPr>
                <w:sz w:val="20"/>
                <w:szCs w:val="20"/>
                <w:color w:val="auto"/>
              </w:rPr>
            </w:pPr>
            <w:r>
              <w:rPr>
                <w:rFonts w:ascii="Arial" w:cs="Arial" w:eastAsia="Arial" w:hAnsi="Arial"/>
                <w:sz w:val="14"/>
                <w:szCs w:val="14"/>
                <w:b w:val="1"/>
                <w:bCs w:val="1"/>
                <w:color w:val="FFFFFF"/>
              </w:rPr>
              <w:t>Distributions</w:t>
            </w:r>
          </w:p>
        </w:tc>
        <w:tc>
          <w:tcPr>
            <w:tcW w:w="440" w:type="dxa"/>
            <w:vAlign w:val="bottom"/>
            <w:shd w:val="clear" w:color="auto" w:fill="BF2115"/>
          </w:tcPr>
          <w:p>
            <w:pPr>
              <w:spacing w:after="0"/>
              <w:rPr>
                <w:sz w:val="15"/>
                <w:szCs w:val="15"/>
                <w:color w:val="auto"/>
              </w:rPr>
            </w:pPr>
          </w:p>
        </w:tc>
        <w:tc>
          <w:tcPr>
            <w:tcW w:w="1420" w:type="dxa"/>
            <w:vAlign w:val="bottom"/>
            <w:shd w:val="clear" w:color="auto" w:fill="BF2115"/>
          </w:tcPr>
          <w:p>
            <w:pPr>
              <w:jc w:val="center"/>
              <w:ind w:right="129"/>
              <w:spacing w:after="0" w:line="176" w:lineRule="exact"/>
              <w:rPr>
                <w:sz w:val="20"/>
                <w:szCs w:val="20"/>
                <w:color w:val="auto"/>
              </w:rPr>
            </w:pPr>
            <w:r>
              <w:rPr>
                <w:rFonts w:ascii="Arial" w:cs="Arial" w:eastAsia="Arial" w:hAnsi="Arial"/>
                <w:sz w:val="14"/>
                <w:szCs w:val="14"/>
                <w:b w:val="1"/>
                <w:bCs w:val="1"/>
                <w:color w:val="FFFFFF"/>
                <w:w w:val="99"/>
              </w:rPr>
              <w:t>Last FYE</w:t>
            </w:r>
            <w:r>
              <w:rPr>
                <w:rFonts w:ascii="Arial" w:cs="Arial" w:eastAsia="Arial" w:hAnsi="Arial"/>
                <w:sz w:val="18"/>
                <w:szCs w:val="18"/>
                <w:b w:val="1"/>
                <w:bCs w:val="1"/>
                <w:color w:val="FFFFFF"/>
                <w:w w:val="99"/>
                <w:vertAlign w:val="superscript"/>
              </w:rPr>
              <w:t>4</w:t>
            </w:r>
          </w:p>
        </w:tc>
      </w:tr>
      <w:tr>
        <w:trPr>
          <w:trHeight w:val="209"/>
        </w:trPr>
        <w:tc>
          <w:tcPr>
            <w:tcW w:w="2520" w:type="dxa"/>
            <w:vAlign w:val="bottom"/>
            <w:shd w:val="clear" w:color="auto" w:fill="BF2115"/>
          </w:tcPr>
          <w:p>
            <w:pPr>
              <w:spacing w:after="0"/>
              <w:rPr>
                <w:sz w:val="18"/>
                <w:szCs w:val="18"/>
                <w:color w:val="auto"/>
              </w:rPr>
            </w:pPr>
          </w:p>
        </w:tc>
        <w:tc>
          <w:tcPr>
            <w:tcW w:w="16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3"/>
              </w:rPr>
              <w:t>($)</w:t>
            </w:r>
          </w:p>
        </w:tc>
        <w:tc>
          <w:tcPr>
            <w:tcW w:w="18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t>
            </w:r>
          </w:p>
        </w:tc>
        <w:tc>
          <w:tcPr>
            <w:tcW w:w="1540" w:type="dxa"/>
            <w:vAlign w:val="bottom"/>
            <w:shd w:val="clear" w:color="auto" w:fill="BF2115"/>
          </w:tcPr>
          <w:p>
            <w:pPr>
              <w:jc w:val="center"/>
              <w:ind w:right="89"/>
              <w:spacing w:after="0"/>
              <w:rPr>
                <w:sz w:val="20"/>
                <w:szCs w:val="20"/>
                <w:color w:val="auto"/>
              </w:rPr>
            </w:pPr>
            <w:r>
              <w:rPr>
                <w:rFonts w:ascii="Arial" w:cs="Arial" w:eastAsia="Arial" w:hAnsi="Arial"/>
                <w:sz w:val="14"/>
                <w:szCs w:val="14"/>
                <w:b w:val="1"/>
                <w:bCs w:val="1"/>
                <w:color w:val="FFFFFF"/>
              </w:rPr>
              <w:t>($)</w:t>
            </w:r>
          </w:p>
        </w:tc>
        <w:tc>
          <w:tcPr>
            <w:tcW w:w="120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t>
            </w:r>
          </w:p>
        </w:tc>
        <w:tc>
          <w:tcPr>
            <w:tcW w:w="440" w:type="dxa"/>
            <w:vAlign w:val="bottom"/>
            <w:shd w:val="clear" w:color="auto" w:fill="BF2115"/>
          </w:tcPr>
          <w:p>
            <w:pPr>
              <w:spacing w:after="0"/>
              <w:rPr>
                <w:sz w:val="18"/>
                <w:szCs w:val="18"/>
                <w:color w:val="auto"/>
              </w:rPr>
            </w:pPr>
          </w:p>
        </w:tc>
        <w:tc>
          <w:tcPr>
            <w:tcW w:w="142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w w:val="93"/>
              </w:rPr>
              <w:t>($)</w:t>
            </w:r>
          </w:p>
        </w:tc>
      </w:tr>
      <w:tr>
        <w:trPr>
          <w:trHeight w:val="206"/>
        </w:trPr>
        <w:tc>
          <w:tcPr>
            <w:tcW w:w="2520" w:type="dxa"/>
            <w:vAlign w:val="bottom"/>
          </w:tcPr>
          <w:p>
            <w:pPr>
              <w:ind w:left="20"/>
              <w:spacing w:after="0"/>
              <w:rPr>
                <w:sz w:val="20"/>
                <w:szCs w:val="20"/>
                <w:color w:val="auto"/>
              </w:rPr>
            </w:pPr>
            <w:r>
              <w:rPr>
                <w:rFonts w:ascii="Arial" w:cs="Arial" w:eastAsia="Arial" w:hAnsi="Arial"/>
                <w:sz w:val="14"/>
                <w:szCs w:val="14"/>
                <w:color w:val="auto"/>
              </w:rPr>
              <w:t>Richard M. Olson</w:t>
            </w:r>
          </w:p>
        </w:tc>
        <w:tc>
          <w:tcPr>
            <w:tcW w:w="16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3"/>
        </w:trPr>
        <w:tc>
          <w:tcPr>
            <w:tcW w:w="2520" w:type="dxa"/>
            <w:vAlign w:val="bottom"/>
          </w:tcPr>
          <w:p>
            <w:pPr>
              <w:ind w:left="200"/>
              <w:spacing w:after="0"/>
              <w:rPr>
                <w:sz w:val="20"/>
                <w:szCs w:val="20"/>
                <w:color w:val="auto"/>
              </w:rPr>
            </w:pPr>
            <w:r>
              <w:rPr>
                <w:rFonts w:ascii="Arial" w:cs="Arial" w:eastAsia="Arial" w:hAnsi="Arial"/>
                <w:sz w:val="14"/>
                <w:szCs w:val="14"/>
                <w:color w:val="auto"/>
              </w:rPr>
              <w:t>Deferred Plan</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c>
          <w:tcPr>
            <w:tcW w:w="1840" w:type="dxa"/>
            <w:vAlign w:val="bottom"/>
          </w:tcPr>
          <w:p>
            <w:pPr>
              <w:jc w:val="right"/>
              <w:spacing w:after="0"/>
              <w:rPr>
                <w:sz w:val="20"/>
                <w:szCs w:val="20"/>
                <w:color w:val="auto"/>
              </w:rPr>
            </w:pPr>
            <w:r>
              <w:rPr>
                <w:rFonts w:ascii="Arial" w:cs="Arial" w:eastAsia="Arial" w:hAnsi="Arial"/>
                <w:sz w:val="14"/>
                <w:szCs w:val="14"/>
                <w:color w:val="auto"/>
              </w:rPr>
              <w:t>0</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337,532</w:t>
            </w:r>
          </w:p>
        </w:tc>
        <w:tc>
          <w:tcPr>
            <w:tcW w:w="1200" w:type="dxa"/>
            <w:vAlign w:val="bottom"/>
          </w:tcPr>
          <w:p>
            <w:pPr>
              <w:spacing w:after="0"/>
              <w:rPr>
                <w:sz w:val="18"/>
                <w:szCs w:val="18"/>
                <w:color w:val="auto"/>
              </w:rPr>
            </w:pPr>
          </w:p>
        </w:tc>
        <w:tc>
          <w:tcPr>
            <w:tcW w:w="44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2,468,191</w:t>
            </w:r>
          </w:p>
        </w:tc>
      </w:tr>
      <w:tr>
        <w:trPr>
          <w:trHeight w:val="213"/>
        </w:trPr>
        <w:tc>
          <w:tcPr>
            <w:tcW w:w="2520" w:type="dxa"/>
            <w:vAlign w:val="bottom"/>
          </w:tcPr>
          <w:p>
            <w:pPr>
              <w:ind w:left="200"/>
              <w:spacing w:after="0"/>
              <w:rPr>
                <w:sz w:val="20"/>
                <w:szCs w:val="20"/>
                <w:color w:val="auto"/>
              </w:rPr>
            </w:pPr>
            <w:r>
              <w:rPr>
                <w:rFonts w:ascii="Arial" w:cs="Arial" w:eastAsia="Arial" w:hAnsi="Arial"/>
                <w:sz w:val="14"/>
                <w:szCs w:val="14"/>
                <w:color w:val="auto"/>
              </w:rPr>
              <w:t>Deferred Plan for Officers</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c>
          <w:tcPr>
            <w:tcW w:w="1840" w:type="dxa"/>
            <w:vAlign w:val="bottom"/>
          </w:tcPr>
          <w:p>
            <w:pPr>
              <w:jc w:val="right"/>
              <w:spacing w:after="0"/>
              <w:rPr>
                <w:sz w:val="20"/>
                <w:szCs w:val="20"/>
                <w:color w:val="auto"/>
              </w:rPr>
            </w:pPr>
            <w:r>
              <w:rPr>
                <w:rFonts w:ascii="Arial" w:cs="Arial" w:eastAsia="Arial" w:hAnsi="Arial"/>
                <w:sz w:val="14"/>
                <w:szCs w:val="14"/>
                <w:color w:val="auto"/>
              </w:rPr>
              <w:t>0</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(701,844)</w:t>
            </w:r>
          </w:p>
        </w:tc>
        <w:tc>
          <w:tcPr>
            <w:tcW w:w="1200" w:type="dxa"/>
            <w:vAlign w:val="bottom"/>
          </w:tcPr>
          <w:p>
            <w:pPr>
              <w:spacing w:after="0"/>
              <w:rPr>
                <w:sz w:val="18"/>
                <w:szCs w:val="18"/>
                <w:color w:val="auto"/>
              </w:rPr>
            </w:pPr>
          </w:p>
        </w:tc>
        <w:tc>
          <w:tcPr>
            <w:tcW w:w="44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12,714,910</w:t>
            </w:r>
          </w:p>
        </w:tc>
      </w:tr>
      <w:tr>
        <w:trPr>
          <w:trHeight w:val="217"/>
        </w:trPr>
        <w:tc>
          <w:tcPr>
            <w:tcW w:w="2520" w:type="dxa"/>
            <w:vAlign w:val="bottom"/>
          </w:tcPr>
          <w:p>
            <w:pPr>
              <w:ind w:left="200"/>
              <w:spacing w:after="0"/>
              <w:rPr>
                <w:sz w:val="20"/>
                <w:szCs w:val="20"/>
                <w:color w:val="auto"/>
              </w:rPr>
            </w:pPr>
            <w:r>
              <w:rPr>
                <w:rFonts w:ascii="Arial" w:cs="Arial" w:eastAsia="Arial" w:hAnsi="Arial"/>
                <w:sz w:val="14"/>
                <w:szCs w:val="14"/>
                <w:color w:val="auto"/>
              </w:rPr>
              <w:t>Supplemental Benefit Plan</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c>
          <w:tcPr>
            <w:tcW w:w="1840" w:type="dxa"/>
            <w:vAlign w:val="bottom"/>
          </w:tcPr>
          <w:p>
            <w:pPr>
              <w:jc w:val="right"/>
              <w:spacing w:after="0"/>
              <w:rPr>
                <w:sz w:val="20"/>
                <w:szCs w:val="20"/>
                <w:color w:val="auto"/>
              </w:rPr>
            </w:pPr>
            <w:r>
              <w:rPr>
                <w:rFonts w:ascii="Arial" w:cs="Arial" w:eastAsia="Arial" w:hAnsi="Arial"/>
                <w:sz w:val="14"/>
                <w:szCs w:val="14"/>
                <w:color w:val="auto"/>
              </w:rPr>
              <w:t>196,708</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274,230</w:t>
            </w:r>
          </w:p>
        </w:tc>
        <w:tc>
          <w:tcPr>
            <w:tcW w:w="1200" w:type="dxa"/>
            <w:vAlign w:val="bottom"/>
          </w:tcPr>
          <w:p>
            <w:pPr>
              <w:spacing w:after="0"/>
              <w:rPr>
                <w:sz w:val="18"/>
                <w:szCs w:val="18"/>
                <w:color w:val="auto"/>
              </w:rPr>
            </w:pPr>
          </w:p>
        </w:tc>
        <w:tc>
          <w:tcPr>
            <w:tcW w:w="44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2,207,231</w:t>
            </w:r>
          </w:p>
        </w:tc>
      </w:tr>
      <w:tr>
        <w:trPr>
          <w:trHeight w:val="210"/>
        </w:trPr>
        <w:tc>
          <w:tcPr>
            <w:tcW w:w="2520" w:type="dxa"/>
            <w:vAlign w:val="bottom"/>
            <w:shd w:val="clear" w:color="auto" w:fill="DBDBDB"/>
          </w:tcPr>
          <w:p>
            <w:pPr>
              <w:ind w:left="20"/>
              <w:spacing w:after="0"/>
              <w:rPr>
                <w:sz w:val="20"/>
                <w:szCs w:val="20"/>
                <w:color w:val="auto"/>
              </w:rPr>
            </w:pPr>
            <w:r>
              <w:rPr>
                <w:rFonts w:ascii="Arial" w:cs="Arial" w:eastAsia="Arial" w:hAnsi="Arial"/>
                <w:sz w:val="14"/>
                <w:szCs w:val="14"/>
                <w:color w:val="auto"/>
              </w:rPr>
              <w:t>Angela C. Drake</w:t>
            </w:r>
          </w:p>
        </w:tc>
        <w:tc>
          <w:tcPr>
            <w:tcW w:w="1620" w:type="dxa"/>
            <w:vAlign w:val="bottom"/>
            <w:shd w:val="clear" w:color="auto" w:fill="DBDBDB"/>
          </w:tcPr>
          <w:p>
            <w:pPr>
              <w:spacing w:after="0"/>
              <w:rPr>
                <w:sz w:val="18"/>
                <w:szCs w:val="18"/>
                <w:color w:val="auto"/>
              </w:rPr>
            </w:pPr>
          </w:p>
        </w:tc>
        <w:tc>
          <w:tcPr>
            <w:tcW w:w="1840" w:type="dxa"/>
            <w:vAlign w:val="bottom"/>
            <w:shd w:val="clear" w:color="auto" w:fill="DBDBDB"/>
          </w:tcPr>
          <w:p>
            <w:pPr>
              <w:spacing w:after="0"/>
              <w:rPr>
                <w:sz w:val="18"/>
                <w:szCs w:val="18"/>
                <w:color w:val="auto"/>
              </w:rPr>
            </w:pPr>
          </w:p>
        </w:tc>
        <w:tc>
          <w:tcPr>
            <w:tcW w:w="154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r>
      <w:tr>
        <w:trPr>
          <w:trHeight w:val="213"/>
        </w:trPr>
        <w:tc>
          <w:tcPr>
            <w:tcW w:w="2520" w:type="dxa"/>
            <w:vAlign w:val="bottom"/>
            <w:shd w:val="clear" w:color="auto" w:fill="DBDBDB"/>
          </w:tcPr>
          <w:p>
            <w:pPr>
              <w:ind w:left="200"/>
              <w:spacing w:after="0"/>
              <w:rPr>
                <w:sz w:val="20"/>
                <w:szCs w:val="20"/>
                <w:color w:val="auto"/>
              </w:rPr>
            </w:pPr>
            <w:r>
              <w:rPr>
                <w:rFonts w:ascii="Arial" w:cs="Arial" w:eastAsia="Arial" w:hAnsi="Arial"/>
                <w:sz w:val="14"/>
                <w:szCs w:val="14"/>
                <w:color w:val="auto"/>
              </w:rPr>
              <w:t>Deferred Plan</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54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93,829</w:t>
            </w:r>
          </w:p>
        </w:tc>
        <w:tc>
          <w:tcPr>
            <w:tcW w:w="1200" w:type="dxa"/>
            <w:vAlign w:val="bottom"/>
            <w:shd w:val="clear" w:color="auto" w:fill="DBDBDB"/>
          </w:tcPr>
          <w:p>
            <w:pPr>
              <w:spacing w:after="0"/>
              <w:rPr>
                <w:sz w:val="18"/>
                <w:szCs w:val="18"/>
                <w:color w:val="auto"/>
              </w:rPr>
            </w:pPr>
          </w:p>
        </w:tc>
        <w:tc>
          <w:tcPr>
            <w:tcW w:w="440" w:type="dxa"/>
            <w:vAlign w:val="bottom"/>
            <w:shd w:val="clear" w:color="auto" w:fill="DBDBDB"/>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603,766</w:t>
            </w:r>
          </w:p>
        </w:tc>
      </w:tr>
      <w:tr>
        <w:trPr>
          <w:trHeight w:val="213"/>
        </w:trPr>
        <w:tc>
          <w:tcPr>
            <w:tcW w:w="2520" w:type="dxa"/>
            <w:vAlign w:val="bottom"/>
            <w:shd w:val="clear" w:color="auto" w:fill="DBDBDB"/>
          </w:tcPr>
          <w:p>
            <w:pPr>
              <w:ind w:left="200"/>
              <w:spacing w:after="0"/>
              <w:rPr>
                <w:sz w:val="20"/>
                <w:szCs w:val="20"/>
                <w:color w:val="auto"/>
              </w:rPr>
            </w:pPr>
            <w:r>
              <w:rPr>
                <w:rFonts w:ascii="Arial" w:cs="Arial" w:eastAsia="Arial" w:hAnsi="Arial"/>
                <w:sz w:val="14"/>
                <w:szCs w:val="14"/>
                <w:color w:val="auto"/>
              </w:rPr>
              <w:t>Deferred Plan for Officers</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54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(3,113)</w:t>
            </w:r>
          </w:p>
        </w:tc>
        <w:tc>
          <w:tcPr>
            <w:tcW w:w="1200" w:type="dxa"/>
            <w:vAlign w:val="bottom"/>
            <w:shd w:val="clear" w:color="auto" w:fill="DBDBDB"/>
          </w:tcPr>
          <w:p>
            <w:pPr>
              <w:spacing w:after="0"/>
              <w:rPr>
                <w:sz w:val="18"/>
                <w:szCs w:val="18"/>
                <w:color w:val="auto"/>
              </w:rPr>
            </w:pPr>
          </w:p>
        </w:tc>
        <w:tc>
          <w:tcPr>
            <w:tcW w:w="440" w:type="dxa"/>
            <w:vAlign w:val="bottom"/>
            <w:shd w:val="clear" w:color="auto" w:fill="DBDBDB"/>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56,404</w:t>
            </w:r>
          </w:p>
        </w:tc>
      </w:tr>
      <w:tr>
        <w:trPr>
          <w:trHeight w:val="221"/>
        </w:trPr>
        <w:tc>
          <w:tcPr>
            <w:tcW w:w="2520" w:type="dxa"/>
            <w:vAlign w:val="bottom"/>
            <w:shd w:val="clear" w:color="auto" w:fill="DBDBDB"/>
          </w:tcPr>
          <w:p>
            <w:pPr>
              <w:ind w:left="200"/>
              <w:spacing w:after="0"/>
              <w:rPr>
                <w:sz w:val="20"/>
                <w:szCs w:val="20"/>
                <w:color w:val="auto"/>
              </w:rPr>
            </w:pPr>
            <w:r>
              <w:rPr>
                <w:rFonts w:ascii="Arial" w:cs="Arial" w:eastAsia="Arial" w:hAnsi="Arial"/>
                <w:sz w:val="14"/>
                <w:szCs w:val="14"/>
                <w:color w:val="auto"/>
              </w:rPr>
              <w:t>Supplemental Benefit Plan</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54,323</w:t>
            </w:r>
          </w:p>
        </w:tc>
        <w:tc>
          <w:tcPr>
            <w:tcW w:w="154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21,443</w:t>
            </w:r>
          </w:p>
        </w:tc>
        <w:tc>
          <w:tcPr>
            <w:tcW w:w="1200" w:type="dxa"/>
            <w:vAlign w:val="bottom"/>
            <w:shd w:val="clear" w:color="auto" w:fill="DBDBDB"/>
          </w:tcPr>
          <w:p>
            <w:pPr>
              <w:spacing w:after="0"/>
              <w:rPr>
                <w:sz w:val="19"/>
                <w:szCs w:val="19"/>
                <w:color w:val="auto"/>
              </w:rPr>
            </w:pPr>
          </w:p>
        </w:tc>
        <w:tc>
          <w:tcPr>
            <w:tcW w:w="440" w:type="dxa"/>
            <w:vAlign w:val="bottom"/>
            <w:shd w:val="clear" w:color="auto" w:fill="DBDBDB"/>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202,524</w:t>
            </w:r>
          </w:p>
        </w:tc>
      </w:tr>
      <w:tr>
        <w:trPr>
          <w:trHeight w:val="206"/>
        </w:trPr>
        <w:tc>
          <w:tcPr>
            <w:tcW w:w="2520" w:type="dxa"/>
            <w:vAlign w:val="bottom"/>
          </w:tcPr>
          <w:p>
            <w:pPr>
              <w:ind w:left="20"/>
              <w:spacing w:after="0"/>
              <w:rPr>
                <w:sz w:val="20"/>
                <w:szCs w:val="20"/>
                <w:color w:val="auto"/>
              </w:rPr>
            </w:pPr>
            <w:r>
              <w:rPr>
                <w:rFonts w:ascii="Arial" w:cs="Arial" w:eastAsia="Arial" w:hAnsi="Arial"/>
                <w:sz w:val="14"/>
                <w:szCs w:val="14"/>
                <w:color w:val="auto"/>
              </w:rPr>
              <w:t>Edric C. Funk</w:t>
            </w:r>
          </w:p>
        </w:tc>
        <w:tc>
          <w:tcPr>
            <w:tcW w:w="16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3"/>
        </w:trPr>
        <w:tc>
          <w:tcPr>
            <w:tcW w:w="2520" w:type="dxa"/>
            <w:vAlign w:val="bottom"/>
          </w:tcPr>
          <w:p>
            <w:pPr>
              <w:ind w:left="200"/>
              <w:spacing w:after="0"/>
              <w:rPr>
                <w:sz w:val="20"/>
                <w:szCs w:val="20"/>
                <w:color w:val="auto"/>
              </w:rPr>
            </w:pPr>
            <w:r>
              <w:rPr>
                <w:rFonts w:ascii="Arial" w:cs="Arial" w:eastAsia="Arial" w:hAnsi="Arial"/>
                <w:sz w:val="14"/>
                <w:szCs w:val="14"/>
                <w:color w:val="auto"/>
              </w:rPr>
              <w:t>Deferred Plan</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c>
          <w:tcPr>
            <w:tcW w:w="1840" w:type="dxa"/>
            <w:vAlign w:val="bottom"/>
          </w:tcPr>
          <w:p>
            <w:pPr>
              <w:jc w:val="right"/>
              <w:spacing w:after="0"/>
              <w:rPr>
                <w:sz w:val="20"/>
                <w:szCs w:val="20"/>
                <w:color w:val="auto"/>
              </w:rPr>
            </w:pPr>
            <w:r>
              <w:rPr>
                <w:rFonts w:ascii="Arial" w:cs="Arial" w:eastAsia="Arial" w:hAnsi="Arial"/>
                <w:sz w:val="14"/>
                <w:szCs w:val="14"/>
                <w:color w:val="auto"/>
              </w:rPr>
              <w:t>0</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33,640</w:t>
            </w:r>
          </w:p>
        </w:tc>
        <w:tc>
          <w:tcPr>
            <w:tcW w:w="1200" w:type="dxa"/>
            <w:vAlign w:val="bottom"/>
          </w:tcPr>
          <w:p>
            <w:pPr>
              <w:spacing w:after="0"/>
              <w:rPr>
                <w:sz w:val="18"/>
                <w:szCs w:val="18"/>
                <w:color w:val="auto"/>
              </w:rPr>
            </w:pPr>
          </w:p>
        </w:tc>
        <w:tc>
          <w:tcPr>
            <w:tcW w:w="44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238,577</w:t>
            </w:r>
          </w:p>
        </w:tc>
      </w:tr>
      <w:tr>
        <w:trPr>
          <w:trHeight w:val="213"/>
        </w:trPr>
        <w:tc>
          <w:tcPr>
            <w:tcW w:w="2520" w:type="dxa"/>
            <w:vAlign w:val="bottom"/>
          </w:tcPr>
          <w:p>
            <w:pPr>
              <w:ind w:left="200"/>
              <w:spacing w:after="0"/>
              <w:rPr>
                <w:sz w:val="20"/>
                <w:szCs w:val="20"/>
                <w:color w:val="auto"/>
              </w:rPr>
            </w:pPr>
            <w:r>
              <w:rPr>
                <w:rFonts w:ascii="Arial" w:cs="Arial" w:eastAsia="Arial" w:hAnsi="Arial"/>
                <w:sz w:val="14"/>
                <w:szCs w:val="14"/>
                <w:color w:val="auto"/>
              </w:rPr>
              <w:t>Deferred Plan for Officers</w:t>
            </w:r>
          </w:p>
        </w:tc>
        <w:tc>
          <w:tcPr>
            <w:tcW w:w="1620" w:type="dxa"/>
            <w:vAlign w:val="bottom"/>
          </w:tcPr>
          <w:p>
            <w:pPr>
              <w:jc w:val="right"/>
              <w:spacing w:after="0"/>
              <w:rPr>
                <w:sz w:val="20"/>
                <w:szCs w:val="20"/>
                <w:color w:val="auto"/>
              </w:rPr>
            </w:pPr>
            <w:r>
              <w:rPr>
                <w:rFonts w:ascii="Arial" w:cs="Arial" w:eastAsia="Arial" w:hAnsi="Arial"/>
                <w:sz w:val="14"/>
                <w:szCs w:val="14"/>
                <w:color w:val="auto"/>
              </w:rPr>
              <w:t>49,947</w:t>
            </w:r>
          </w:p>
        </w:tc>
        <w:tc>
          <w:tcPr>
            <w:tcW w:w="1840" w:type="dxa"/>
            <w:vAlign w:val="bottom"/>
          </w:tcPr>
          <w:p>
            <w:pPr>
              <w:jc w:val="right"/>
              <w:spacing w:after="0"/>
              <w:rPr>
                <w:sz w:val="20"/>
                <w:szCs w:val="20"/>
                <w:color w:val="auto"/>
              </w:rPr>
            </w:pPr>
            <w:r>
              <w:rPr>
                <w:rFonts w:ascii="Arial" w:cs="Arial" w:eastAsia="Arial" w:hAnsi="Arial"/>
                <w:sz w:val="14"/>
                <w:szCs w:val="14"/>
                <w:color w:val="auto"/>
              </w:rPr>
              <w:t>0</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(6,473)</w:t>
            </w:r>
          </w:p>
        </w:tc>
        <w:tc>
          <w:tcPr>
            <w:tcW w:w="1200" w:type="dxa"/>
            <w:vAlign w:val="bottom"/>
          </w:tcPr>
          <w:p>
            <w:pPr>
              <w:spacing w:after="0"/>
              <w:rPr>
                <w:sz w:val="18"/>
                <w:szCs w:val="18"/>
                <w:color w:val="auto"/>
              </w:rPr>
            </w:pPr>
          </w:p>
        </w:tc>
        <w:tc>
          <w:tcPr>
            <w:tcW w:w="44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160,482</w:t>
            </w:r>
          </w:p>
        </w:tc>
      </w:tr>
      <w:tr>
        <w:trPr>
          <w:trHeight w:val="217"/>
        </w:trPr>
        <w:tc>
          <w:tcPr>
            <w:tcW w:w="2520" w:type="dxa"/>
            <w:vAlign w:val="bottom"/>
          </w:tcPr>
          <w:p>
            <w:pPr>
              <w:ind w:left="200"/>
              <w:spacing w:after="0"/>
              <w:rPr>
                <w:sz w:val="20"/>
                <w:szCs w:val="20"/>
                <w:color w:val="auto"/>
              </w:rPr>
            </w:pPr>
            <w:r>
              <w:rPr>
                <w:rFonts w:ascii="Arial" w:cs="Arial" w:eastAsia="Arial" w:hAnsi="Arial"/>
                <w:sz w:val="14"/>
                <w:szCs w:val="14"/>
                <w:color w:val="auto"/>
              </w:rPr>
              <w:t>Supplemental Benefit Plan</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c>
          <w:tcPr>
            <w:tcW w:w="1840" w:type="dxa"/>
            <w:vAlign w:val="bottom"/>
          </w:tcPr>
          <w:p>
            <w:pPr>
              <w:jc w:val="right"/>
              <w:spacing w:after="0"/>
              <w:rPr>
                <w:sz w:val="20"/>
                <w:szCs w:val="20"/>
                <w:color w:val="auto"/>
              </w:rPr>
            </w:pPr>
            <w:r>
              <w:rPr>
                <w:rFonts w:ascii="Arial" w:cs="Arial" w:eastAsia="Arial" w:hAnsi="Arial"/>
                <w:sz w:val="14"/>
                <w:szCs w:val="14"/>
                <w:color w:val="auto"/>
              </w:rPr>
              <w:t>50,372</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8,065</w:t>
            </w:r>
          </w:p>
        </w:tc>
        <w:tc>
          <w:tcPr>
            <w:tcW w:w="1200" w:type="dxa"/>
            <w:vAlign w:val="bottom"/>
          </w:tcPr>
          <w:p>
            <w:pPr>
              <w:spacing w:after="0"/>
              <w:rPr>
                <w:sz w:val="18"/>
                <w:szCs w:val="18"/>
                <w:color w:val="auto"/>
              </w:rPr>
            </w:pPr>
          </w:p>
        </w:tc>
        <w:tc>
          <w:tcPr>
            <w:tcW w:w="44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108,370</w:t>
            </w:r>
          </w:p>
        </w:tc>
      </w:tr>
      <w:tr>
        <w:trPr>
          <w:trHeight w:val="210"/>
        </w:trPr>
        <w:tc>
          <w:tcPr>
            <w:tcW w:w="2520" w:type="dxa"/>
            <w:vAlign w:val="bottom"/>
            <w:shd w:val="clear" w:color="auto" w:fill="DBDBDB"/>
          </w:tcPr>
          <w:p>
            <w:pPr>
              <w:ind w:left="20"/>
              <w:spacing w:after="0"/>
              <w:rPr>
                <w:sz w:val="20"/>
                <w:szCs w:val="20"/>
                <w:color w:val="auto"/>
              </w:rPr>
            </w:pPr>
            <w:r>
              <w:rPr>
                <w:rFonts w:ascii="Arial" w:cs="Arial" w:eastAsia="Arial" w:hAnsi="Arial"/>
                <w:sz w:val="14"/>
                <w:szCs w:val="14"/>
                <w:color w:val="auto"/>
              </w:rPr>
              <w:t>Peter D. Moeller</w:t>
            </w:r>
          </w:p>
        </w:tc>
        <w:tc>
          <w:tcPr>
            <w:tcW w:w="1620" w:type="dxa"/>
            <w:vAlign w:val="bottom"/>
            <w:shd w:val="clear" w:color="auto" w:fill="DBDBDB"/>
          </w:tcPr>
          <w:p>
            <w:pPr>
              <w:spacing w:after="0"/>
              <w:rPr>
                <w:sz w:val="18"/>
                <w:szCs w:val="18"/>
                <w:color w:val="auto"/>
              </w:rPr>
            </w:pPr>
          </w:p>
        </w:tc>
        <w:tc>
          <w:tcPr>
            <w:tcW w:w="1840" w:type="dxa"/>
            <w:vAlign w:val="bottom"/>
            <w:shd w:val="clear" w:color="auto" w:fill="DBDBDB"/>
          </w:tcPr>
          <w:p>
            <w:pPr>
              <w:spacing w:after="0"/>
              <w:rPr>
                <w:sz w:val="18"/>
                <w:szCs w:val="18"/>
                <w:color w:val="auto"/>
              </w:rPr>
            </w:pPr>
          </w:p>
        </w:tc>
        <w:tc>
          <w:tcPr>
            <w:tcW w:w="154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r>
      <w:tr>
        <w:trPr>
          <w:trHeight w:val="213"/>
        </w:trPr>
        <w:tc>
          <w:tcPr>
            <w:tcW w:w="2520" w:type="dxa"/>
            <w:vAlign w:val="bottom"/>
            <w:shd w:val="clear" w:color="auto" w:fill="DBDBDB"/>
          </w:tcPr>
          <w:p>
            <w:pPr>
              <w:ind w:left="180"/>
              <w:spacing w:after="0"/>
              <w:rPr>
                <w:sz w:val="20"/>
                <w:szCs w:val="20"/>
                <w:color w:val="auto"/>
              </w:rPr>
            </w:pPr>
            <w:r>
              <w:rPr>
                <w:rFonts w:ascii="Arial" w:cs="Arial" w:eastAsia="Arial" w:hAnsi="Arial"/>
                <w:sz w:val="14"/>
                <w:szCs w:val="14"/>
                <w:color w:val="auto"/>
              </w:rPr>
              <w:t>Deferred Plan</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82,671</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54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260,386</w:t>
            </w:r>
          </w:p>
        </w:tc>
        <w:tc>
          <w:tcPr>
            <w:tcW w:w="1200" w:type="dxa"/>
            <w:vAlign w:val="bottom"/>
            <w:shd w:val="clear" w:color="auto" w:fill="DBDBDB"/>
          </w:tcPr>
          <w:p>
            <w:pPr>
              <w:spacing w:after="0"/>
              <w:rPr>
                <w:sz w:val="18"/>
                <w:szCs w:val="18"/>
                <w:color w:val="auto"/>
              </w:rPr>
            </w:pPr>
          </w:p>
        </w:tc>
        <w:tc>
          <w:tcPr>
            <w:tcW w:w="440" w:type="dxa"/>
            <w:vAlign w:val="bottom"/>
            <w:shd w:val="clear" w:color="auto" w:fill="DBDBDB"/>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2,113,247</w:t>
            </w:r>
          </w:p>
        </w:tc>
      </w:tr>
      <w:tr>
        <w:trPr>
          <w:trHeight w:val="213"/>
        </w:trPr>
        <w:tc>
          <w:tcPr>
            <w:tcW w:w="2520" w:type="dxa"/>
            <w:vAlign w:val="bottom"/>
            <w:shd w:val="clear" w:color="auto" w:fill="DBDBDB"/>
          </w:tcPr>
          <w:p>
            <w:pPr>
              <w:ind w:left="180"/>
              <w:spacing w:after="0"/>
              <w:rPr>
                <w:sz w:val="20"/>
                <w:szCs w:val="20"/>
                <w:color w:val="auto"/>
              </w:rPr>
            </w:pPr>
            <w:r>
              <w:rPr>
                <w:rFonts w:ascii="Arial" w:cs="Arial" w:eastAsia="Arial" w:hAnsi="Arial"/>
                <w:sz w:val="14"/>
                <w:szCs w:val="14"/>
                <w:color w:val="auto"/>
              </w:rPr>
              <w:t>Deferred Plan for Officers</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33,861</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54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(12,156)</w:t>
            </w:r>
          </w:p>
        </w:tc>
        <w:tc>
          <w:tcPr>
            <w:tcW w:w="1200" w:type="dxa"/>
            <w:vAlign w:val="bottom"/>
            <w:shd w:val="clear" w:color="auto" w:fill="DBDBDB"/>
          </w:tcPr>
          <w:p>
            <w:pPr>
              <w:spacing w:after="0"/>
              <w:rPr>
                <w:sz w:val="18"/>
                <w:szCs w:val="18"/>
                <w:color w:val="auto"/>
              </w:rPr>
            </w:pPr>
          </w:p>
        </w:tc>
        <w:tc>
          <w:tcPr>
            <w:tcW w:w="440" w:type="dxa"/>
            <w:vAlign w:val="bottom"/>
            <w:shd w:val="clear" w:color="auto" w:fill="DBDBDB"/>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238,706</w:t>
            </w:r>
          </w:p>
        </w:tc>
      </w:tr>
      <w:tr>
        <w:trPr>
          <w:trHeight w:val="221"/>
        </w:trPr>
        <w:tc>
          <w:tcPr>
            <w:tcW w:w="2520" w:type="dxa"/>
            <w:vAlign w:val="bottom"/>
            <w:shd w:val="clear" w:color="auto" w:fill="DBDBDB"/>
          </w:tcPr>
          <w:p>
            <w:pPr>
              <w:ind w:left="180"/>
              <w:spacing w:after="0"/>
              <w:rPr>
                <w:sz w:val="20"/>
                <w:szCs w:val="20"/>
                <w:color w:val="auto"/>
              </w:rPr>
            </w:pPr>
            <w:r>
              <w:rPr>
                <w:rFonts w:ascii="Arial" w:cs="Arial" w:eastAsia="Arial" w:hAnsi="Arial"/>
                <w:sz w:val="14"/>
                <w:szCs w:val="14"/>
                <w:color w:val="auto"/>
              </w:rPr>
              <w:t>Supplemental Benefit Plan</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37,796</w:t>
            </w:r>
          </w:p>
        </w:tc>
        <w:tc>
          <w:tcPr>
            <w:tcW w:w="154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20,993</w:t>
            </w:r>
          </w:p>
        </w:tc>
        <w:tc>
          <w:tcPr>
            <w:tcW w:w="1200" w:type="dxa"/>
            <w:vAlign w:val="bottom"/>
            <w:shd w:val="clear" w:color="auto" w:fill="DBDBDB"/>
          </w:tcPr>
          <w:p>
            <w:pPr>
              <w:spacing w:after="0"/>
              <w:rPr>
                <w:sz w:val="19"/>
                <w:szCs w:val="19"/>
                <w:color w:val="auto"/>
              </w:rPr>
            </w:pPr>
          </w:p>
        </w:tc>
        <w:tc>
          <w:tcPr>
            <w:tcW w:w="440" w:type="dxa"/>
            <w:vAlign w:val="bottom"/>
            <w:shd w:val="clear" w:color="auto" w:fill="DBDBDB"/>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212,647</w:t>
            </w:r>
          </w:p>
        </w:tc>
      </w:tr>
      <w:tr>
        <w:trPr>
          <w:trHeight w:val="206"/>
        </w:trPr>
        <w:tc>
          <w:tcPr>
            <w:tcW w:w="2520" w:type="dxa"/>
            <w:vAlign w:val="bottom"/>
          </w:tcPr>
          <w:p>
            <w:pPr>
              <w:ind w:left="20"/>
              <w:spacing w:after="0"/>
              <w:rPr>
                <w:sz w:val="20"/>
                <w:szCs w:val="20"/>
                <w:color w:val="auto"/>
              </w:rPr>
            </w:pPr>
            <w:r>
              <w:rPr>
                <w:rFonts w:ascii="Arial" w:cs="Arial" w:eastAsia="Arial" w:hAnsi="Arial"/>
                <w:sz w:val="14"/>
                <w:szCs w:val="14"/>
                <w:color w:val="auto"/>
              </w:rPr>
              <w:t>Gregory S. Janey</w:t>
            </w:r>
          </w:p>
        </w:tc>
        <w:tc>
          <w:tcPr>
            <w:tcW w:w="16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3"/>
        </w:trPr>
        <w:tc>
          <w:tcPr>
            <w:tcW w:w="2520" w:type="dxa"/>
            <w:vAlign w:val="bottom"/>
          </w:tcPr>
          <w:p>
            <w:pPr>
              <w:ind w:left="200"/>
              <w:spacing w:after="0"/>
              <w:rPr>
                <w:sz w:val="20"/>
                <w:szCs w:val="20"/>
                <w:color w:val="auto"/>
              </w:rPr>
            </w:pPr>
            <w:r>
              <w:rPr>
                <w:rFonts w:ascii="Arial" w:cs="Arial" w:eastAsia="Arial" w:hAnsi="Arial"/>
                <w:sz w:val="14"/>
                <w:szCs w:val="14"/>
                <w:color w:val="auto"/>
              </w:rPr>
              <w:t>Deferred Plan</w:t>
            </w:r>
          </w:p>
        </w:tc>
        <w:tc>
          <w:tcPr>
            <w:tcW w:w="1620" w:type="dxa"/>
            <w:vAlign w:val="bottom"/>
          </w:tcPr>
          <w:p>
            <w:pPr>
              <w:jc w:val="right"/>
              <w:spacing w:after="0"/>
              <w:rPr>
                <w:sz w:val="20"/>
                <w:szCs w:val="20"/>
                <w:color w:val="auto"/>
              </w:rPr>
            </w:pPr>
            <w:r>
              <w:rPr>
                <w:rFonts w:ascii="Arial" w:cs="Arial" w:eastAsia="Arial" w:hAnsi="Arial"/>
                <w:sz w:val="14"/>
                <w:szCs w:val="14"/>
                <w:color w:val="auto"/>
              </w:rPr>
              <w:t>10,067</w:t>
            </w:r>
          </w:p>
        </w:tc>
        <w:tc>
          <w:tcPr>
            <w:tcW w:w="1840" w:type="dxa"/>
            <w:vAlign w:val="bottom"/>
          </w:tcPr>
          <w:p>
            <w:pPr>
              <w:jc w:val="right"/>
              <w:spacing w:after="0"/>
              <w:rPr>
                <w:sz w:val="20"/>
                <w:szCs w:val="20"/>
                <w:color w:val="auto"/>
              </w:rPr>
            </w:pPr>
            <w:r>
              <w:rPr>
                <w:rFonts w:ascii="Arial" w:cs="Arial" w:eastAsia="Arial" w:hAnsi="Arial"/>
                <w:sz w:val="14"/>
                <w:szCs w:val="14"/>
                <w:color w:val="auto"/>
              </w:rPr>
              <w:t>0</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83,011</w:t>
            </w:r>
          </w:p>
        </w:tc>
        <w:tc>
          <w:tcPr>
            <w:tcW w:w="1200" w:type="dxa"/>
            <w:vAlign w:val="bottom"/>
          </w:tcPr>
          <w:p>
            <w:pPr>
              <w:spacing w:after="0"/>
              <w:rPr>
                <w:sz w:val="18"/>
                <w:szCs w:val="18"/>
                <w:color w:val="auto"/>
              </w:rPr>
            </w:pPr>
          </w:p>
        </w:tc>
        <w:tc>
          <w:tcPr>
            <w:tcW w:w="44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421,794</w:t>
            </w:r>
          </w:p>
        </w:tc>
      </w:tr>
      <w:tr>
        <w:trPr>
          <w:trHeight w:val="213"/>
        </w:trPr>
        <w:tc>
          <w:tcPr>
            <w:tcW w:w="2520" w:type="dxa"/>
            <w:vAlign w:val="bottom"/>
          </w:tcPr>
          <w:p>
            <w:pPr>
              <w:ind w:left="200"/>
              <w:spacing w:after="0"/>
              <w:rPr>
                <w:sz w:val="20"/>
                <w:szCs w:val="20"/>
                <w:color w:val="auto"/>
              </w:rPr>
            </w:pPr>
            <w:r>
              <w:rPr>
                <w:rFonts w:ascii="Arial" w:cs="Arial" w:eastAsia="Arial" w:hAnsi="Arial"/>
                <w:sz w:val="14"/>
                <w:szCs w:val="14"/>
                <w:color w:val="auto"/>
              </w:rPr>
              <w:t>Deferred Plan for Officers</w:t>
            </w:r>
          </w:p>
        </w:tc>
        <w:tc>
          <w:tcPr>
            <w:tcW w:w="1620" w:type="dxa"/>
            <w:vAlign w:val="bottom"/>
          </w:tcPr>
          <w:p>
            <w:pPr>
              <w:jc w:val="right"/>
              <w:spacing w:after="0"/>
              <w:rPr>
                <w:sz w:val="20"/>
                <w:szCs w:val="20"/>
                <w:color w:val="auto"/>
              </w:rPr>
            </w:pPr>
            <w:r>
              <w:rPr>
                <w:rFonts w:ascii="Arial" w:cs="Arial" w:eastAsia="Arial" w:hAnsi="Arial"/>
                <w:sz w:val="14"/>
                <w:szCs w:val="14"/>
                <w:color w:val="auto"/>
              </w:rPr>
              <w:t>58,874</w:t>
            </w:r>
          </w:p>
        </w:tc>
        <w:tc>
          <w:tcPr>
            <w:tcW w:w="1840" w:type="dxa"/>
            <w:vAlign w:val="bottom"/>
          </w:tcPr>
          <w:p>
            <w:pPr>
              <w:jc w:val="right"/>
              <w:spacing w:after="0"/>
              <w:rPr>
                <w:sz w:val="20"/>
                <w:szCs w:val="20"/>
                <w:color w:val="auto"/>
              </w:rPr>
            </w:pPr>
            <w:r>
              <w:rPr>
                <w:rFonts w:ascii="Arial" w:cs="Arial" w:eastAsia="Arial" w:hAnsi="Arial"/>
                <w:sz w:val="14"/>
                <w:szCs w:val="14"/>
                <w:color w:val="auto"/>
              </w:rPr>
              <w:t>0</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(35,641)</w:t>
            </w:r>
          </w:p>
        </w:tc>
        <w:tc>
          <w:tcPr>
            <w:tcW w:w="1200" w:type="dxa"/>
            <w:vAlign w:val="bottom"/>
          </w:tcPr>
          <w:p>
            <w:pPr>
              <w:spacing w:after="0"/>
              <w:rPr>
                <w:sz w:val="18"/>
                <w:szCs w:val="18"/>
                <w:color w:val="auto"/>
              </w:rPr>
            </w:pPr>
          </w:p>
        </w:tc>
        <w:tc>
          <w:tcPr>
            <w:tcW w:w="44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481,415</w:t>
            </w:r>
          </w:p>
        </w:tc>
      </w:tr>
      <w:tr>
        <w:trPr>
          <w:trHeight w:val="213"/>
        </w:trPr>
        <w:tc>
          <w:tcPr>
            <w:tcW w:w="2520" w:type="dxa"/>
            <w:vAlign w:val="bottom"/>
          </w:tcPr>
          <w:p>
            <w:pPr>
              <w:ind w:left="200"/>
              <w:spacing w:after="0"/>
              <w:rPr>
                <w:sz w:val="20"/>
                <w:szCs w:val="20"/>
                <w:color w:val="auto"/>
              </w:rPr>
            </w:pPr>
            <w:r>
              <w:rPr>
                <w:rFonts w:ascii="Arial" w:cs="Arial" w:eastAsia="Arial" w:hAnsi="Arial"/>
                <w:sz w:val="14"/>
                <w:szCs w:val="14"/>
                <w:color w:val="auto"/>
              </w:rPr>
              <w:t>Supplemental Benefit Plan</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c>
          <w:tcPr>
            <w:tcW w:w="1840" w:type="dxa"/>
            <w:vAlign w:val="bottom"/>
          </w:tcPr>
          <w:p>
            <w:pPr>
              <w:jc w:val="right"/>
              <w:spacing w:after="0"/>
              <w:rPr>
                <w:sz w:val="20"/>
                <w:szCs w:val="20"/>
                <w:color w:val="auto"/>
              </w:rPr>
            </w:pPr>
            <w:r>
              <w:rPr>
                <w:rFonts w:ascii="Arial" w:cs="Arial" w:eastAsia="Arial" w:hAnsi="Arial"/>
                <w:sz w:val="14"/>
                <w:szCs w:val="14"/>
                <w:color w:val="auto"/>
              </w:rPr>
              <w:t>21,212</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23,274</w:t>
            </w:r>
          </w:p>
        </w:tc>
        <w:tc>
          <w:tcPr>
            <w:tcW w:w="1200" w:type="dxa"/>
            <w:vAlign w:val="bottom"/>
          </w:tcPr>
          <w:p>
            <w:pPr>
              <w:spacing w:after="0"/>
              <w:rPr>
                <w:sz w:val="18"/>
                <w:szCs w:val="18"/>
                <w:color w:val="auto"/>
              </w:rPr>
            </w:pPr>
          </w:p>
        </w:tc>
        <w:tc>
          <w:tcPr>
            <w:tcW w:w="44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140,581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19913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251" w:lineRule="exact"/>
        <w:rPr>
          <w:sz w:val="20"/>
          <w:szCs w:val="20"/>
          <w:color w:val="auto"/>
        </w:rPr>
      </w:pPr>
    </w:p>
    <w:p>
      <w:pPr>
        <w:jc w:val="both"/>
        <w:ind w:left="320" w:hanging="313"/>
        <w:spacing w:after="0" w:line="237" w:lineRule="auto"/>
        <w:tabs>
          <w:tab w:leader="none" w:pos="308"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Executive contributions of annual cash incentive award payouts are included in the Non-Equity Incentive Plan Compensation column of the Summary Compensation Table and executive contributions of the fiscal 2023 to fiscal 2025 performance share award payouts are included in the Value Realized on Vesting column of the Option Exercises and Stock Vested for Fiscal 2025 table. Our NEOs deferred the following components of compensation during fiscal 2025:</w:t>
      </w:r>
    </w:p>
    <w:p>
      <w:pPr>
        <w:sectPr>
          <w:pgSz w:w="11900" w:h="16838" w:orient="portrait"/>
          <w:cols w:equalWidth="0" w:num="1">
            <w:col w:w="11240"/>
          </w:cols>
          <w:pgMar w:left="320" w:top="1108" w:right="339" w:bottom="1440" w:gutter="0" w:footer="0" w:header="0"/>
        </w:sectPr>
      </w:pPr>
    </w:p>
    <w:p>
      <w:pPr>
        <w:spacing w:after="0" w:line="26"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1920" w:type="dxa"/>
            <w:vAlign w:val="bottom"/>
          </w:tcPr>
          <w:p>
            <w:pPr>
              <w:ind w:left="20"/>
              <w:spacing w:after="0"/>
              <w:rPr>
                <w:sz w:val="20"/>
                <w:szCs w:val="20"/>
                <w:color w:val="auto"/>
              </w:rPr>
            </w:pPr>
            <w:r>
              <w:rPr>
                <w:rFonts w:ascii="Arial" w:cs="Arial" w:eastAsia="Arial" w:hAnsi="Arial"/>
                <w:sz w:val="16"/>
                <w:szCs w:val="16"/>
                <w:b w:val="1"/>
                <w:bCs w:val="1"/>
                <w:color w:val="FFFFFF"/>
              </w:rPr>
              <w:t>Name</w:t>
            </w:r>
          </w:p>
        </w:tc>
        <w:tc>
          <w:tcPr>
            <w:tcW w:w="4120" w:type="dxa"/>
            <w:vAlign w:val="bottom"/>
          </w:tcPr>
          <w:p>
            <w:pPr>
              <w:ind w:left="20"/>
              <w:spacing w:after="0"/>
              <w:rPr>
                <w:sz w:val="20"/>
                <w:szCs w:val="20"/>
                <w:color w:val="auto"/>
              </w:rPr>
            </w:pPr>
            <w:r>
              <w:rPr>
                <w:rFonts w:ascii="Arial" w:cs="Arial" w:eastAsia="Arial" w:hAnsi="Arial"/>
                <w:sz w:val="16"/>
                <w:szCs w:val="16"/>
                <w:b w:val="1"/>
                <w:bCs w:val="1"/>
                <w:color w:val="FFFFFF"/>
              </w:rPr>
              <w:t>Deferrals</w:t>
            </w: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Arial" w:cs="Arial" w:eastAsia="Arial" w:hAnsi="Arial"/>
                <w:sz w:val="16"/>
                <w:szCs w:val="16"/>
                <w:color w:val="auto"/>
              </w:rPr>
              <w:t>Mr. Funk</w:t>
            </w:r>
          </w:p>
        </w:tc>
        <w:tc>
          <w:tcPr>
            <w:tcW w:w="4120" w:type="dxa"/>
            <w:vAlign w:val="bottom"/>
          </w:tcPr>
          <w:p>
            <w:pPr>
              <w:ind w:left="20"/>
              <w:spacing w:after="0"/>
              <w:rPr>
                <w:sz w:val="20"/>
                <w:szCs w:val="20"/>
                <w:color w:val="auto"/>
              </w:rPr>
            </w:pPr>
            <w:r>
              <w:rPr>
                <w:rFonts w:ascii="Arial" w:cs="Arial" w:eastAsia="Arial" w:hAnsi="Arial"/>
                <w:sz w:val="16"/>
                <w:szCs w:val="16"/>
                <w:color w:val="auto"/>
                <w:w w:val="99"/>
              </w:rPr>
              <w:t>100% of the fiscal 2023 to 2025 performance share award</w:t>
            </w:r>
          </w:p>
        </w:tc>
        <w:tc>
          <w:tcPr>
            <w:tcW w:w="0" w:type="dxa"/>
            <w:vAlign w:val="bottom"/>
          </w:tcPr>
          <w:p>
            <w:pPr>
              <w:spacing w:after="0"/>
              <w:rPr>
                <w:sz w:val="1"/>
                <w:szCs w:val="1"/>
                <w:color w:val="auto"/>
              </w:rPr>
            </w:pPr>
          </w:p>
        </w:tc>
      </w:tr>
      <w:tr>
        <w:trPr>
          <w:trHeight w:val="30"/>
        </w:trPr>
        <w:tc>
          <w:tcPr>
            <w:tcW w:w="1920" w:type="dxa"/>
            <w:vAlign w:val="bottom"/>
          </w:tcPr>
          <w:p>
            <w:pPr>
              <w:spacing w:after="0"/>
              <w:rPr>
                <w:sz w:val="2"/>
                <w:szCs w:val="2"/>
                <w:color w:val="auto"/>
              </w:rPr>
            </w:pPr>
          </w:p>
        </w:tc>
        <w:tc>
          <w:tcPr>
            <w:tcW w:w="4120" w:type="dxa"/>
            <w:vAlign w:val="bottom"/>
            <w:vMerge w:val="restart"/>
          </w:tcPr>
          <w:p>
            <w:pPr>
              <w:ind w:left="20"/>
              <w:spacing w:after="0"/>
              <w:rPr>
                <w:sz w:val="20"/>
                <w:szCs w:val="20"/>
                <w:color w:val="auto"/>
              </w:rPr>
            </w:pPr>
            <w:r>
              <w:rPr>
                <w:rFonts w:ascii="Arial" w:cs="Arial" w:eastAsia="Arial" w:hAnsi="Arial"/>
                <w:sz w:val="16"/>
                <w:szCs w:val="16"/>
                <w:color w:val="auto"/>
              </w:rPr>
              <w:t>25% of the fiscal 2025 annual cash incentive award</w:t>
            </w:r>
          </w:p>
        </w:tc>
        <w:tc>
          <w:tcPr>
            <w:tcW w:w="0" w:type="dxa"/>
            <w:vAlign w:val="bottom"/>
          </w:tcPr>
          <w:p>
            <w:pPr>
              <w:spacing w:after="0" w:line="20" w:lineRule="exact"/>
              <w:rPr>
                <w:sz w:val="1"/>
                <w:szCs w:val="1"/>
                <w:color w:val="auto"/>
              </w:rPr>
            </w:pPr>
          </w:p>
        </w:tc>
      </w:tr>
      <w:tr>
        <w:trPr>
          <w:trHeight w:val="211"/>
        </w:trPr>
        <w:tc>
          <w:tcPr>
            <w:tcW w:w="1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Mr. Moeller</w:t>
            </w:r>
          </w:p>
        </w:tc>
        <w:tc>
          <w:tcPr>
            <w:tcW w:w="4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920" w:type="dxa"/>
            <w:vAlign w:val="bottom"/>
            <w:tcBorders>
              <w:bottom w:val="single" w:sz="8" w:color="DBDBDB"/>
            </w:tcBorders>
            <w:shd w:val="clear" w:color="auto" w:fill="DBDBDB"/>
          </w:tcPr>
          <w:p>
            <w:pPr>
              <w:spacing w:after="0"/>
              <w:rPr>
                <w:sz w:val="21"/>
                <w:szCs w:val="21"/>
                <w:color w:val="auto"/>
              </w:rPr>
            </w:pPr>
          </w:p>
        </w:tc>
        <w:tc>
          <w:tcPr>
            <w:tcW w:w="4120" w:type="dxa"/>
            <w:vAlign w:val="bottom"/>
          </w:tcPr>
          <w:p>
            <w:pPr>
              <w:ind w:left="20"/>
              <w:spacing w:after="0"/>
              <w:rPr>
                <w:sz w:val="20"/>
                <w:szCs w:val="20"/>
                <w:color w:val="auto"/>
              </w:rPr>
            </w:pPr>
            <w:r>
              <w:rPr>
                <w:rFonts w:ascii="Arial" w:cs="Arial" w:eastAsia="Arial" w:hAnsi="Arial"/>
                <w:sz w:val="16"/>
                <w:szCs w:val="16"/>
                <w:color w:val="auto"/>
                <w:w w:val="99"/>
              </w:rPr>
              <w:t>100% of the fiscal 2023 to 2025 performance share award</w:t>
            </w:r>
          </w:p>
        </w:tc>
        <w:tc>
          <w:tcPr>
            <w:tcW w:w="0" w:type="dxa"/>
            <w:vAlign w:val="bottom"/>
          </w:tcPr>
          <w:p>
            <w:pPr>
              <w:spacing w:after="0"/>
              <w:rPr>
                <w:sz w:val="1"/>
                <w:szCs w:val="1"/>
                <w:color w:val="auto"/>
              </w:rPr>
            </w:pPr>
          </w:p>
        </w:tc>
      </w:tr>
      <w:tr>
        <w:trPr>
          <w:trHeight w:val="237"/>
        </w:trPr>
        <w:tc>
          <w:tcPr>
            <w:tcW w:w="1920" w:type="dxa"/>
            <w:vAlign w:val="bottom"/>
          </w:tcPr>
          <w:p>
            <w:pPr>
              <w:ind w:left="20"/>
              <w:spacing w:after="0"/>
              <w:rPr>
                <w:sz w:val="20"/>
                <w:szCs w:val="20"/>
                <w:color w:val="auto"/>
              </w:rPr>
            </w:pPr>
            <w:r>
              <w:rPr>
                <w:rFonts w:ascii="Arial" w:cs="Arial" w:eastAsia="Arial" w:hAnsi="Arial"/>
                <w:sz w:val="16"/>
                <w:szCs w:val="16"/>
                <w:color w:val="auto"/>
              </w:rPr>
              <w:t>Mr. Janey</w:t>
            </w:r>
          </w:p>
        </w:tc>
        <w:tc>
          <w:tcPr>
            <w:tcW w:w="4120" w:type="dxa"/>
            <w:vAlign w:val="bottom"/>
          </w:tcPr>
          <w:p>
            <w:pPr>
              <w:ind w:left="20"/>
              <w:spacing w:after="0"/>
              <w:rPr>
                <w:sz w:val="20"/>
                <w:szCs w:val="20"/>
                <w:color w:val="auto"/>
              </w:rPr>
            </w:pPr>
            <w:r>
              <w:rPr>
                <w:rFonts w:ascii="Arial" w:cs="Arial" w:eastAsia="Arial" w:hAnsi="Arial"/>
                <w:sz w:val="16"/>
                <w:szCs w:val="16"/>
                <w:color w:val="auto"/>
              </w:rPr>
              <w:t>10% of the fiscal 2025 annual cash incentive award</w:t>
            </w: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Arial" w:cs="Arial" w:eastAsia="Arial" w:hAnsi="Arial"/>
                <w:sz w:val="16"/>
                <w:szCs w:val="16"/>
                <w:color w:val="auto"/>
                <w:w w:val="99"/>
              </w:rPr>
              <w:t>100% of the fiscal 2023 to 2025 performance share award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-895350</wp:posOffset>
            </wp:positionV>
            <wp:extent cx="6159500" cy="152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159500" cy="152400"/>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-590550</wp:posOffset>
            </wp:positionV>
            <wp:extent cx="6159500" cy="3048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159500" cy="304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Amount ($)</w:t>
      </w:r>
    </w:p>
    <w:p>
      <w:pPr>
        <w:spacing w:after="0" w:line="56" w:lineRule="exact"/>
        <w:rPr>
          <w:sz w:val="20"/>
          <w:szCs w:val="20"/>
          <w:color w:val="auto"/>
        </w:rPr>
      </w:pPr>
    </w:p>
    <w:p>
      <w:pPr>
        <w:jc w:val="right"/>
        <w:ind w:right="1240"/>
        <w:spacing w:after="0"/>
        <w:rPr>
          <w:sz w:val="20"/>
          <w:szCs w:val="20"/>
          <w:color w:val="auto"/>
        </w:rPr>
      </w:pPr>
      <w:r>
        <w:rPr>
          <w:rFonts w:ascii="Arial" w:cs="Arial" w:eastAsia="Arial" w:hAnsi="Arial"/>
          <w:sz w:val="16"/>
          <w:szCs w:val="16"/>
          <w:color w:val="auto"/>
        </w:rPr>
        <w:t>49,947</w:t>
      </w:r>
    </w:p>
    <w:p>
      <w:pPr>
        <w:spacing w:after="0" w:line="56" w:lineRule="exact"/>
        <w:rPr>
          <w:sz w:val="20"/>
          <w:szCs w:val="20"/>
          <w:color w:val="auto"/>
        </w:rPr>
      </w:pPr>
    </w:p>
    <w:p>
      <w:pPr>
        <w:jc w:val="right"/>
        <w:ind w:right="1240"/>
        <w:spacing w:after="0"/>
        <w:rPr>
          <w:sz w:val="20"/>
          <w:szCs w:val="20"/>
          <w:color w:val="auto"/>
        </w:rPr>
      </w:pPr>
      <w:r>
        <w:rPr>
          <w:rFonts w:ascii="Arial" w:cs="Arial" w:eastAsia="Arial" w:hAnsi="Arial"/>
          <w:sz w:val="16"/>
          <w:szCs w:val="16"/>
          <w:color w:val="auto"/>
        </w:rPr>
        <w:t>82,671</w:t>
      </w:r>
    </w:p>
    <w:p>
      <w:pPr>
        <w:spacing w:after="0" w:line="56" w:lineRule="exact"/>
        <w:rPr>
          <w:sz w:val="20"/>
          <w:szCs w:val="20"/>
          <w:color w:val="auto"/>
        </w:rPr>
      </w:pPr>
    </w:p>
    <w:p>
      <w:pPr>
        <w:jc w:val="right"/>
        <w:ind w:right="1240"/>
        <w:spacing w:after="0"/>
        <w:rPr>
          <w:sz w:val="20"/>
          <w:szCs w:val="20"/>
          <w:color w:val="auto"/>
        </w:rPr>
      </w:pPr>
      <w:r>
        <w:rPr>
          <w:rFonts w:ascii="Arial" w:cs="Arial" w:eastAsia="Arial" w:hAnsi="Arial"/>
          <w:sz w:val="16"/>
          <w:szCs w:val="16"/>
          <w:color w:val="auto"/>
        </w:rPr>
        <w:t>33,861</w:t>
      </w:r>
    </w:p>
    <w:p>
      <w:pPr>
        <w:spacing w:after="0" w:line="83" w:lineRule="exact"/>
        <w:rPr>
          <w:sz w:val="20"/>
          <w:szCs w:val="20"/>
          <w:color w:val="auto"/>
        </w:rPr>
      </w:pPr>
    </w:p>
    <w:p>
      <w:pPr>
        <w:jc w:val="right"/>
        <w:ind w:right="1240"/>
        <w:spacing w:after="0"/>
        <w:rPr>
          <w:sz w:val="20"/>
          <w:szCs w:val="20"/>
          <w:color w:val="auto"/>
        </w:rPr>
      </w:pPr>
      <w:r>
        <w:rPr>
          <w:rFonts w:ascii="Arial" w:cs="Arial" w:eastAsia="Arial" w:hAnsi="Arial"/>
          <w:sz w:val="16"/>
          <w:szCs w:val="16"/>
          <w:color w:val="auto"/>
        </w:rPr>
        <w:t>10,067</w:t>
      </w:r>
    </w:p>
    <w:p>
      <w:pPr>
        <w:spacing w:after="0" w:line="56" w:lineRule="exact"/>
        <w:rPr>
          <w:sz w:val="20"/>
          <w:szCs w:val="20"/>
          <w:color w:val="auto"/>
        </w:rPr>
      </w:pPr>
    </w:p>
    <w:p>
      <w:pPr>
        <w:jc w:val="right"/>
        <w:ind w:right="1240"/>
        <w:spacing w:after="0"/>
        <w:rPr>
          <w:sz w:val="20"/>
          <w:szCs w:val="20"/>
          <w:color w:val="auto"/>
        </w:rPr>
      </w:pPr>
      <w:r>
        <w:rPr>
          <w:rFonts w:ascii="Arial" w:cs="Arial" w:eastAsia="Arial" w:hAnsi="Arial"/>
          <w:sz w:val="16"/>
          <w:szCs w:val="16"/>
          <w:color w:val="auto"/>
        </w:rPr>
        <w:t>58,874</w:t>
      </w:r>
    </w:p>
    <w:p>
      <w:pPr>
        <w:spacing w:after="0" w:line="200" w:lineRule="exact"/>
        <w:rPr>
          <w:sz w:val="20"/>
          <w:szCs w:val="20"/>
          <w:color w:val="auto"/>
        </w:rPr>
      </w:pPr>
    </w:p>
    <w:p>
      <w:pPr>
        <w:sectPr>
          <w:pgSz w:w="11900" w:h="16838" w:orient="portrait"/>
          <w:cols w:equalWidth="0" w:num="2">
            <w:col w:w="7980" w:space="720"/>
            <w:col w:w="2540"/>
          </w:cols>
          <w:pgMar w:left="320" w:top="1108" w:right="339" w:bottom="1440" w:gutter="0" w:footer="0" w:header="0"/>
          <w:type w:val="continuous"/>
        </w:sectPr>
      </w:pPr>
    </w:p>
    <w:p>
      <w:pPr>
        <w:spacing w:after="0" w:line="133" w:lineRule="exact"/>
        <w:rPr>
          <w:sz w:val="20"/>
          <w:szCs w:val="20"/>
          <w:color w:val="auto"/>
        </w:rPr>
      </w:pPr>
    </w:p>
    <w:p>
      <w:pPr>
        <w:ind w:left="320" w:hanging="313"/>
        <w:spacing w:after="0" w:line="246" w:lineRule="auto"/>
        <w:tabs>
          <w:tab w:leader="none" w:pos="308"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Amounts reported represent Company contributions to the Supplemental Benefit Plan in fiscal 2025. These amounts are included in the All Other Compensation column of the Summary Compensation Table and the related footnote.</w:t>
      </w:r>
    </w:p>
    <w:p>
      <w:pPr>
        <w:spacing w:after="0" w:line="15" w:lineRule="exact"/>
        <w:rPr>
          <w:rFonts w:ascii="Arial" w:cs="Arial" w:eastAsia="Arial" w:hAnsi="Arial"/>
          <w:sz w:val="18"/>
          <w:szCs w:val="18"/>
          <w:color w:val="auto"/>
        </w:rPr>
      </w:pPr>
    </w:p>
    <w:p>
      <w:pPr>
        <w:jc w:val="both"/>
        <w:ind w:left="320" w:hanging="313"/>
        <w:spacing w:after="0" w:line="237" w:lineRule="auto"/>
        <w:tabs>
          <w:tab w:leader="none" w:pos="308" w:val="left"/>
        </w:tabs>
        <w:numPr>
          <w:ilvl w:val="0"/>
          <w:numId w:val="68"/>
        </w:numPr>
        <w:rPr>
          <w:rFonts w:ascii="Arial" w:cs="Arial" w:eastAsia="Arial" w:hAnsi="Arial"/>
          <w:sz w:val="18"/>
          <w:szCs w:val="18"/>
          <w:color w:val="auto"/>
        </w:rPr>
      </w:pPr>
      <w:r>
        <w:rPr>
          <w:rFonts w:ascii="Arial" w:cs="Arial" w:eastAsia="Arial" w:hAnsi="Arial"/>
          <w:sz w:val="18"/>
          <w:szCs w:val="18"/>
          <w:color w:val="auto"/>
        </w:rPr>
        <w:t>Aggregate earnings comprise interest, dividends, capital gains and appreciation/depreciation of investment results during the fiscal year based on each NEO's selected fund allocation. None of these amounts are included in the Summary Compensation Table because earnings were not preferential or above-market. The funds listed below are consistent with or comparable to those funds provided in our Retirement Plan and do not include any preferential or above-market interest. The rates for fiscal 2025 are provided in the following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type w:val="continuous"/>
        </w:sectPr>
      </w:pPr>
    </w:p>
    <w:bookmarkStart w:id="68" w:name="page69"/>
    <w:bookmarkEnd w:id="68"/>
    <w:tbl>
      <w:tblPr>
        <w:tblLayout w:type="fixed"/>
        <w:tblInd w:w="313" w:type="dxa"/>
        <w:tblCellMar>
          <w:top w:w="0" w:type="dxa"/>
          <w:left w:w="0" w:type="dxa"/>
          <w:bottom w:w="0" w:type="dxa"/>
          <w:right w:w="0" w:type="dxa"/>
        </w:tblCellMar>
      </w:tblPr>
      <w:tr>
        <w:trPr>
          <w:trHeight w:val="240"/>
        </w:trPr>
        <w:tc>
          <w:tcPr>
            <w:tcW w:w="4440" w:type="dxa"/>
            <w:vAlign w:val="bottom"/>
            <w:shd w:val="clear" w:color="auto" w:fill="BF2115"/>
          </w:tcPr>
          <w:p>
            <w:pPr>
              <w:ind w:left="20"/>
              <w:spacing w:after="0"/>
              <w:rPr>
                <w:sz w:val="20"/>
                <w:szCs w:val="20"/>
                <w:color w:val="auto"/>
              </w:rPr>
            </w:pPr>
            <w:r>
              <w:rPr>
                <w:rFonts w:ascii="Arial" w:cs="Arial" w:eastAsia="Arial" w:hAnsi="Arial"/>
                <w:sz w:val="16"/>
                <w:szCs w:val="16"/>
                <w:b w:val="1"/>
                <w:bCs w:val="1"/>
                <w:color w:val="FFFFFF"/>
              </w:rPr>
              <w:t>Fund Name</w:t>
            </w:r>
          </w:p>
        </w:tc>
        <w:tc>
          <w:tcPr>
            <w:tcW w:w="3220" w:type="dxa"/>
            <w:vAlign w:val="bottom"/>
            <w:shd w:val="clear" w:color="auto" w:fill="BF2115"/>
          </w:tcPr>
          <w:p>
            <w:pPr>
              <w:jc w:val="right"/>
              <w:ind w:right="620"/>
              <w:spacing w:after="0"/>
              <w:rPr>
                <w:sz w:val="20"/>
                <w:szCs w:val="20"/>
                <w:color w:val="auto"/>
              </w:rPr>
            </w:pPr>
            <w:r>
              <w:rPr>
                <w:rFonts w:ascii="Arial" w:cs="Arial" w:eastAsia="Arial" w:hAnsi="Arial"/>
                <w:sz w:val="16"/>
                <w:szCs w:val="16"/>
                <w:b w:val="1"/>
                <w:bCs w:val="1"/>
                <w:color w:val="FFFFFF"/>
              </w:rPr>
              <w:t>Change from Fiscal 2024</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American Funds Europacific Growth Fund R6</w:t>
            </w:r>
          </w:p>
        </w:tc>
        <w:tc>
          <w:tcPr>
            <w:tcW w:w="3220" w:type="dxa"/>
            <w:vAlign w:val="bottom"/>
          </w:tcPr>
          <w:p>
            <w:pPr>
              <w:jc w:val="right"/>
              <w:spacing w:after="0"/>
              <w:rPr>
                <w:sz w:val="20"/>
                <w:szCs w:val="20"/>
                <w:color w:val="auto"/>
              </w:rPr>
            </w:pPr>
            <w:r>
              <w:rPr>
                <w:rFonts w:ascii="Arial" w:cs="Arial" w:eastAsia="Arial" w:hAnsi="Arial"/>
                <w:sz w:val="16"/>
                <w:szCs w:val="16"/>
                <w:color w:val="auto"/>
              </w:rPr>
              <w:t>23.10 %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Artisan Mid Cap Investor Fund</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24.83 %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Fidelity Treasury Only Money Market Fund</w:t>
            </w:r>
          </w:p>
        </w:tc>
        <w:tc>
          <w:tcPr>
            <w:tcW w:w="3220" w:type="dxa"/>
            <w:vAlign w:val="bottom"/>
          </w:tcPr>
          <w:p>
            <w:pPr>
              <w:jc w:val="right"/>
              <w:spacing w:after="0"/>
              <w:rPr>
                <w:sz w:val="20"/>
                <w:szCs w:val="20"/>
                <w:color w:val="auto"/>
              </w:rPr>
            </w:pPr>
            <w:r>
              <w:rPr>
                <w:rFonts w:ascii="Arial" w:cs="Arial" w:eastAsia="Arial" w:hAnsi="Arial"/>
                <w:sz w:val="16"/>
                <w:szCs w:val="16"/>
                <w:color w:val="auto"/>
              </w:rPr>
              <w:t>4.02 %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Fidelity US Bond Index</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6.15 %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Goldman Sachs Small Cap Value Institutional Fund</w:t>
            </w:r>
          </w:p>
        </w:tc>
        <w:tc>
          <w:tcPr>
            <w:tcW w:w="3220" w:type="dxa"/>
            <w:vAlign w:val="bottom"/>
          </w:tcPr>
          <w:p>
            <w:pPr>
              <w:jc w:val="right"/>
              <w:spacing w:after="0"/>
              <w:rPr>
                <w:sz w:val="20"/>
                <w:szCs w:val="20"/>
                <w:color w:val="auto"/>
              </w:rPr>
            </w:pPr>
            <w:r>
              <w:rPr>
                <w:rFonts w:ascii="Arial" w:cs="Arial" w:eastAsia="Arial" w:hAnsi="Arial"/>
                <w:sz w:val="16"/>
                <w:szCs w:val="16"/>
                <w:color w:val="auto"/>
              </w:rPr>
              <w:t>7.93 %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JPMorgan Mid Cap Value I Fund</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1.92 %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PGIM Total Return Bond R6</w:t>
            </w:r>
          </w:p>
        </w:tc>
        <w:tc>
          <w:tcPr>
            <w:tcW w:w="3220" w:type="dxa"/>
            <w:vAlign w:val="bottom"/>
          </w:tcPr>
          <w:p>
            <w:pPr>
              <w:jc w:val="right"/>
              <w:spacing w:after="0"/>
              <w:rPr>
                <w:sz w:val="20"/>
                <w:szCs w:val="20"/>
                <w:color w:val="auto"/>
              </w:rPr>
            </w:pPr>
            <w:r>
              <w:rPr>
                <w:rFonts w:ascii="Arial" w:cs="Arial" w:eastAsia="Arial" w:hAnsi="Arial"/>
                <w:sz w:val="16"/>
                <w:szCs w:val="16"/>
                <w:color w:val="auto"/>
              </w:rPr>
              <w:t>6.84 %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PIMCO International Bond Fund (Unhedged)</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7.38 %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T. Rowe Price International Discovery Fund</w:t>
            </w:r>
          </w:p>
        </w:tc>
        <w:tc>
          <w:tcPr>
            <w:tcW w:w="3220" w:type="dxa"/>
            <w:vAlign w:val="bottom"/>
          </w:tcPr>
          <w:p>
            <w:pPr>
              <w:jc w:val="right"/>
              <w:spacing w:after="0"/>
              <w:rPr>
                <w:sz w:val="20"/>
                <w:szCs w:val="20"/>
                <w:color w:val="auto"/>
              </w:rPr>
            </w:pPr>
            <w:r>
              <w:rPr>
                <w:rFonts w:ascii="Arial" w:cs="Arial" w:eastAsia="Arial" w:hAnsi="Arial"/>
                <w:sz w:val="16"/>
                <w:szCs w:val="16"/>
                <w:color w:val="auto"/>
              </w:rPr>
              <w:t>18.17 %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The Toro Company</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(5.23)%</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Vanguard Explorer Fund Admiral Shares</w:t>
            </w:r>
          </w:p>
        </w:tc>
        <w:tc>
          <w:tcPr>
            <w:tcW w:w="3220" w:type="dxa"/>
            <w:vAlign w:val="bottom"/>
          </w:tcPr>
          <w:p>
            <w:pPr>
              <w:jc w:val="right"/>
              <w:spacing w:after="0"/>
              <w:rPr>
                <w:sz w:val="20"/>
                <w:szCs w:val="20"/>
                <w:color w:val="auto"/>
              </w:rPr>
            </w:pPr>
            <w:r>
              <w:rPr>
                <w:rFonts w:ascii="Arial" w:cs="Arial" w:eastAsia="Arial" w:hAnsi="Arial"/>
                <w:sz w:val="16"/>
                <w:szCs w:val="16"/>
                <w:color w:val="auto"/>
              </w:rPr>
              <w:t>7.82 %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Vanguard Institutional Index Fund Institutional Shares</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21.41 %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Vanguard Mid Cap Index Fund Admiral Shares</w:t>
            </w:r>
          </w:p>
        </w:tc>
        <w:tc>
          <w:tcPr>
            <w:tcW w:w="3220" w:type="dxa"/>
            <w:vAlign w:val="bottom"/>
          </w:tcPr>
          <w:p>
            <w:pPr>
              <w:jc w:val="right"/>
              <w:spacing w:after="0"/>
              <w:rPr>
                <w:sz w:val="20"/>
                <w:szCs w:val="20"/>
                <w:color w:val="auto"/>
              </w:rPr>
            </w:pPr>
            <w:r>
              <w:rPr>
                <w:rFonts w:ascii="Arial" w:cs="Arial" w:eastAsia="Arial" w:hAnsi="Arial"/>
                <w:sz w:val="16"/>
                <w:szCs w:val="16"/>
                <w:color w:val="auto"/>
              </w:rPr>
              <w:t>12.48 %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Vanguard Small Cap Index Fund Admiral Shares</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9.77 %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Vanguard Target Retirement 2020 Fund</w:t>
            </w:r>
          </w:p>
        </w:tc>
        <w:tc>
          <w:tcPr>
            <w:tcW w:w="3220" w:type="dxa"/>
            <w:vAlign w:val="bottom"/>
          </w:tcPr>
          <w:p>
            <w:pPr>
              <w:jc w:val="right"/>
              <w:spacing w:after="0"/>
              <w:rPr>
                <w:sz w:val="20"/>
                <w:szCs w:val="20"/>
                <w:color w:val="auto"/>
              </w:rPr>
            </w:pPr>
            <w:r>
              <w:rPr>
                <w:rFonts w:ascii="Arial" w:cs="Arial" w:eastAsia="Arial" w:hAnsi="Arial"/>
                <w:sz w:val="16"/>
                <w:szCs w:val="16"/>
                <w:color w:val="auto"/>
              </w:rPr>
              <w:t>11.87 %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Vanguard Target Retirement 2025 Fund</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14.28 %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Vanguard Target Retirement 2030 Fund</w:t>
            </w:r>
          </w:p>
        </w:tc>
        <w:tc>
          <w:tcPr>
            <w:tcW w:w="3220" w:type="dxa"/>
            <w:vAlign w:val="bottom"/>
          </w:tcPr>
          <w:p>
            <w:pPr>
              <w:jc w:val="right"/>
              <w:spacing w:after="0"/>
              <w:rPr>
                <w:sz w:val="20"/>
                <w:szCs w:val="20"/>
                <w:color w:val="auto"/>
              </w:rPr>
            </w:pPr>
            <w:r>
              <w:rPr>
                <w:rFonts w:ascii="Arial" w:cs="Arial" w:eastAsia="Arial" w:hAnsi="Arial"/>
                <w:sz w:val="16"/>
                <w:szCs w:val="16"/>
                <w:color w:val="auto"/>
              </w:rPr>
              <w:t>15.86 %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Vanguard Target Retirement 2035 Fund</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17.17 %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Vanguard Target Retirement 2040 Fund</w:t>
            </w:r>
          </w:p>
        </w:tc>
        <w:tc>
          <w:tcPr>
            <w:tcW w:w="3220" w:type="dxa"/>
            <w:vAlign w:val="bottom"/>
          </w:tcPr>
          <w:p>
            <w:pPr>
              <w:jc w:val="right"/>
              <w:spacing w:after="0"/>
              <w:rPr>
                <w:sz w:val="20"/>
                <w:szCs w:val="20"/>
                <w:color w:val="auto"/>
              </w:rPr>
            </w:pPr>
            <w:r>
              <w:rPr>
                <w:rFonts w:ascii="Arial" w:cs="Arial" w:eastAsia="Arial" w:hAnsi="Arial"/>
                <w:sz w:val="16"/>
                <w:szCs w:val="16"/>
                <w:color w:val="auto"/>
              </w:rPr>
              <w:t>18.40 %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Vanguard Target Retirement 2045 Fund</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19.65 %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Vanguard Target Retirement 2050 Fund</w:t>
            </w:r>
          </w:p>
        </w:tc>
        <w:tc>
          <w:tcPr>
            <w:tcW w:w="3220" w:type="dxa"/>
            <w:vAlign w:val="bottom"/>
          </w:tcPr>
          <w:p>
            <w:pPr>
              <w:jc w:val="right"/>
              <w:spacing w:after="0"/>
              <w:rPr>
                <w:sz w:val="20"/>
                <w:szCs w:val="20"/>
                <w:color w:val="auto"/>
              </w:rPr>
            </w:pPr>
            <w:r>
              <w:rPr>
                <w:rFonts w:ascii="Arial" w:cs="Arial" w:eastAsia="Arial" w:hAnsi="Arial"/>
                <w:sz w:val="16"/>
                <w:szCs w:val="16"/>
                <w:color w:val="auto"/>
              </w:rPr>
              <w:t>20.97 %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Vanguard Target Retirement 2055 Fund</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20.96 %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Vanguard Target Retirement 2060 Fund</w:t>
            </w:r>
          </w:p>
        </w:tc>
        <w:tc>
          <w:tcPr>
            <w:tcW w:w="3220" w:type="dxa"/>
            <w:vAlign w:val="bottom"/>
          </w:tcPr>
          <w:p>
            <w:pPr>
              <w:jc w:val="right"/>
              <w:spacing w:after="0"/>
              <w:rPr>
                <w:sz w:val="20"/>
                <w:szCs w:val="20"/>
                <w:color w:val="auto"/>
              </w:rPr>
            </w:pPr>
            <w:r>
              <w:rPr>
                <w:rFonts w:ascii="Arial" w:cs="Arial" w:eastAsia="Arial" w:hAnsi="Arial"/>
                <w:sz w:val="16"/>
                <w:szCs w:val="16"/>
                <w:color w:val="auto"/>
              </w:rPr>
              <w:t>20.94 %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Vanguard Target Retirement 2065 Fund</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20.93 %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Vanguard Target Retirement Income Fund</w:t>
            </w:r>
          </w:p>
        </w:tc>
        <w:tc>
          <w:tcPr>
            <w:tcW w:w="3220" w:type="dxa"/>
            <w:vAlign w:val="bottom"/>
          </w:tcPr>
          <w:p>
            <w:pPr>
              <w:jc w:val="right"/>
              <w:spacing w:after="0"/>
              <w:rPr>
                <w:sz w:val="20"/>
                <w:szCs w:val="20"/>
                <w:color w:val="auto"/>
              </w:rPr>
            </w:pPr>
            <w:r>
              <w:rPr>
                <w:rFonts w:ascii="Arial" w:cs="Arial" w:eastAsia="Arial" w:hAnsi="Arial"/>
                <w:sz w:val="16"/>
                <w:szCs w:val="16"/>
                <w:color w:val="auto"/>
              </w:rPr>
              <w:t>11.04 %</w:t>
            </w:r>
          </w:p>
        </w:tc>
      </w:tr>
    </w:tbl>
    <w:p>
      <w:pPr>
        <w:spacing w:after="0" w:line="106" w:lineRule="exact"/>
        <w:rPr>
          <w:sz w:val="20"/>
          <w:szCs w:val="20"/>
          <w:color w:val="auto"/>
        </w:rPr>
      </w:pPr>
    </w:p>
    <w:p>
      <w:pPr>
        <w:jc w:val="both"/>
        <w:ind w:left="313" w:hanging="313"/>
        <w:spacing w:after="0" w:line="247" w:lineRule="auto"/>
        <w:tabs>
          <w:tab w:leader="none" w:pos="301" w:val="left"/>
        </w:tabs>
        <w:numPr>
          <w:ilvl w:val="0"/>
          <w:numId w:val="69"/>
        </w:numPr>
        <w:rPr>
          <w:rFonts w:ascii="Arial" w:cs="Arial" w:eastAsia="Arial" w:hAnsi="Arial"/>
          <w:sz w:val="18"/>
          <w:szCs w:val="18"/>
          <w:color w:val="auto"/>
        </w:rPr>
      </w:pPr>
      <w:r>
        <w:rPr>
          <w:rFonts w:ascii="Arial" w:cs="Arial" w:eastAsia="Arial" w:hAnsi="Arial"/>
          <w:sz w:val="18"/>
          <w:szCs w:val="18"/>
          <w:color w:val="auto"/>
        </w:rPr>
        <w:t>Amounts reported represent the total balance at October 31, 2025, the last day of fiscal 2025, plus any NEO's or Company contributions for fiscal 2025 that were paid, or expected to be paid, after October 31, 2025. Includes the following amounts reported in the Summary Compensation Table in the Base Salary or Non-Equity Incentive Plan Compensation column for fiscal years 2023 and 2024:</w:t>
      </w:r>
    </w:p>
    <w:p>
      <w:pPr>
        <w:spacing w:after="0" w:line="72" w:lineRule="exact"/>
        <w:rPr>
          <w:sz w:val="20"/>
          <w:szCs w:val="20"/>
          <w:color w:val="auto"/>
        </w:rPr>
      </w:pPr>
    </w:p>
    <w:tbl>
      <w:tblPr>
        <w:tblLayout w:type="fixed"/>
        <w:tblInd w:w="393" w:type="dxa"/>
        <w:tblCellMar>
          <w:top w:w="0" w:type="dxa"/>
          <w:left w:w="0" w:type="dxa"/>
          <w:bottom w:w="0" w:type="dxa"/>
          <w:right w:w="0" w:type="dxa"/>
        </w:tblCellMar>
      </w:tblPr>
      <w:tr>
        <w:trPr>
          <w:trHeight w:val="240"/>
        </w:trPr>
        <w:tc>
          <w:tcPr>
            <w:tcW w:w="3700" w:type="dxa"/>
            <w:vAlign w:val="bottom"/>
            <w:shd w:val="clear" w:color="auto" w:fill="BF2115"/>
          </w:tcPr>
          <w:p>
            <w:pPr>
              <w:ind w:left="20"/>
              <w:spacing w:after="0"/>
              <w:rPr>
                <w:sz w:val="20"/>
                <w:szCs w:val="20"/>
                <w:color w:val="auto"/>
              </w:rPr>
            </w:pPr>
            <w:r>
              <w:rPr>
                <w:rFonts w:ascii="Arial" w:cs="Arial" w:eastAsia="Arial" w:hAnsi="Arial"/>
                <w:sz w:val="16"/>
                <w:szCs w:val="16"/>
                <w:b w:val="1"/>
                <w:bCs w:val="1"/>
                <w:color w:val="FFFFFF"/>
              </w:rPr>
              <w:t>Name</w:t>
            </w:r>
          </w:p>
        </w:tc>
        <w:tc>
          <w:tcPr>
            <w:tcW w:w="3880" w:type="dxa"/>
            <w:vAlign w:val="bottom"/>
            <w:shd w:val="clear" w:color="auto" w:fill="BF2115"/>
          </w:tcPr>
          <w:p>
            <w:pPr>
              <w:jc w:val="right"/>
              <w:spacing w:after="0"/>
              <w:rPr>
                <w:sz w:val="20"/>
                <w:szCs w:val="20"/>
                <w:color w:val="auto"/>
              </w:rPr>
            </w:pPr>
            <w:r>
              <w:rPr>
                <w:rFonts w:ascii="Arial" w:cs="Arial" w:eastAsia="Arial" w:hAnsi="Arial"/>
                <w:sz w:val="16"/>
                <w:szCs w:val="16"/>
                <w:b w:val="1"/>
                <w:bCs w:val="1"/>
                <w:color w:val="FFFFFF"/>
              </w:rPr>
              <w:t>Amount ($)</w:t>
            </w:r>
          </w:p>
        </w:tc>
      </w:tr>
      <w:tr>
        <w:trPr>
          <w:trHeight w:val="211"/>
        </w:trPr>
        <w:tc>
          <w:tcPr>
            <w:tcW w:w="3700" w:type="dxa"/>
            <w:vAlign w:val="bottom"/>
          </w:tcPr>
          <w:p>
            <w:pPr>
              <w:ind w:left="20"/>
              <w:spacing w:after="0"/>
              <w:rPr>
                <w:sz w:val="20"/>
                <w:szCs w:val="20"/>
                <w:color w:val="auto"/>
              </w:rPr>
            </w:pPr>
            <w:r>
              <w:rPr>
                <w:rFonts w:ascii="Arial" w:cs="Arial" w:eastAsia="Arial" w:hAnsi="Arial"/>
                <w:sz w:val="16"/>
                <w:szCs w:val="16"/>
                <w:color w:val="auto"/>
              </w:rPr>
              <w:t>Mr. Olson</w:t>
            </w:r>
          </w:p>
        </w:tc>
        <w:tc>
          <w:tcPr>
            <w:tcW w:w="3880" w:type="dxa"/>
            <w:vAlign w:val="bottom"/>
          </w:tcPr>
          <w:p>
            <w:pPr>
              <w:jc w:val="right"/>
              <w:spacing w:after="0"/>
              <w:rPr>
                <w:sz w:val="20"/>
                <w:szCs w:val="20"/>
                <w:color w:val="auto"/>
              </w:rPr>
            </w:pPr>
            <w:r>
              <w:rPr>
                <w:rFonts w:ascii="Arial" w:cs="Arial" w:eastAsia="Arial" w:hAnsi="Arial"/>
                <w:sz w:val="16"/>
                <w:szCs w:val="16"/>
                <w:color w:val="auto"/>
              </w:rPr>
              <w:t>106,315</w:t>
            </w:r>
          </w:p>
        </w:tc>
      </w:tr>
      <w:tr>
        <w:trPr>
          <w:trHeight w:val="29"/>
        </w:trPr>
        <w:tc>
          <w:tcPr>
            <w:tcW w:w="3700" w:type="dxa"/>
            <w:vAlign w:val="bottom"/>
          </w:tcPr>
          <w:p>
            <w:pPr>
              <w:spacing w:after="0"/>
              <w:rPr>
                <w:sz w:val="2"/>
                <w:szCs w:val="2"/>
                <w:color w:val="auto"/>
              </w:rPr>
            </w:pPr>
          </w:p>
        </w:tc>
        <w:tc>
          <w:tcPr>
            <w:tcW w:w="3880" w:type="dxa"/>
            <w:vAlign w:val="bottom"/>
          </w:tcPr>
          <w:p>
            <w:pPr>
              <w:spacing w:after="0"/>
              <w:rPr>
                <w:sz w:val="2"/>
                <w:szCs w:val="2"/>
                <w:color w:val="auto"/>
              </w:rPr>
            </w:pPr>
          </w:p>
        </w:tc>
      </w:tr>
      <w:tr>
        <w:trPr>
          <w:trHeight w:val="211"/>
        </w:trPr>
        <w:tc>
          <w:tcPr>
            <w:tcW w:w="3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Mr. Janey</w:t>
            </w:r>
          </w:p>
        </w:tc>
        <w:tc>
          <w:tcPr>
            <w:tcW w:w="3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31,807</w:t>
            </w:r>
          </w:p>
        </w:tc>
      </w:tr>
      <w:tr>
        <w:trPr>
          <w:trHeight w:val="29"/>
        </w:trPr>
        <w:tc>
          <w:tcPr>
            <w:tcW w:w="3700" w:type="dxa"/>
            <w:vAlign w:val="bottom"/>
            <w:shd w:val="clear" w:color="auto" w:fill="DBDBDB"/>
          </w:tcPr>
          <w:p>
            <w:pPr>
              <w:spacing w:after="0"/>
              <w:rPr>
                <w:sz w:val="2"/>
                <w:szCs w:val="2"/>
                <w:color w:val="auto"/>
              </w:rPr>
            </w:pPr>
          </w:p>
        </w:tc>
        <w:tc>
          <w:tcPr>
            <w:tcW w:w="3880" w:type="dxa"/>
            <w:vAlign w:val="bottom"/>
            <w:shd w:val="clear" w:color="auto" w:fill="DBDBDB"/>
          </w:tcPr>
          <w:p>
            <w:pPr>
              <w:spacing w:after="0"/>
              <w:rPr>
                <w:sz w:val="2"/>
                <w:szCs w:val="2"/>
                <w:color w:val="auto"/>
              </w:rPr>
            </w:pPr>
          </w:p>
        </w:tc>
      </w:tr>
    </w:tbl>
    <w:p>
      <w:pPr>
        <w:spacing w:after="0" w:line="117" w:lineRule="exact"/>
        <w:rPr>
          <w:sz w:val="20"/>
          <w:szCs w:val="20"/>
          <w:color w:val="auto"/>
        </w:rPr>
      </w:pPr>
    </w:p>
    <w:p>
      <w:pPr>
        <w:ind w:left="393"/>
        <w:spacing w:after="0" w:line="277" w:lineRule="auto"/>
        <w:rPr>
          <w:sz w:val="20"/>
          <w:szCs w:val="20"/>
          <w:color w:val="auto"/>
        </w:rPr>
      </w:pPr>
      <w:r>
        <w:rPr>
          <w:rFonts w:ascii="Arial" w:cs="Arial" w:eastAsia="Arial" w:hAnsi="Arial"/>
          <w:sz w:val="18"/>
          <w:szCs w:val="18"/>
          <w:color w:val="auto"/>
        </w:rPr>
        <w:t>Includes the following amounts reported in the Summary Compensation Table in the "All Other Compensation" column for fiscal years 2023 and 2024.</w:t>
      </w:r>
    </w:p>
    <w:p>
      <w:pPr>
        <w:spacing w:after="0" w:line="33" w:lineRule="exact"/>
        <w:rPr>
          <w:sz w:val="20"/>
          <w:szCs w:val="20"/>
          <w:color w:val="auto"/>
        </w:rPr>
      </w:pPr>
    </w:p>
    <w:tbl>
      <w:tblPr>
        <w:tblLayout w:type="fixed"/>
        <w:tblInd w:w="393" w:type="dxa"/>
        <w:tblCellMar>
          <w:top w:w="0" w:type="dxa"/>
          <w:left w:w="0" w:type="dxa"/>
          <w:bottom w:w="0" w:type="dxa"/>
          <w:right w:w="0" w:type="dxa"/>
        </w:tblCellMar>
      </w:tblPr>
      <w:tr>
        <w:trPr>
          <w:trHeight w:val="240"/>
        </w:trPr>
        <w:tc>
          <w:tcPr>
            <w:tcW w:w="3720" w:type="dxa"/>
            <w:vAlign w:val="bottom"/>
            <w:shd w:val="clear" w:color="auto" w:fill="BF2115"/>
          </w:tcPr>
          <w:p>
            <w:pPr>
              <w:ind w:left="20"/>
              <w:spacing w:after="0"/>
              <w:rPr>
                <w:sz w:val="20"/>
                <w:szCs w:val="20"/>
                <w:color w:val="auto"/>
              </w:rPr>
            </w:pPr>
            <w:r>
              <w:rPr>
                <w:rFonts w:ascii="Arial" w:cs="Arial" w:eastAsia="Arial" w:hAnsi="Arial"/>
                <w:sz w:val="16"/>
                <w:szCs w:val="16"/>
                <w:b w:val="1"/>
                <w:bCs w:val="1"/>
                <w:color w:val="FFFFFF"/>
              </w:rPr>
              <w:t>Name</w:t>
            </w:r>
          </w:p>
        </w:tc>
        <w:tc>
          <w:tcPr>
            <w:tcW w:w="3860" w:type="dxa"/>
            <w:vAlign w:val="bottom"/>
            <w:shd w:val="clear" w:color="auto" w:fill="BF2115"/>
          </w:tcPr>
          <w:p>
            <w:pPr>
              <w:jc w:val="right"/>
              <w:spacing w:after="0"/>
              <w:rPr>
                <w:sz w:val="20"/>
                <w:szCs w:val="20"/>
                <w:color w:val="auto"/>
              </w:rPr>
            </w:pPr>
            <w:r>
              <w:rPr>
                <w:rFonts w:ascii="Arial" w:cs="Arial" w:eastAsia="Arial" w:hAnsi="Arial"/>
                <w:sz w:val="16"/>
                <w:szCs w:val="16"/>
                <w:b w:val="1"/>
                <w:bCs w:val="1"/>
                <w:color w:val="FFFFFF"/>
              </w:rPr>
              <w:t>Amount ($)</w:t>
            </w:r>
          </w:p>
        </w:tc>
      </w:tr>
      <w:tr>
        <w:trPr>
          <w:trHeight w:val="211"/>
        </w:trPr>
        <w:tc>
          <w:tcPr>
            <w:tcW w:w="3720" w:type="dxa"/>
            <w:vAlign w:val="bottom"/>
          </w:tcPr>
          <w:p>
            <w:pPr>
              <w:ind w:left="20"/>
              <w:spacing w:after="0"/>
              <w:rPr>
                <w:sz w:val="20"/>
                <w:szCs w:val="20"/>
                <w:color w:val="auto"/>
              </w:rPr>
            </w:pPr>
            <w:r>
              <w:rPr>
                <w:rFonts w:ascii="Arial" w:cs="Arial" w:eastAsia="Arial" w:hAnsi="Arial"/>
                <w:sz w:val="16"/>
                <w:szCs w:val="16"/>
                <w:color w:val="auto"/>
              </w:rPr>
              <w:t>Mr. Olson</w:t>
            </w:r>
          </w:p>
        </w:tc>
        <w:tc>
          <w:tcPr>
            <w:tcW w:w="3860" w:type="dxa"/>
            <w:vAlign w:val="bottom"/>
          </w:tcPr>
          <w:p>
            <w:pPr>
              <w:jc w:val="right"/>
              <w:spacing w:after="0"/>
              <w:rPr>
                <w:sz w:val="20"/>
                <w:szCs w:val="20"/>
                <w:color w:val="auto"/>
              </w:rPr>
            </w:pPr>
            <w:r>
              <w:rPr>
                <w:rFonts w:ascii="Arial" w:cs="Arial" w:eastAsia="Arial" w:hAnsi="Arial"/>
                <w:sz w:val="16"/>
                <w:szCs w:val="16"/>
                <w:color w:val="auto"/>
              </w:rPr>
              <w:t>224,668</w:t>
            </w:r>
          </w:p>
        </w:tc>
      </w:tr>
      <w:tr>
        <w:trPr>
          <w:trHeight w:val="29"/>
        </w:trPr>
        <w:tc>
          <w:tcPr>
            <w:tcW w:w="372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20"/>
        </w:trPr>
        <w:tc>
          <w:tcPr>
            <w:tcW w:w="3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Drake</w:t>
            </w:r>
          </w:p>
        </w:tc>
        <w:tc>
          <w:tcPr>
            <w:tcW w:w="3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52,290</w:t>
            </w:r>
          </w:p>
        </w:tc>
      </w:tr>
      <w:tr>
        <w:trPr>
          <w:trHeight w:val="211"/>
        </w:trPr>
        <w:tc>
          <w:tcPr>
            <w:tcW w:w="3720" w:type="dxa"/>
            <w:vAlign w:val="bottom"/>
          </w:tcPr>
          <w:p>
            <w:pPr>
              <w:ind w:left="20"/>
              <w:spacing w:after="0"/>
              <w:rPr>
                <w:sz w:val="20"/>
                <w:szCs w:val="20"/>
                <w:color w:val="auto"/>
              </w:rPr>
            </w:pPr>
            <w:r>
              <w:rPr>
                <w:rFonts w:ascii="Arial" w:cs="Arial" w:eastAsia="Arial" w:hAnsi="Arial"/>
                <w:sz w:val="16"/>
                <w:szCs w:val="16"/>
                <w:color w:val="auto"/>
              </w:rPr>
              <w:t>Mr. Janey</w:t>
            </w:r>
          </w:p>
        </w:tc>
        <w:tc>
          <w:tcPr>
            <w:tcW w:w="3860" w:type="dxa"/>
            <w:vAlign w:val="bottom"/>
          </w:tcPr>
          <w:p>
            <w:pPr>
              <w:jc w:val="right"/>
              <w:spacing w:after="0"/>
              <w:rPr>
                <w:sz w:val="20"/>
                <w:szCs w:val="20"/>
                <w:color w:val="auto"/>
              </w:rPr>
            </w:pPr>
            <w:r>
              <w:rPr>
                <w:rFonts w:ascii="Arial" w:cs="Arial" w:eastAsia="Arial" w:hAnsi="Arial"/>
                <w:sz w:val="16"/>
                <w:szCs w:val="16"/>
                <w:color w:val="auto"/>
              </w:rPr>
              <w:t>33,021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2"/>
        <w:spacing w:after="0"/>
        <w:rPr>
          <w:sz w:val="20"/>
          <w:szCs w:val="20"/>
          <w:color w:val="auto"/>
        </w:rPr>
      </w:pPr>
      <w:r>
        <w:rPr>
          <w:rFonts w:ascii="Arial" w:cs="Arial" w:eastAsia="Arial" w:hAnsi="Arial"/>
          <w:sz w:val="21"/>
          <w:szCs w:val="2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79375</wp:posOffset>
            </wp:positionV>
            <wp:extent cx="715962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33"/>
          </w:cols>
          <w:pgMar w:left="327" w:top="1154" w:right="339" w:bottom="1440" w:gutter="0" w:footer="0" w:header="0"/>
        </w:sectPr>
      </w:pPr>
    </w:p>
    <w:bookmarkStart w:id="69" w:name="page70"/>
    <w:bookmarkEnd w:id="69"/>
    <w:p>
      <w:pPr>
        <w:spacing w:after="0"/>
        <w:rPr>
          <w:sz w:val="20"/>
          <w:szCs w:val="20"/>
          <w:color w:val="auto"/>
        </w:rPr>
      </w:pPr>
      <w:r>
        <w:rPr>
          <w:rFonts w:ascii="Arial" w:cs="Arial" w:eastAsia="Arial" w:hAnsi="Arial"/>
          <w:sz w:val="20"/>
          <w:szCs w:val="20"/>
          <w:b w:val="1"/>
          <w:bCs w:val="1"/>
          <w:color w:val="C00000"/>
        </w:rPr>
        <w:t>Pay Versus Performance (PvP)</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required by Item 402(v) of Regulation S-K, we are proving the following information regarding the relationship between executive</w:t>
      </w:r>
    </w:p>
    <w:p>
      <w:pPr>
        <w:spacing w:after="0" w:line="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compensation and our financial performance for each of the last three completed fiscal years. In determining the “Compensation Actually Paid” (CAP) for PvP purposes to our NEOs, we are required to make various adjustments to amounts that have been previously reported in the</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Summary Compensation Table in previous year, as the SEC’s valuation methods for this section differ from those required in the Summary Compensation Table.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Due to the valuation component of CAP, the dollar amounts do not reflect the actual amounts of compensation earned or paid during the year.</w:t>
      </w:r>
    </w:p>
    <w:p>
      <w:pPr>
        <w:spacing w:after="0" w:line="2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PvP table below summarizes compensation values both previously reported in our Summary Compensation Table, as well as the adjusted values required in this section for the fiscal years 2021 through 2025. For our NEOs other than our principal executive officer (PEO), compensation is reported as an average.</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purposes of the tables below, the principal executive officer (PEO) and no-PEO named executive officers for fiscal 2021 through 2025 are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40" w:type="dxa"/>
            <w:vAlign w:val="bottom"/>
            <w:shd w:val="clear" w:color="auto" w:fill="BF2115"/>
          </w:tcPr>
          <w:p>
            <w:pPr>
              <w:jc w:val="right"/>
              <w:spacing w:after="0"/>
              <w:rPr>
                <w:sz w:val="20"/>
                <w:szCs w:val="20"/>
                <w:color w:val="auto"/>
              </w:rPr>
            </w:pPr>
            <w:r>
              <w:rPr>
                <w:rFonts w:ascii="Arial" w:cs="Arial" w:eastAsia="Arial" w:hAnsi="Arial"/>
                <w:sz w:val="16"/>
                <w:szCs w:val="16"/>
                <w:b w:val="1"/>
                <w:bCs w:val="1"/>
                <w:color w:val="FFFFFF"/>
              </w:rPr>
              <w:t>Year</w:t>
            </w:r>
          </w:p>
        </w:tc>
        <w:tc>
          <w:tcPr>
            <w:tcW w:w="1600" w:type="dxa"/>
            <w:vAlign w:val="bottom"/>
            <w:shd w:val="clear" w:color="auto" w:fill="BF2115"/>
          </w:tcPr>
          <w:p>
            <w:pPr>
              <w:jc w:val="right"/>
              <w:ind w:right="160"/>
              <w:spacing w:after="0"/>
              <w:rPr>
                <w:sz w:val="20"/>
                <w:szCs w:val="20"/>
                <w:color w:val="auto"/>
              </w:rPr>
            </w:pPr>
            <w:r>
              <w:rPr>
                <w:rFonts w:ascii="Arial" w:cs="Arial" w:eastAsia="Arial" w:hAnsi="Arial"/>
                <w:sz w:val="16"/>
                <w:szCs w:val="16"/>
                <w:b w:val="1"/>
                <w:bCs w:val="1"/>
                <w:color w:val="FFFFFF"/>
              </w:rPr>
              <w:t>PEO</w:t>
            </w:r>
          </w:p>
        </w:tc>
        <w:tc>
          <w:tcPr>
            <w:tcW w:w="1420" w:type="dxa"/>
            <w:vAlign w:val="bottom"/>
            <w:shd w:val="clear" w:color="auto" w:fill="BF2115"/>
          </w:tcPr>
          <w:p>
            <w:pPr>
              <w:spacing w:after="0"/>
              <w:rPr>
                <w:sz w:val="20"/>
                <w:szCs w:val="20"/>
                <w:color w:val="auto"/>
              </w:rPr>
            </w:pPr>
          </w:p>
        </w:tc>
        <w:tc>
          <w:tcPr>
            <w:tcW w:w="1560" w:type="dxa"/>
            <w:vAlign w:val="bottom"/>
            <w:shd w:val="clear" w:color="auto" w:fill="BF2115"/>
          </w:tcPr>
          <w:p>
            <w:pPr>
              <w:spacing w:after="0"/>
              <w:rPr>
                <w:sz w:val="20"/>
                <w:szCs w:val="20"/>
                <w:color w:val="auto"/>
              </w:rPr>
            </w:pPr>
          </w:p>
        </w:tc>
        <w:tc>
          <w:tcPr>
            <w:tcW w:w="2940" w:type="dxa"/>
            <w:vAlign w:val="bottom"/>
            <w:gridSpan w:val="2"/>
            <w:shd w:val="clear" w:color="auto" w:fill="BF2115"/>
          </w:tcPr>
          <w:p>
            <w:pPr>
              <w:jc w:val="right"/>
              <w:ind w:right="521"/>
              <w:spacing w:after="0"/>
              <w:rPr>
                <w:sz w:val="20"/>
                <w:szCs w:val="20"/>
                <w:color w:val="auto"/>
              </w:rPr>
            </w:pPr>
            <w:r>
              <w:rPr>
                <w:rFonts w:ascii="Arial" w:cs="Arial" w:eastAsia="Arial" w:hAnsi="Arial"/>
                <w:sz w:val="16"/>
                <w:szCs w:val="16"/>
                <w:b w:val="1"/>
                <w:bCs w:val="1"/>
                <w:color w:val="FFFFFF"/>
              </w:rPr>
              <w:t>Non-PEO NEOs</w:t>
            </w:r>
          </w:p>
        </w:tc>
        <w:tc>
          <w:tcPr>
            <w:tcW w:w="1180" w:type="dxa"/>
            <w:vAlign w:val="bottom"/>
            <w:shd w:val="clear" w:color="auto" w:fill="BF2115"/>
          </w:tcPr>
          <w:p>
            <w:pPr>
              <w:spacing w:after="0"/>
              <w:rPr>
                <w:sz w:val="20"/>
                <w:szCs w:val="20"/>
                <w:color w:val="auto"/>
              </w:rPr>
            </w:pPr>
          </w:p>
        </w:tc>
        <w:tc>
          <w:tcPr>
            <w:tcW w:w="880" w:type="dxa"/>
            <w:vAlign w:val="bottom"/>
            <w:shd w:val="clear" w:color="auto" w:fill="BF2115"/>
          </w:tcPr>
          <w:p>
            <w:pPr>
              <w:spacing w:after="0"/>
              <w:rPr>
                <w:sz w:val="20"/>
                <w:szCs w:val="20"/>
                <w:color w:val="auto"/>
              </w:rPr>
            </w:pPr>
          </w:p>
        </w:tc>
        <w:tc>
          <w:tcPr>
            <w:tcW w:w="1020" w:type="dxa"/>
            <w:vAlign w:val="bottom"/>
            <w:shd w:val="clear" w:color="auto" w:fill="BF2115"/>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4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6"/>
                <w:szCs w:val="16"/>
                <w:color w:val="auto"/>
              </w:rPr>
              <w:t>2025</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Richard M. Olson</w:t>
            </w:r>
          </w:p>
        </w:tc>
        <w:tc>
          <w:tcPr>
            <w:tcW w:w="5920" w:type="dxa"/>
            <w:vAlign w:val="bottom"/>
            <w:tcBorders>
              <w:bottom w:val="single" w:sz="8" w:color="DBDBDB"/>
            </w:tcBorders>
            <w:gridSpan w:val="4"/>
            <w:shd w:val="clear" w:color="auto" w:fill="DBDBDB"/>
          </w:tcPr>
          <w:p>
            <w:pPr>
              <w:ind w:left="500"/>
              <w:spacing w:after="0"/>
              <w:rPr>
                <w:sz w:val="20"/>
                <w:szCs w:val="20"/>
                <w:color w:val="auto"/>
              </w:rPr>
            </w:pPr>
            <w:r>
              <w:rPr>
                <w:rFonts w:ascii="Arial" w:cs="Arial" w:eastAsia="Arial" w:hAnsi="Arial"/>
                <w:sz w:val="16"/>
                <w:szCs w:val="16"/>
                <w:color w:val="auto"/>
              </w:rPr>
              <w:t>Angela C. Drake, Edric C. Funk, Peter D. Moeller and Gregory S. Janey</w:t>
            </w:r>
          </w:p>
        </w:tc>
        <w:tc>
          <w:tcPr>
            <w:tcW w:w="1180" w:type="dxa"/>
            <w:vAlign w:val="bottom"/>
            <w:tcBorders>
              <w:bottom w:val="single" w:sz="8" w:color="DBDBDB"/>
            </w:tcBorders>
            <w:shd w:val="clear" w:color="auto" w:fill="DBDBDB"/>
          </w:tcPr>
          <w:p>
            <w:pPr>
              <w:spacing w:after="0"/>
              <w:rPr>
                <w:sz w:val="19"/>
                <w:szCs w:val="19"/>
                <w:color w:val="auto"/>
              </w:rPr>
            </w:pPr>
          </w:p>
        </w:tc>
        <w:tc>
          <w:tcPr>
            <w:tcW w:w="88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40" w:type="dxa"/>
            <w:vAlign w:val="bottom"/>
          </w:tcPr>
          <w:p>
            <w:pPr>
              <w:jc w:val="right"/>
              <w:ind w:right="180"/>
              <w:spacing w:after="0"/>
              <w:rPr>
                <w:sz w:val="20"/>
                <w:szCs w:val="20"/>
                <w:color w:val="auto"/>
              </w:rPr>
            </w:pPr>
            <w:r>
              <w:rPr>
                <w:rFonts w:ascii="Arial" w:cs="Arial" w:eastAsia="Arial" w:hAnsi="Arial"/>
                <w:sz w:val="16"/>
                <w:szCs w:val="16"/>
                <w:color w:val="auto"/>
              </w:rPr>
              <w:t>2024</w:t>
            </w:r>
          </w:p>
        </w:tc>
        <w:tc>
          <w:tcPr>
            <w:tcW w:w="1600" w:type="dxa"/>
            <w:vAlign w:val="bottom"/>
          </w:tcPr>
          <w:p>
            <w:pPr>
              <w:jc w:val="right"/>
              <w:spacing w:after="0"/>
              <w:rPr>
                <w:sz w:val="20"/>
                <w:szCs w:val="20"/>
                <w:color w:val="auto"/>
              </w:rPr>
            </w:pPr>
            <w:r>
              <w:rPr>
                <w:rFonts w:ascii="Arial" w:cs="Arial" w:eastAsia="Arial" w:hAnsi="Arial"/>
                <w:sz w:val="16"/>
                <w:szCs w:val="16"/>
                <w:color w:val="auto"/>
              </w:rPr>
              <w:t>Richard M. Olson</w:t>
            </w:r>
          </w:p>
        </w:tc>
        <w:tc>
          <w:tcPr>
            <w:tcW w:w="5920" w:type="dxa"/>
            <w:vAlign w:val="bottom"/>
            <w:gridSpan w:val="4"/>
          </w:tcPr>
          <w:p>
            <w:pPr>
              <w:ind w:left="500"/>
              <w:spacing w:after="0"/>
              <w:rPr>
                <w:sz w:val="20"/>
                <w:szCs w:val="20"/>
                <w:color w:val="auto"/>
              </w:rPr>
            </w:pPr>
            <w:r>
              <w:rPr>
                <w:rFonts w:ascii="Arial" w:cs="Arial" w:eastAsia="Arial" w:hAnsi="Arial"/>
                <w:sz w:val="16"/>
                <w:szCs w:val="16"/>
                <w:color w:val="auto"/>
              </w:rPr>
              <w:t>Angela C. Drake, Kevin N. Carpenter, Amy E. Dahl and Joanna M. Totsky</w:t>
            </w: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980" w:type="dxa"/>
            <w:vAlign w:val="bottom"/>
            <w:gridSpan w:val="6"/>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6"/>
                <w:szCs w:val="16"/>
                <w:color w:val="auto"/>
              </w:rPr>
              <w:t>2023</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Richard M. Olson</w:t>
            </w:r>
          </w:p>
        </w:tc>
        <w:tc>
          <w:tcPr>
            <w:tcW w:w="7980" w:type="dxa"/>
            <w:vAlign w:val="bottom"/>
            <w:tcBorders>
              <w:bottom w:val="single" w:sz="8" w:color="DBDBDB"/>
            </w:tcBorders>
            <w:gridSpan w:val="6"/>
            <w:shd w:val="clear" w:color="auto" w:fill="DBDBDB"/>
          </w:tcPr>
          <w:p>
            <w:pPr>
              <w:ind w:left="500"/>
              <w:spacing w:after="0"/>
              <w:rPr>
                <w:sz w:val="20"/>
                <w:szCs w:val="20"/>
                <w:color w:val="auto"/>
              </w:rPr>
            </w:pPr>
            <w:r>
              <w:rPr>
                <w:rFonts w:ascii="Arial" w:cs="Arial" w:eastAsia="Arial" w:hAnsi="Arial"/>
                <w:sz w:val="16"/>
                <w:szCs w:val="16"/>
                <w:color w:val="auto"/>
                <w:w w:val="99"/>
              </w:rPr>
              <w:t>Angela C. Drake, Renee J. Peterson, Amy E. Dahl, Joanna M. Totsky, Greg Janey and Richard W. Rodier</w:t>
            </w:r>
          </w:p>
        </w:tc>
        <w:tc>
          <w:tcPr>
            <w:tcW w:w="102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40" w:type="dxa"/>
            <w:vAlign w:val="bottom"/>
          </w:tcPr>
          <w:p>
            <w:pPr>
              <w:jc w:val="right"/>
              <w:ind w:right="180"/>
              <w:spacing w:after="0"/>
              <w:rPr>
                <w:sz w:val="20"/>
                <w:szCs w:val="20"/>
                <w:color w:val="auto"/>
              </w:rPr>
            </w:pPr>
            <w:r>
              <w:rPr>
                <w:rFonts w:ascii="Arial" w:cs="Arial" w:eastAsia="Arial" w:hAnsi="Arial"/>
                <w:sz w:val="16"/>
                <w:szCs w:val="16"/>
                <w:color w:val="auto"/>
              </w:rPr>
              <w:t>2022</w:t>
            </w:r>
          </w:p>
        </w:tc>
        <w:tc>
          <w:tcPr>
            <w:tcW w:w="1600" w:type="dxa"/>
            <w:vAlign w:val="bottom"/>
          </w:tcPr>
          <w:p>
            <w:pPr>
              <w:jc w:val="right"/>
              <w:spacing w:after="0"/>
              <w:rPr>
                <w:sz w:val="20"/>
                <w:szCs w:val="20"/>
                <w:color w:val="auto"/>
              </w:rPr>
            </w:pPr>
            <w:r>
              <w:rPr>
                <w:rFonts w:ascii="Arial" w:cs="Arial" w:eastAsia="Arial" w:hAnsi="Arial"/>
                <w:sz w:val="16"/>
                <w:szCs w:val="16"/>
                <w:color w:val="auto"/>
              </w:rPr>
              <w:t>Richard M. Olson</w:t>
            </w:r>
          </w:p>
        </w:tc>
        <w:tc>
          <w:tcPr>
            <w:tcW w:w="5920" w:type="dxa"/>
            <w:vAlign w:val="bottom"/>
            <w:gridSpan w:val="4"/>
          </w:tcPr>
          <w:p>
            <w:pPr>
              <w:ind w:left="500"/>
              <w:spacing w:after="0"/>
              <w:rPr>
                <w:sz w:val="20"/>
                <w:szCs w:val="20"/>
                <w:color w:val="auto"/>
              </w:rPr>
            </w:pPr>
            <w:r>
              <w:rPr>
                <w:rFonts w:ascii="Arial" w:cs="Arial" w:eastAsia="Arial" w:hAnsi="Arial"/>
                <w:sz w:val="16"/>
                <w:szCs w:val="16"/>
                <w:color w:val="auto"/>
                <w:w w:val="99"/>
              </w:rPr>
              <w:t>Renee J. Peterson, Kevin N. Carpenter, Richard W. Rodier and Amy E. Dahl</w:t>
            </w: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100" w:type="dxa"/>
            <w:vAlign w:val="bottom"/>
            <w:gridSpan w:val="5"/>
          </w:tcPr>
          <w:p>
            <w:pPr>
              <w:spacing w:after="0"/>
              <w:rPr>
                <w:sz w:val="2"/>
                <w:szCs w:val="2"/>
                <w:color w:val="auto"/>
              </w:rPr>
            </w:pPr>
          </w:p>
        </w:tc>
        <w:tc>
          <w:tcPr>
            <w:tcW w:w="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6"/>
                <w:szCs w:val="16"/>
                <w:color w:val="auto"/>
              </w:rPr>
              <w:t>2021</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Richard M. Olson</w:t>
            </w:r>
          </w:p>
        </w:tc>
        <w:tc>
          <w:tcPr>
            <w:tcW w:w="7100" w:type="dxa"/>
            <w:vAlign w:val="bottom"/>
            <w:tcBorders>
              <w:bottom w:val="single" w:sz="8" w:color="DBDBDB"/>
            </w:tcBorders>
            <w:gridSpan w:val="5"/>
            <w:shd w:val="clear" w:color="auto" w:fill="DBDBDB"/>
          </w:tcPr>
          <w:p>
            <w:pPr>
              <w:ind w:left="500"/>
              <w:spacing w:after="0"/>
              <w:rPr>
                <w:sz w:val="20"/>
                <w:szCs w:val="20"/>
                <w:color w:val="auto"/>
              </w:rPr>
            </w:pPr>
            <w:r>
              <w:rPr>
                <w:rFonts w:ascii="Arial" w:cs="Arial" w:eastAsia="Arial" w:hAnsi="Arial"/>
                <w:sz w:val="16"/>
                <w:szCs w:val="16"/>
                <w:color w:val="auto"/>
              </w:rPr>
              <w:t>Renee J. Peterson, Richard W. Rodier, Amy E. Dahl and Bradley A. Hamilton</w:t>
            </w:r>
          </w:p>
        </w:tc>
        <w:tc>
          <w:tcPr>
            <w:tcW w:w="88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6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600" w:type="dxa"/>
            <w:vAlign w:val="bottom"/>
            <w:gridSpan w:val="2"/>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640" w:type="dxa"/>
            <w:vAlign w:val="bottom"/>
            <w:shd w:val="clear" w:color="auto" w:fill="BF2115"/>
          </w:tcPr>
          <w:p>
            <w:pPr>
              <w:spacing w:after="0"/>
              <w:rPr>
                <w:sz w:val="20"/>
                <w:szCs w:val="20"/>
                <w:color w:val="auto"/>
              </w:rPr>
            </w:pPr>
          </w:p>
        </w:tc>
        <w:tc>
          <w:tcPr>
            <w:tcW w:w="1600" w:type="dxa"/>
            <w:vAlign w:val="bottom"/>
            <w:shd w:val="clear" w:color="auto" w:fill="BF2115"/>
          </w:tcPr>
          <w:p>
            <w:pPr>
              <w:spacing w:after="0"/>
              <w:rPr>
                <w:sz w:val="20"/>
                <w:szCs w:val="20"/>
                <w:color w:val="auto"/>
              </w:rPr>
            </w:pPr>
          </w:p>
        </w:tc>
        <w:tc>
          <w:tcPr>
            <w:tcW w:w="1420" w:type="dxa"/>
            <w:vAlign w:val="bottom"/>
            <w:shd w:val="clear" w:color="auto" w:fill="BF2115"/>
          </w:tcPr>
          <w:p>
            <w:pPr>
              <w:spacing w:after="0"/>
              <w:rPr>
                <w:sz w:val="20"/>
                <w:szCs w:val="20"/>
                <w:color w:val="auto"/>
              </w:rPr>
            </w:pPr>
          </w:p>
        </w:tc>
        <w:tc>
          <w:tcPr>
            <w:tcW w:w="1560" w:type="dxa"/>
            <w:vAlign w:val="bottom"/>
            <w:shd w:val="clear" w:color="auto" w:fill="BF2115"/>
          </w:tcPr>
          <w:p>
            <w:pPr>
              <w:spacing w:after="0"/>
              <w:rPr>
                <w:sz w:val="20"/>
                <w:szCs w:val="20"/>
                <w:color w:val="auto"/>
              </w:rPr>
            </w:pPr>
          </w:p>
        </w:tc>
        <w:tc>
          <w:tcPr>
            <w:tcW w:w="1520" w:type="dxa"/>
            <w:vAlign w:val="bottom"/>
            <w:shd w:val="clear" w:color="auto" w:fill="BF2115"/>
          </w:tcPr>
          <w:p>
            <w:pPr>
              <w:spacing w:after="0"/>
              <w:rPr>
                <w:sz w:val="20"/>
                <w:szCs w:val="20"/>
                <w:color w:val="auto"/>
              </w:rPr>
            </w:pPr>
          </w:p>
        </w:tc>
        <w:tc>
          <w:tcPr>
            <w:tcW w:w="2600" w:type="dxa"/>
            <w:vAlign w:val="bottom"/>
            <w:gridSpan w:val="2"/>
            <w:shd w:val="clear" w:color="auto" w:fill="BF2115"/>
          </w:tcPr>
          <w:p>
            <w:pPr>
              <w:jc w:val="right"/>
              <w:ind w:right="321"/>
              <w:spacing w:after="0"/>
              <w:rPr>
                <w:sz w:val="20"/>
                <w:szCs w:val="20"/>
                <w:color w:val="auto"/>
              </w:rPr>
            </w:pPr>
            <w:r>
              <w:rPr>
                <w:rFonts w:ascii="Arial" w:cs="Arial" w:eastAsia="Arial" w:hAnsi="Arial"/>
                <w:sz w:val="16"/>
                <w:szCs w:val="16"/>
                <w:b w:val="1"/>
                <w:bCs w:val="1"/>
                <w:color w:val="FFFFFF"/>
              </w:rPr>
              <w:t>Value of Initial Fixed $100</w:t>
            </w:r>
          </w:p>
        </w:tc>
        <w:tc>
          <w:tcPr>
            <w:tcW w:w="880" w:type="dxa"/>
            <w:vAlign w:val="bottom"/>
            <w:shd w:val="clear" w:color="auto" w:fill="BF2115"/>
          </w:tcPr>
          <w:p>
            <w:pPr>
              <w:spacing w:after="0"/>
              <w:rPr>
                <w:sz w:val="20"/>
                <w:szCs w:val="20"/>
                <w:color w:val="auto"/>
              </w:rPr>
            </w:pPr>
          </w:p>
        </w:tc>
        <w:tc>
          <w:tcPr>
            <w:tcW w:w="1020" w:type="dxa"/>
            <w:vAlign w:val="bottom"/>
            <w:shd w:val="clear" w:color="auto" w:fill="BF2115"/>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40" w:type="dxa"/>
            <w:vAlign w:val="bottom"/>
            <w:shd w:val="clear" w:color="auto" w:fill="BF2115"/>
          </w:tcPr>
          <w:p>
            <w:pPr>
              <w:spacing w:after="0"/>
              <w:rPr>
                <w:sz w:val="19"/>
                <w:szCs w:val="19"/>
                <w:color w:val="auto"/>
              </w:rPr>
            </w:pPr>
          </w:p>
        </w:tc>
        <w:tc>
          <w:tcPr>
            <w:tcW w:w="1600" w:type="dxa"/>
            <w:vAlign w:val="bottom"/>
            <w:shd w:val="clear" w:color="auto" w:fill="BF2115"/>
          </w:tcPr>
          <w:p>
            <w:pPr>
              <w:spacing w:after="0"/>
              <w:rPr>
                <w:sz w:val="19"/>
                <w:szCs w:val="19"/>
                <w:color w:val="auto"/>
              </w:rPr>
            </w:pPr>
          </w:p>
        </w:tc>
        <w:tc>
          <w:tcPr>
            <w:tcW w:w="1420" w:type="dxa"/>
            <w:vAlign w:val="bottom"/>
            <w:shd w:val="clear" w:color="auto" w:fill="BF2115"/>
          </w:tcPr>
          <w:p>
            <w:pPr>
              <w:spacing w:after="0"/>
              <w:rPr>
                <w:sz w:val="19"/>
                <w:szCs w:val="19"/>
                <w:color w:val="auto"/>
              </w:rPr>
            </w:pPr>
          </w:p>
        </w:tc>
        <w:tc>
          <w:tcPr>
            <w:tcW w:w="1560" w:type="dxa"/>
            <w:vAlign w:val="bottom"/>
            <w:shd w:val="clear" w:color="auto" w:fill="BF2115"/>
          </w:tcPr>
          <w:p>
            <w:pPr>
              <w:spacing w:after="0"/>
              <w:rPr>
                <w:sz w:val="19"/>
                <w:szCs w:val="19"/>
                <w:color w:val="auto"/>
              </w:rPr>
            </w:pPr>
          </w:p>
        </w:tc>
        <w:tc>
          <w:tcPr>
            <w:tcW w:w="1520" w:type="dxa"/>
            <w:vAlign w:val="bottom"/>
            <w:shd w:val="clear" w:color="auto" w:fill="BF2115"/>
          </w:tcPr>
          <w:p>
            <w:pPr>
              <w:spacing w:after="0"/>
              <w:rPr>
                <w:sz w:val="19"/>
                <w:szCs w:val="19"/>
                <w:color w:val="auto"/>
              </w:rPr>
            </w:pPr>
          </w:p>
        </w:tc>
        <w:tc>
          <w:tcPr>
            <w:tcW w:w="2600" w:type="dxa"/>
            <w:vAlign w:val="bottom"/>
            <w:gridSpan w:val="2"/>
            <w:shd w:val="clear" w:color="auto" w:fill="BF2115"/>
          </w:tcPr>
          <w:p>
            <w:pPr>
              <w:jc w:val="right"/>
              <w:ind w:right="441"/>
              <w:spacing w:after="0"/>
              <w:rPr>
                <w:sz w:val="20"/>
                <w:szCs w:val="20"/>
                <w:color w:val="auto"/>
              </w:rPr>
            </w:pPr>
            <w:r>
              <w:rPr>
                <w:rFonts w:ascii="Arial" w:cs="Arial" w:eastAsia="Arial" w:hAnsi="Arial"/>
                <w:sz w:val="16"/>
                <w:szCs w:val="16"/>
                <w:b w:val="1"/>
                <w:bCs w:val="1"/>
                <w:color w:val="FFFFFF"/>
              </w:rPr>
              <w:t>Investment Based On:</w:t>
            </w:r>
          </w:p>
        </w:tc>
        <w:tc>
          <w:tcPr>
            <w:tcW w:w="880" w:type="dxa"/>
            <w:vAlign w:val="bottom"/>
            <w:shd w:val="clear" w:color="auto" w:fill="BF2115"/>
          </w:tcPr>
          <w:p>
            <w:pPr>
              <w:spacing w:after="0"/>
              <w:rPr>
                <w:sz w:val="19"/>
                <w:szCs w:val="19"/>
                <w:color w:val="auto"/>
              </w:rPr>
            </w:pPr>
          </w:p>
        </w:tc>
        <w:tc>
          <w:tcPr>
            <w:tcW w:w="1020" w:type="dxa"/>
            <w:vAlign w:val="bottom"/>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640" w:type="dxa"/>
            <w:vAlign w:val="bottom"/>
            <w:shd w:val="clear" w:color="auto" w:fill="BF2115"/>
          </w:tcPr>
          <w:p>
            <w:pPr>
              <w:spacing w:after="0"/>
              <w:rPr>
                <w:sz w:val="21"/>
                <w:szCs w:val="21"/>
                <w:color w:val="auto"/>
              </w:rPr>
            </w:pPr>
          </w:p>
        </w:tc>
        <w:tc>
          <w:tcPr>
            <w:tcW w:w="1600" w:type="dxa"/>
            <w:vAlign w:val="bottom"/>
            <w:vMerge w:val="restart"/>
            <w:shd w:val="clear" w:color="auto" w:fill="BF2115"/>
          </w:tcPr>
          <w:p>
            <w:pPr>
              <w:jc w:val="center"/>
              <w:ind w:right="60"/>
              <w:spacing w:after="0"/>
              <w:rPr>
                <w:sz w:val="20"/>
                <w:szCs w:val="20"/>
                <w:color w:val="auto"/>
              </w:rPr>
            </w:pPr>
            <w:r>
              <w:rPr>
                <w:rFonts w:ascii="Arial" w:cs="Arial" w:eastAsia="Arial" w:hAnsi="Arial"/>
                <w:sz w:val="16"/>
                <w:szCs w:val="16"/>
                <w:b w:val="1"/>
                <w:bCs w:val="1"/>
                <w:color w:val="FFFFFF"/>
              </w:rPr>
              <w:t>Summary</w:t>
            </w:r>
          </w:p>
        </w:tc>
        <w:tc>
          <w:tcPr>
            <w:tcW w:w="1420" w:type="dxa"/>
            <w:vAlign w:val="bottom"/>
            <w:vMerge w:val="restart"/>
            <w:shd w:val="clear" w:color="auto" w:fill="BF2115"/>
          </w:tcPr>
          <w:p>
            <w:pPr>
              <w:jc w:val="center"/>
              <w:ind w:right="41"/>
              <w:spacing w:after="0"/>
              <w:rPr>
                <w:sz w:val="20"/>
                <w:szCs w:val="20"/>
                <w:color w:val="auto"/>
              </w:rPr>
            </w:pPr>
            <w:r>
              <w:rPr>
                <w:rFonts w:ascii="Arial" w:cs="Arial" w:eastAsia="Arial" w:hAnsi="Arial"/>
                <w:sz w:val="16"/>
                <w:szCs w:val="16"/>
                <w:b w:val="1"/>
                <w:bCs w:val="1"/>
                <w:color w:val="FFFFFF"/>
                <w:w w:val="98"/>
              </w:rPr>
              <w:t>Compensation</w:t>
            </w:r>
          </w:p>
        </w:tc>
        <w:tc>
          <w:tcPr>
            <w:tcW w:w="1560" w:type="dxa"/>
            <w:vAlign w:val="bottom"/>
            <w:shd w:val="clear" w:color="auto" w:fill="BF2115"/>
          </w:tcPr>
          <w:p>
            <w:pPr>
              <w:jc w:val="center"/>
              <w:ind w:right="2"/>
              <w:spacing w:after="0"/>
              <w:rPr>
                <w:sz w:val="20"/>
                <w:szCs w:val="20"/>
                <w:color w:val="auto"/>
              </w:rPr>
            </w:pPr>
            <w:r>
              <w:rPr>
                <w:rFonts w:ascii="Arial" w:cs="Arial" w:eastAsia="Arial" w:hAnsi="Arial"/>
                <w:sz w:val="15"/>
                <w:szCs w:val="15"/>
                <w:b w:val="1"/>
                <w:bCs w:val="1"/>
                <w:color w:val="FFFFFF"/>
              </w:rPr>
              <w:t>Average Summary</w:t>
            </w:r>
          </w:p>
        </w:tc>
        <w:tc>
          <w:tcPr>
            <w:tcW w:w="1520" w:type="dxa"/>
            <w:vAlign w:val="bottom"/>
            <w:shd w:val="clear" w:color="auto" w:fill="BF2115"/>
          </w:tcPr>
          <w:p>
            <w:pPr>
              <w:jc w:val="center"/>
              <w:ind w:right="83"/>
              <w:spacing w:after="0"/>
              <w:rPr>
                <w:sz w:val="20"/>
                <w:szCs w:val="20"/>
                <w:color w:val="auto"/>
              </w:rPr>
            </w:pPr>
            <w:r>
              <w:rPr>
                <w:rFonts w:ascii="Arial" w:cs="Arial" w:eastAsia="Arial" w:hAnsi="Arial"/>
                <w:sz w:val="15"/>
                <w:szCs w:val="15"/>
                <w:b w:val="1"/>
                <w:bCs w:val="1"/>
                <w:color w:val="FFFFFF"/>
              </w:rPr>
              <w:t>Average</w:t>
            </w:r>
          </w:p>
        </w:tc>
        <w:tc>
          <w:tcPr>
            <w:tcW w:w="1420" w:type="dxa"/>
            <w:vAlign w:val="bottom"/>
            <w:vMerge w:val="restart"/>
            <w:shd w:val="clear" w:color="auto" w:fill="BF2115"/>
          </w:tcPr>
          <w:p>
            <w:pPr>
              <w:jc w:val="center"/>
              <w:ind w:right="181"/>
              <w:spacing w:after="0"/>
              <w:rPr>
                <w:sz w:val="20"/>
                <w:szCs w:val="20"/>
                <w:color w:val="auto"/>
              </w:rPr>
            </w:pPr>
            <w:r>
              <w:rPr>
                <w:rFonts w:ascii="Arial" w:cs="Arial" w:eastAsia="Arial" w:hAnsi="Arial"/>
                <w:sz w:val="16"/>
                <w:szCs w:val="16"/>
                <w:b w:val="1"/>
                <w:bCs w:val="1"/>
                <w:color w:val="FFFFFF"/>
                <w:w w:val="94"/>
              </w:rPr>
              <w:t>Total</w:t>
            </w:r>
          </w:p>
        </w:tc>
        <w:tc>
          <w:tcPr>
            <w:tcW w:w="1180" w:type="dxa"/>
            <w:vAlign w:val="bottom"/>
            <w:shd w:val="clear" w:color="auto" w:fill="BF2115"/>
          </w:tcPr>
          <w:p>
            <w:pPr>
              <w:jc w:val="center"/>
              <w:ind w:right="161"/>
              <w:spacing w:after="0"/>
              <w:rPr>
                <w:sz w:val="20"/>
                <w:szCs w:val="20"/>
                <w:color w:val="auto"/>
              </w:rPr>
            </w:pPr>
            <w:r>
              <w:rPr>
                <w:rFonts w:ascii="Arial" w:cs="Arial" w:eastAsia="Arial" w:hAnsi="Arial"/>
                <w:sz w:val="16"/>
                <w:szCs w:val="16"/>
                <w:b w:val="1"/>
                <w:bCs w:val="1"/>
                <w:color w:val="FFFFFF"/>
                <w:w w:val="98"/>
              </w:rPr>
              <w:t>Peer Group</w:t>
            </w:r>
          </w:p>
        </w:tc>
        <w:tc>
          <w:tcPr>
            <w:tcW w:w="880" w:type="dxa"/>
            <w:vAlign w:val="bottom"/>
            <w:shd w:val="clear" w:color="auto" w:fill="BF2115"/>
          </w:tcPr>
          <w:p>
            <w:pPr>
              <w:spacing w:after="0"/>
              <w:rPr>
                <w:sz w:val="21"/>
                <w:szCs w:val="21"/>
                <w:color w:val="auto"/>
              </w:rPr>
            </w:pPr>
          </w:p>
        </w:tc>
        <w:tc>
          <w:tcPr>
            <w:tcW w:w="1020" w:type="dxa"/>
            <w:vAlign w:val="bottom"/>
            <w:shd w:val="clear" w:color="auto" w:fill="BF2115"/>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640" w:type="dxa"/>
            <w:vAlign w:val="bottom"/>
            <w:shd w:val="clear" w:color="auto" w:fill="BF2115"/>
          </w:tcPr>
          <w:p>
            <w:pPr>
              <w:spacing w:after="0"/>
              <w:rPr>
                <w:sz w:val="12"/>
                <w:szCs w:val="12"/>
                <w:color w:val="auto"/>
              </w:rPr>
            </w:pPr>
          </w:p>
        </w:tc>
        <w:tc>
          <w:tcPr>
            <w:tcW w:w="1600" w:type="dxa"/>
            <w:vAlign w:val="bottom"/>
            <w:vMerge w:val="continue"/>
            <w:shd w:val="clear" w:color="auto" w:fill="BF2115"/>
          </w:tcPr>
          <w:p>
            <w:pPr>
              <w:spacing w:after="0"/>
              <w:rPr>
                <w:sz w:val="12"/>
                <w:szCs w:val="12"/>
                <w:color w:val="auto"/>
              </w:rPr>
            </w:pPr>
          </w:p>
        </w:tc>
        <w:tc>
          <w:tcPr>
            <w:tcW w:w="1420" w:type="dxa"/>
            <w:vAlign w:val="bottom"/>
            <w:vMerge w:val="continue"/>
            <w:shd w:val="clear" w:color="auto" w:fill="BF2115"/>
          </w:tcPr>
          <w:p>
            <w:pPr>
              <w:spacing w:after="0"/>
              <w:rPr>
                <w:sz w:val="12"/>
                <w:szCs w:val="12"/>
                <w:color w:val="auto"/>
              </w:rPr>
            </w:pPr>
          </w:p>
        </w:tc>
        <w:tc>
          <w:tcPr>
            <w:tcW w:w="1560" w:type="dxa"/>
            <w:vAlign w:val="bottom"/>
            <w:shd w:val="clear" w:color="auto" w:fill="BF2115"/>
          </w:tcPr>
          <w:p>
            <w:pPr>
              <w:jc w:val="center"/>
              <w:ind w:right="2"/>
              <w:spacing w:after="0" w:line="147" w:lineRule="exact"/>
              <w:rPr>
                <w:sz w:val="20"/>
                <w:szCs w:val="20"/>
                <w:color w:val="auto"/>
              </w:rPr>
            </w:pPr>
            <w:r>
              <w:rPr>
                <w:rFonts w:ascii="Arial" w:cs="Arial" w:eastAsia="Arial" w:hAnsi="Arial"/>
                <w:sz w:val="15"/>
                <w:szCs w:val="15"/>
                <w:b w:val="1"/>
                <w:bCs w:val="1"/>
                <w:color w:val="FFFFFF"/>
                <w:w w:val="99"/>
              </w:rPr>
              <w:t>Compensation</w:t>
            </w:r>
          </w:p>
        </w:tc>
        <w:tc>
          <w:tcPr>
            <w:tcW w:w="1520" w:type="dxa"/>
            <w:vAlign w:val="bottom"/>
            <w:shd w:val="clear" w:color="auto" w:fill="BF2115"/>
          </w:tcPr>
          <w:p>
            <w:pPr>
              <w:jc w:val="center"/>
              <w:ind w:right="83"/>
              <w:spacing w:after="0" w:line="147" w:lineRule="exact"/>
              <w:rPr>
                <w:sz w:val="20"/>
                <w:szCs w:val="20"/>
                <w:color w:val="auto"/>
              </w:rPr>
            </w:pPr>
            <w:r>
              <w:rPr>
                <w:rFonts w:ascii="Arial" w:cs="Arial" w:eastAsia="Arial" w:hAnsi="Arial"/>
                <w:sz w:val="15"/>
                <w:szCs w:val="15"/>
                <w:b w:val="1"/>
                <w:bCs w:val="1"/>
                <w:color w:val="FFFFFF"/>
                <w:w w:val="99"/>
              </w:rPr>
              <w:t>Compensation</w:t>
            </w:r>
          </w:p>
        </w:tc>
        <w:tc>
          <w:tcPr>
            <w:tcW w:w="1420" w:type="dxa"/>
            <w:vAlign w:val="bottom"/>
            <w:vMerge w:val="continue"/>
            <w:shd w:val="clear" w:color="auto" w:fill="BF2115"/>
          </w:tcPr>
          <w:p>
            <w:pPr>
              <w:spacing w:after="0"/>
              <w:rPr>
                <w:sz w:val="12"/>
                <w:szCs w:val="12"/>
                <w:color w:val="auto"/>
              </w:rPr>
            </w:pPr>
          </w:p>
        </w:tc>
        <w:tc>
          <w:tcPr>
            <w:tcW w:w="1180" w:type="dxa"/>
            <w:vAlign w:val="bottom"/>
            <w:shd w:val="clear" w:color="auto" w:fill="BF2115"/>
          </w:tcPr>
          <w:p>
            <w:pPr>
              <w:jc w:val="center"/>
              <w:ind w:right="161"/>
              <w:spacing w:after="0" w:line="147" w:lineRule="exact"/>
              <w:rPr>
                <w:sz w:val="20"/>
                <w:szCs w:val="20"/>
                <w:color w:val="auto"/>
              </w:rPr>
            </w:pPr>
            <w:r>
              <w:rPr>
                <w:rFonts w:ascii="Arial" w:cs="Arial" w:eastAsia="Arial" w:hAnsi="Arial"/>
                <w:sz w:val="16"/>
                <w:szCs w:val="16"/>
                <w:b w:val="1"/>
                <w:bCs w:val="1"/>
                <w:color w:val="FFFFFF"/>
                <w:w w:val="99"/>
              </w:rPr>
              <w:t>Total</w:t>
            </w:r>
          </w:p>
        </w:tc>
        <w:tc>
          <w:tcPr>
            <w:tcW w:w="880" w:type="dxa"/>
            <w:vAlign w:val="bottom"/>
            <w:vMerge w:val="restart"/>
            <w:shd w:val="clear" w:color="auto" w:fill="BF2115"/>
          </w:tcPr>
          <w:p>
            <w:pPr>
              <w:jc w:val="center"/>
              <w:ind w:right="21"/>
              <w:spacing w:after="0"/>
              <w:rPr>
                <w:sz w:val="20"/>
                <w:szCs w:val="20"/>
                <w:color w:val="auto"/>
              </w:rPr>
            </w:pPr>
            <w:r>
              <w:rPr>
                <w:rFonts w:ascii="Arial" w:cs="Arial" w:eastAsia="Arial" w:hAnsi="Arial"/>
                <w:sz w:val="16"/>
                <w:szCs w:val="16"/>
                <w:b w:val="1"/>
                <w:bCs w:val="1"/>
                <w:color w:val="FFFFFF"/>
              </w:rPr>
              <w:t>Net</w:t>
            </w:r>
          </w:p>
        </w:tc>
        <w:tc>
          <w:tcPr>
            <w:tcW w:w="102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Adjusted</w:t>
            </w:r>
          </w:p>
        </w:tc>
        <w:tc>
          <w:tcPr>
            <w:tcW w:w="0" w:type="dxa"/>
            <w:vAlign w:val="bottom"/>
          </w:tcPr>
          <w:p>
            <w:pPr>
              <w:spacing w:after="0"/>
              <w:rPr>
                <w:sz w:val="1"/>
                <w:szCs w:val="1"/>
                <w:color w:val="auto"/>
              </w:rPr>
            </w:pPr>
          </w:p>
        </w:tc>
      </w:tr>
      <w:tr>
        <w:trPr>
          <w:trHeight w:val="160"/>
        </w:trPr>
        <w:tc>
          <w:tcPr>
            <w:tcW w:w="640" w:type="dxa"/>
            <w:vAlign w:val="bottom"/>
            <w:shd w:val="clear" w:color="auto" w:fill="BF2115"/>
          </w:tcPr>
          <w:p>
            <w:pPr>
              <w:spacing w:after="0"/>
              <w:rPr>
                <w:sz w:val="13"/>
                <w:szCs w:val="13"/>
                <w:color w:val="auto"/>
              </w:rPr>
            </w:pPr>
          </w:p>
        </w:tc>
        <w:tc>
          <w:tcPr>
            <w:tcW w:w="1600" w:type="dxa"/>
            <w:vAlign w:val="bottom"/>
            <w:shd w:val="clear" w:color="auto" w:fill="BF2115"/>
          </w:tcPr>
          <w:p>
            <w:pPr>
              <w:jc w:val="center"/>
              <w:ind w:right="40"/>
              <w:spacing w:after="0" w:line="160" w:lineRule="exact"/>
              <w:rPr>
                <w:sz w:val="20"/>
                <w:szCs w:val="20"/>
                <w:color w:val="auto"/>
              </w:rPr>
            </w:pPr>
            <w:r>
              <w:rPr>
                <w:rFonts w:ascii="Arial" w:cs="Arial" w:eastAsia="Arial" w:hAnsi="Arial"/>
                <w:sz w:val="16"/>
                <w:szCs w:val="16"/>
                <w:b w:val="1"/>
                <w:bCs w:val="1"/>
                <w:color w:val="FFFFFF"/>
              </w:rPr>
              <w:t>Compensation</w:t>
            </w:r>
          </w:p>
        </w:tc>
        <w:tc>
          <w:tcPr>
            <w:tcW w:w="1420" w:type="dxa"/>
            <w:vAlign w:val="bottom"/>
            <w:shd w:val="clear" w:color="auto" w:fill="BF2115"/>
          </w:tcPr>
          <w:p>
            <w:pPr>
              <w:jc w:val="center"/>
              <w:ind w:right="61"/>
              <w:spacing w:after="0" w:line="160" w:lineRule="exact"/>
              <w:rPr>
                <w:sz w:val="20"/>
                <w:szCs w:val="20"/>
                <w:color w:val="auto"/>
              </w:rPr>
            </w:pPr>
            <w:r>
              <w:rPr>
                <w:rFonts w:ascii="Arial" w:cs="Arial" w:eastAsia="Arial" w:hAnsi="Arial"/>
                <w:sz w:val="16"/>
                <w:szCs w:val="16"/>
                <w:b w:val="1"/>
                <w:bCs w:val="1"/>
                <w:color w:val="FFFFFF"/>
                <w:w w:val="99"/>
              </w:rPr>
              <w:t>Actually Paid to</w:t>
            </w:r>
          </w:p>
        </w:tc>
        <w:tc>
          <w:tcPr>
            <w:tcW w:w="1560" w:type="dxa"/>
            <w:vAlign w:val="bottom"/>
            <w:shd w:val="clear" w:color="auto" w:fill="BF2115"/>
          </w:tcPr>
          <w:p>
            <w:pPr>
              <w:jc w:val="center"/>
              <w:ind w:right="2"/>
              <w:spacing w:after="0" w:line="160" w:lineRule="exact"/>
              <w:rPr>
                <w:sz w:val="20"/>
                <w:szCs w:val="20"/>
                <w:color w:val="auto"/>
              </w:rPr>
            </w:pPr>
            <w:r>
              <w:rPr>
                <w:rFonts w:ascii="Arial" w:cs="Arial" w:eastAsia="Arial" w:hAnsi="Arial"/>
                <w:sz w:val="15"/>
                <w:szCs w:val="15"/>
                <w:b w:val="1"/>
                <w:bCs w:val="1"/>
                <w:color w:val="FFFFFF"/>
                <w:w w:val="98"/>
              </w:rPr>
              <w:t>Table Total for Non-</w:t>
            </w:r>
          </w:p>
        </w:tc>
        <w:tc>
          <w:tcPr>
            <w:tcW w:w="1520" w:type="dxa"/>
            <w:vAlign w:val="bottom"/>
            <w:shd w:val="clear" w:color="auto" w:fill="BF2115"/>
          </w:tcPr>
          <w:p>
            <w:pPr>
              <w:jc w:val="center"/>
              <w:ind w:right="63"/>
              <w:spacing w:after="0" w:line="160" w:lineRule="exact"/>
              <w:rPr>
                <w:sz w:val="20"/>
                <w:szCs w:val="20"/>
                <w:color w:val="auto"/>
              </w:rPr>
            </w:pPr>
            <w:r>
              <w:rPr>
                <w:rFonts w:ascii="Arial" w:cs="Arial" w:eastAsia="Arial" w:hAnsi="Arial"/>
                <w:sz w:val="15"/>
                <w:szCs w:val="15"/>
                <w:b w:val="1"/>
                <w:bCs w:val="1"/>
                <w:color w:val="FFFFFF"/>
              </w:rPr>
              <w:t>Actually Paid to</w:t>
            </w:r>
          </w:p>
        </w:tc>
        <w:tc>
          <w:tcPr>
            <w:tcW w:w="1420" w:type="dxa"/>
            <w:vAlign w:val="bottom"/>
            <w:shd w:val="clear" w:color="auto" w:fill="BF2115"/>
          </w:tcPr>
          <w:p>
            <w:pPr>
              <w:jc w:val="center"/>
              <w:ind w:right="181"/>
              <w:spacing w:after="0" w:line="160" w:lineRule="exact"/>
              <w:rPr>
                <w:sz w:val="20"/>
                <w:szCs w:val="20"/>
                <w:color w:val="auto"/>
              </w:rPr>
            </w:pPr>
            <w:r>
              <w:rPr>
                <w:rFonts w:ascii="Arial" w:cs="Arial" w:eastAsia="Arial" w:hAnsi="Arial"/>
                <w:sz w:val="16"/>
                <w:szCs w:val="16"/>
                <w:b w:val="1"/>
                <w:bCs w:val="1"/>
                <w:color w:val="FFFFFF"/>
                <w:w w:val="99"/>
              </w:rPr>
              <w:t>Stockholder</w:t>
            </w:r>
          </w:p>
        </w:tc>
        <w:tc>
          <w:tcPr>
            <w:tcW w:w="1180" w:type="dxa"/>
            <w:vAlign w:val="bottom"/>
            <w:shd w:val="clear" w:color="auto" w:fill="BF2115"/>
          </w:tcPr>
          <w:p>
            <w:pPr>
              <w:jc w:val="center"/>
              <w:ind w:right="141"/>
              <w:spacing w:after="0" w:line="160" w:lineRule="exact"/>
              <w:rPr>
                <w:sz w:val="20"/>
                <w:szCs w:val="20"/>
                <w:color w:val="auto"/>
              </w:rPr>
            </w:pPr>
            <w:r>
              <w:rPr>
                <w:rFonts w:ascii="Arial" w:cs="Arial" w:eastAsia="Arial" w:hAnsi="Arial"/>
                <w:sz w:val="16"/>
                <w:szCs w:val="16"/>
                <w:b w:val="1"/>
                <w:bCs w:val="1"/>
                <w:color w:val="FFFFFF"/>
                <w:w w:val="99"/>
              </w:rPr>
              <w:t>Stockholder</w:t>
            </w:r>
          </w:p>
        </w:tc>
        <w:tc>
          <w:tcPr>
            <w:tcW w:w="880" w:type="dxa"/>
            <w:vAlign w:val="bottom"/>
            <w:vMerge w:val="continue"/>
            <w:shd w:val="clear" w:color="auto" w:fill="BF2115"/>
          </w:tcPr>
          <w:p>
            <w:pPr>
              <w:spacing w:after="0"/>
              <w:rPr>
                <w:sz w:val="13"/>
                <w:szCs w:val="13"/>
                <w:color w:val="auto"/>
              </w:rPr>
            </w:pPr>
          </w:p>
        </w:tc>
        <w:tc>
          <w:tcPr>
            <w:tcW w:w="1020" w:type="dxa"/>
            <w:vAlign w:val="bottom"/>
            <w:vMerge w:val="continue"/>
            <w:shd w:val="clear" w:color="auto" w:fill="BF2115"/>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40" w:type="dxa"/>
            <w:vAlign w:val="bottom"/>
            <w:vMerge w:val="restart"/>
            <w:shd w:val="clear" w:color="auto" w:fill="BF2115"/>
          </w:tcPr>
          <w:p>
            <w:pPr>
              <w:jc w:val="right"/>
              <w:ind w:right="80"/>
              <w:spacing w:after="0"/>
              <w:rPr>
                <w:sz w:val="20"/>
                <w:szCs w:val="20"/>
                <w:color w:val="auto"/>
              </w:rPr>
            </w:pPr>
            <w:r>
              <w:rPr>
                <w:rFonts w:ascii="Arial" w:cs="Arial" w:eastAsia="Arial" w:hAnsi="Arial"/>
                <w:sz w:val="16"/>
                <w:szCs w:val="16"/>
                <w:b w:val="1"/>
                <w:bCs w:val="1"/>
                <w:color w:val="FFFFFF"/>
              </w:rPr>
              <w:t>Year</w:t>
            </w:r>
          </w:p>
        </w:tc>
        <w:tc>
          <w:tcPr>
            <w:tcW w:w="1600" w:type="dxa"/>
            <w:vAlign w:val="bottom"/>
            <w:shd w:val="clear" w:color="auto" w:fill="BF2115"/>
          </w:tcPr>
          <w:p>
            <w:pPr>
              <w:jc w:val="center"/>
              <w:ind w:right="60"/>
              <w:spacing w:after="0" w:line="147" w:lineRule="exact"/>
              <w:rPr>
                <w:sz w:val="20"/>
                <w:szCs w:val="20"/>
                <w:color w:val="auto"/>
              </w:rPr>
            </w:pPr>
            <w:r>
              <w:rPr>
                <w:rFonts w:ascii="Arial" w:cs="Arial" w:eastAsia="Arial" w:hAnsi="Arial"/>
                <w:sz w:val="16"/>
                <w:szCs w:val="16"/>
                <w:b w:val="1"/>
                <w:bCs w:val="1"/>
                <w:color w:val="FFFFFF"/>
                <w:w w:val="98"/>
              </w:rPr>
              <w:t>Table Total for PEO</w:t>
            </w:r>
          </w:p>
        </w:tc>
        <w:tc>
          <w:tcPr>
            <w:tcW w:w="1420" w:type="dxa"/>
            <w:vAlign w:val="bottom"/>
            <w:shd w:val="clear" w:color="auto" w:fill="BF2115"/>
          </w:tcPr>
          <w:p>
            <w:pPr>
              <w:jc w:val="center"/>
              <w:ind w:right="41"/>
              <w:spacing w:after="0" w:line="147" w:lineRule="exact"/>
              <w:rPr>
                <w:sz w:val="20"/>
                <w:szCs w:val="20"/>
                <w:color w:val="auto"/>
              </w:rPr>
            </w:pPr>
            <w:r>
              <w:rPr>
                <w:rFonts w:ascii="Arial" w:cs="Arial" w:eastAsia="Arial" w:hAnsi="Arial"/>
                <w:sz w:val="14"/>
                <w:szCs w:val="14"/>
                <w:b w:val="1"/>
                <w:bCs w:val="1"/>
                <w:color w:val="FFFFFF"/>
              </w:rPr>
              <w:t>PEO</w:t>
            </w:r>
            <w:r>
              <w:rPr>
                <w:rFonts w:ascii="Arial" w:cs="Arial" w:eastAsia="Arial" w:hAnsi="Arial"/>
                <w:sz w:val="17"/>
                <w:szCs w:val="17"/>
                <w:b w:val="1"/>
                <w:bCs w:val="1"/>
                <w:color w:val="FFFFFF"/>
                <w:vertAlign w:val="superscript"/>
              </w:rPr>
              <w:t>1</w:t>
            </w:r>
          </w:p>
        </w:tc>
        <w:tc>
          <w:tcPr>
            <w:tcW w:w="1560" w:type="dxa"/>
            <w:vAlign w:val="bottom"/>
            <w:shd w:val="clear" w:color="auto" w:fill="BF2115"/>
          </w:tcPr>
          <w:p>
            <w:pPr>
              <w:jc w:val="center"/>
              <w:ind w:right="42"/>
              <w:spacing w:after="0" w:line="147" w:lineRule="exact"/>
              <w:rPr>
                <w:sz w:val="20"/>
                <w:szCs w:val="20"/>
                <w:color w:val="auto"/>
              </w:rPr>
            </w:pPr>
            <w:r>
              <w:rPr>
                <w:rFonts w:ascii="Arial" w:cs="Arial" w:eastAsia="Arial" w:hAnsi="Arial"/>
                <w:sz w:val="15"/>
                <w:szCs w:val="15"/>
                <w:b w:val="1"/>
                <w:bCs w:val="1"/>
                <w:color w:val="FFFFFF"/>
                <w:w w:val="99"/>
              </w:rPr>
              <w:t>PEO NEOs</w:t>
            </w:r>
          </w:p>
        </w:tc>
        <w:tc>
          <w:tcPr>
            <w:tcW w:w="1520" w:type="dxa"/>
            <w:vAlign w:val="bottom"/>
            <w:shd w:val="clear" w:color="auto" w:fill="BF2115"/>
          </w:tcPr>
          <w:p>
            <w:pPr>
              <w:jc w:val="center"/>
              <w:ind w:right="63"/>
              <w:spacing w:after="0" w:line="147" w:lineRule="exact"/>
              <w:rPr>
                <w:sz w:val="20"/>
                <w:szCs w:val="20"/>
                <w:color w:val="auto"/>
              </w:rPr>
            </w:pPr>
            <w:r>
              <w:rPr>
                <w:rFonts w:ascii="Arial" w:cs="Arial" w:eastAsia="Arial" w:hAnsi="Arial"/>
                <w:sz w:val="14"/>
                <w:szCs w:val="14"/>
                <w:b w:val="1"/>
                <w:bCs w:val="1"/>
                <w:color w:val="FFFFFF"/>
              </w:rPr>
              <w:t>Non-PEO NEOs</w:t>
            </w:r>
            <w:r>
              <w:rPr>
                <w:rFonts w:ascii="Arial" w:cs="Arial" w:eastAsia="Arial" w:hAnsi="Arial"/>
                <w:sz w:val="17"/>
                <w:szCs w:val="17"/>
                <w:b w:val="1"/>
                <w:bCs w:val="1"/>
                <w:color w:val="FFFFFF"/>
                <w:vertAlign w:val="superscript"/>
              </w:rPr>
              <w:t>1</w:t>
            </w:r>
          </w:p>
        </w:tc>
        <w:tc>
          <w:tcPr>
            <w:tcW w:w="1420" w:type="dxa"/>
            <w:vAlign w:val="bottom"/>
            <w:shd w:val="clear" w:color="auto" w:fill="BF2115"/>
          </w:tcPr>
          <w:p>
            <w:pPr>
              <w:jc w:val="center"/>
              <w:ind w:right="181"/>
              <w:spacing w:after="0" w:line="147" w:lineRule="exact"/>
              <w:rPr>
                <w:sz w:val="20"/>
                <w:szCs w:val="20"/>
                <w:color w:val="auto"/>
              </w:rPr>
            </w:pPr>
            <w:r>
              <w:rPr>
                <w:rFonts w:ascii="Arial" w:cs="Arial" w:eastAsia="Arial" w:hAnsi="Arial"/>
                <w:sz w:val="14"/>
                <w:szCs w:val="14"/>
                <w:b w:val="1"/>
                <w:bCs w:val="1"/>
                <w:color w:val="FFFFFF"/>
              </w:rPr>
              <w:t>Return</w:t>
            </w:r>
            <w:r>
              <w:rPr>
                <w:rFonts w:ascii="Arial" w:cs="Arial" w:eastAsia="Arial" w:hAnsi="Arial"/>
                <w:sz w:val="17"/>
                <w:szCs w:val="17"/>
                <w:b w:val="1"/>
                <w:bCs w:val="1"/>
                <w:color w:val="FFFFFF"/>
                <w:vertAlign w:val="superscript"/>
              </w:rPr>
              <w:t>2</w:t>
            </w:r>
          </w:p>
        </w:tc>
        <w:tc>
          <w:tcPr>
            <w:tcW w:w="1180" w:type="dxa"/>
            <w:vAlign w:val="bottom"/>
            <w:shd w:val="clear" w:color="auto" w:fill="BF2115"/>
          </w:tcPr>
          <w:p>
            <w:pPr>
              <w:jc w:val="center"/>
              <w:ind w:right="161"/>
              <w:spacing w:after="0" w:line="147" w:lineRule="exact"/>
              <w:rPr>
                <w:sz w:val="20"/>
                <w:szCs w:val="20"/>
                <w:color w:val="auto"/>
              </w:rPr>
            </w:pPr>
            <w:r>
              <w:rPr>
                <w:rFonts w:ascii="Arial" w:cs="Arial" w:eastAsia="Arial" w:hAnsi="Arial"/>
                <w:sz w:val="14"/>
                <w:szCs w:val="14"/>
                <w:b w:val="1"/>
                <w:bCs w:val="1"/>
                <w:color w:val="FFFFFF"/>
              </w:rPr>
              <w:t>Return</w:t>
            </w:r>
            <w:r>
              <w:rPr>
                <w:rFonts w:ascii="Arial" w:cs="Arial" w:eastAsia="Arial" w:hAnsi="Arial"/>
                <w:sz w:val="17"/>
                <w:szCs w:val="17"/>
                <w:b w:val="1"/>
                <w:bCs w:val="1"/>
                <w:color w:val="FFFFFF"/>
                <w:vertAlign w:val="superscript"/>
              </w:rPr>
              <w:t>3</w:t>
            </w:r>
          </w:p>
        </w:tc>
        <w:tc>
          <w:tcPr>
            <w:tcW w:w="880" w:type="dxa"/>
            <w:vAlign w:val="bottom"/>
            <w:shd w:val="clear" w:color="auto" w:fill="BF2115"/>
          </w:tcPr>
          <w:p>
            <w:pPr>
              <w:jc w:val="center"/>
              <w:ind w:right="21"/>
              <w:spacing w:after="0" w:line="147" w:lineRule="exact"/>
              <w:rPr>
                <w:sz w:val="20"/>
                <w:szCs w:val="20"/>
                <w:color w:val="auto"/>
              </w:rPr>
            </w:pPr>
            <w:r>
              <w:rPr>
                <w:rFonts w:ascii="Arial" w:cs="Arial" w:eastAsia="Arial" w:hAnsi="Arial"/>
                <w:sz w:val="14"/>
                <w:szCs w:val="14"/>
                <w:b w:val="1"/>
                <w:bCs w:val="1"/>
                <w:color w:val="FFFFFF"/>
              </w:rPr>
              <w:t>Income</w:t>
            </w:r>
            <w:r>
              <w:rPr>
                <w:rFonts w:ascii="Arial" w:cs="Arial" w:eastAsia="Arial" w:hAnsi="Arial"/>
                <w:sz w:val="17"/>
                <w:szCs w:val="17"/>
                <w:b w:val="1"/>
                <w:bCs w:val="1"/>
                <w:color w:val="FFFFFF"/>
                <w:vertAlign w:val="superscript"/>
              </w:rPr>
              <w:t>4</w:t>
            </w:r>
          </w:p>
        </w:tc>
        <w:tc>
          <w:tcPr>
            <w:tcW w:w="1020" w:type="dxa"/>
            <w:vAlign w:val="bottom"/>
            <w:shd w:val="clear" w:color="auto" w:fill="BF2115"/>
          </w:tcPr>
          <w:p>
            <w:pPr>
              <w:jc w:val="center"/>
              <w:spacing w:after="0" w:line="147" w:lineRule="exact"/>
              <w:rPr>
                <w:sz w:val="20"/>
                <w:szCs w:val="20"/>
                <w:color w:val="auto"/>
              </w:rPr>
            </w:pPr>
            <w:r>
              <w:rPr>
                <w:rFonts w:ascii="Arial" w:cs="Arial" w:eastAsia="Arial" w:hAnsi="Arial"/>
                <w:sz w:val="14"/>
                <w:szCs w:val="14"/>
                <w:b w:val="1"/>
                <w:bCs w:val="1"/>
                <w:color w:val="FFFFFF"/>
              </w:rPr>
              <w:t>Diluted EPS</w:t>
            </w:r>
            <w:r>
              <w:rPr>
                <w:rFonts w:ascii="Arial" w:cs="Arial" w:eastAsia="Arial" w:hAnsi="Arial"/>
                <w:sz w:val="17"/>
                <w:szCs w:val="17"/>
                <w:b w:val="1"/>
                <w:bCs w:val="1"/>
                <w:color w:val="FFFFFF"/>
                <w:vertAlign w:val="superscript"/>
              </w:rPr>
              <w:t>5</w:t>
            </w:r>
          </w:p>
        </w:tc>
        <w:tc>
          <w:tcPr>
            <w:tcW w:w="0" w:type="dxa"/>
            <w:vAlign w:val="bottom"/>
          </w:tcPr>
          <w:p>
            <w:pPr>
              <w:spacing w:after="0"/>
              <w:rPr>
                <w:sz w:val="1"/>
                <w:szCs w:val="1"/>
                <w:color w:val="auto"/>
              </w:rPr>
            </w:pPr>
          </w:p>
        </w:tc>
      </w:tr>
      <w:tr>
        <w:trPr>
          <w:trHeight w:val="213"/>
        </w:trPr>
        <w:tc>
          <w:tcPr>
            <w:tcW w:w="640" w:type="dxa"/>
            <w:vAlign w:val="bottom"/>
            <w:vMerge w:val="continue"/>
            <w:shd w:val="clear" w:color="auto" w:fill="BF2115"/>
          </w:tcPr>
          <w:p>
            <w:pPr>
              <w:spacing w:after="0"/>
              <w:rPr>
                <w:sz w:val="18"/>
                <w:szCs w:val="18"/>
                <w:color w:val="auto"/>
              </w:rPr>
            </w:pPr>
          </w:p>
        </w:tc>
        <w:tc>
          <w:tcPr>
            <w:tcW w:w="1600" w:type="dxa"/>
            <w:vAlign w:val="bottom"/>
            <w:shd w:val="clear" w:color="auto" w:fill="BF2115"/>
          </w:tcPr>
          <w:p>
            <w:pPr>
              <w:jc w:val="center"/>
              <w:ind w:right="40"/>
              <w:spacing w:after="0"/>
              <w:rPr>
                <w:sz w:val="20"/>
                <w:szCs w:val="20"/>
                <w:color w:val="auto"/>
              </w:rPr>
            </w:pPr>
            <w:r>
              <w:rPr>
                <w:rFonts w:ascii="Arial" w:cs="Arial" w:eastAsia="Arial" w:hAnsi="Arial"/>
                <w:sz w:val="16"/>
                <w:szCs w:val="16"/>
                <w:b w:val="1"/>
                <w:bCs w:val="1"/>
                <w:color w:val="FFFFFF"/>
              </w:rPr>
              <w:t>($)</w:t>
            </w:r>
          </w:p>
        </w:tc>
        <w:tc>
          <w:tcPr>
            <w:tcW w:w="1420" w:type="dxa"/>
            <w:vAlign w:val="bottom"/>
            <w:shd w:val="clear" w:color="auto" w:fill="BF2115"/>
          </w:tcPr>
          <w:p>
            <w:pPr>
              <w:jc w:val="center"/>
              <w:ind w:right="41"/>
              <w:spacing w:after="0"/>
              <w:rPr>
                <w:sz w:val="20"/>
                <w:szCs w:val="20"/>
                <w:color w:val="auto"/>
              </w:rPr>
            </w:pPr>
            <w:r>
              <w:rPr>
                <w:rFonts w:ascii="Arial" w:cs="Arial" w:eastAsia="Arial" w:hAnsi="Arial"/>
                <w:sz w:val="16"/>
                <w:szCs w:val="16"/>
                <w:b w:val="1"/>
                <w:bCs w:val="1"/>
                <w:color w:val="FFFFFF"/>
                <w:w w:val="91"/>
              </w:rPr>
              <w:t>($)</w:t>
            </w:r>
          </w:p>
        </w:tc>
        <w:tc>
          <w:tcPr>
            <w:tcW w:w="1560" w:type="dxa"/>
            <w:vAlign w:val="bottom"/>
            <w:shd w:val="clear" w:color="auto" w:fill="BF2115"/>
          </w:tcPr>
          <w:p>
            <w:pPr>
              <w:jc w:val="center"/>
              <w:spacing w:after="0"/>
              <w:rPr>
                <w:sz w:val="20"/>
                <w:szCs w:val="20"/>
                <w:color w:val="auto"/>
              </w:rPr>
            </w:pPr>
            <w:r>
              <w:rPr>
                <w:rFonts w:ascii="Arial" w:cs="Arial" w:eastAsia="Arial" w:hAnsi="Arial"/>
                <w:sz w:val="15"/>
                <w:szCs w:val="15"/>
                <w:b w:val="1"/>
                <w:bCs w:val="1"/>
                <w:color w:val="FFFFFF"/>
                <w:w w:val="97"/>
              </w:rPr>
              <w:t>($)</w:t>
            </w:r>
          </w:p>
        </w:tc>
        <w:tc>
          <w:tcPr>
            <w:tcW w:w="1520" w:type="dxa"/>
            <w:vAlign w:val="bottom"/>
            <w:shd w:val="clear" w:color="auto" w:fill="BF2115"/>
          </w:tcPr>
          <w:p>
            <w:pPr>
              <w:jc w:val="center"/>
              <w:ind w:right="63"/>
              <w:spacing w:after="0"/>
              <w:rPr>
                <w:sz w:val="20"/>
                <w:szCs w:val="20"/>
                <w:color w:val="auto"/>
              </w:rPr>
            </w:pPr>
            <w:r>
              <w:rPr>
                <w:rFonts w:ascii="Arial" w:cs="Arial" w:eastAsia="Arial" w:hAnsi="Arial"/>
                <w:sz w:val="15"/>
                <w:szCs w:val="15"/>
                <w:b w:val="1"/>
                <w:bCs w:val="1"/>
                <w:color w:val="FFFFFF"/>
                <w:w w:val="97"/>
              </w:rPr>
              <w:t>($)</w:t>
            </w:r>
          </w:p>
        </w:tc>
        <w:tc>
          <w:tcPr>
            <w:tcW w:w="1420" w:type="dxa"/>
            <w:vAlign w:val="bottom"/>
            <w:shd w:val="clear" w:color="auto" w:fill="BF2115"/>
          </w:tcPr>
          <w:p>
            <w:pPr>
              <w:jc w:val="center"/>
              <w:ind w:right="181"/>
              <w:spacing w:after="0"/>
              <w:rPr>
                <w:sz w:val="20"/>
                <w:szCs w:val="20"/>
                <w:color w:val="auto"/>
              </w:rPr>
            </w:pPr>
            <w:r>
              <w:rPr>
                <w:rFonts w:ascii="Arial" w:cs="Arial" w:eastAsia="Arial" w:hAnsi="Arial"/>
                <w:sz w:val="16"/>
                <w:szCs w:val="16"/>
                <w:b w:val="1"/>
                <w:bCs w:val="1"/>
                <w:color w:val="FFFFFF"/>
              </w:rPr>
              <w:t>($)</w:t>
            </w:r>
          </w:p>
        </w:tc>
        <w:tc>
          <w:tcPr>
            <w:tcW w:w="1180" w:type="dxa"/>
            <w:vAlign w:val="bottom"/>
            <w:shd w:val="clear" w:color="auto" w:fill="BF2115"/>
          </w:tcPr>
          <w:p>
            <w:pPr>
              <w:jc w:val="center"/>
              <w:ind w:right="141"/>
              <w:spacing w:after="0"/>
              <w:rPr>
                <w:sz w:val="20"/>
                <w:szCs w:val="20"/>
                <w:color w:val="auto"/>
              </w:rPr>
            </w:pPr>
            <w:r>
              <w:rPr>
                <w:rFonts w:ascii="Arial" w:cs="Arial" w:eastAsia="Arial" w:hAnsi="Arial"/>
                <w:sz w:val="16"/>
                <w:szCs w:val="16"/>
                <w:b w:val="1"/>
                <w:bCs w:val="1"/>
                <w:color w:val="FFFFFF"/>
              </w:rPr>
              <w:t>($)</w:t>
            </w:r>
          </w:p>
        </w:tc>
        <w:tc>
          <w:tcPr>
            <w:tcW w:w="880" w:type="dxa"/>
            <w:vAlign w:val="bottom"/>
            <w:shd w:val="clear" w:color="auto" w:fill="BF2115"/>
          </w:tcPr>
          <w:p>
            <w:pPr>
              <w:jc w:val="center"/>
              <w:ind w:right="1"/>
              <w:spacing w:after="0"/>
              <w:rPr>
                <w:sz w:val="20"/>
                <w:szCs w:val="20"/>
                <w:color w:val="auto"/>
              </w:rPr>
            </w:pPr>
            <w:r>
              <w:rPr>
                <w:rFonts w:ascii="Arial" w:cs="Arial" w:eastAsia="Arial" w:hAnsi="Arial"/>
                <w:sz w:val="16"/>
                <w:szCs w:val="16"/>
                <w:b w:val="1"/>
                <w:bCs w:val="1"/>
                <w:color w:val="FFFFFF"/>
              </w:rPr>
              <w:t>($)</w:t>
            </w:r>
          </w:p>
        </w:tc>
        <w:tc>
          <w:tcPr>
            <w:tcW w:w="10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13"/>
        </w:trPr>
        <w:tc>
          <w:tcPr>
            <w:tcW w:w="640" w:type="dxa"/>
            <w:vAlign w:val="bottom"/>
            <w:shd w:val="clear" w:color="auto" w:fill="DBDBDB"/>
          </w:tcPr>
          <w:p>
            <w:pPr>
              <w:jc w:val="right"/>
              <w:ind w:right="180"/>
              <w:spacing w:after="0"/>
              <w:rPr>
                <w:sz w:val="20"/>
                <w:szCs w:val="20"/>
                <w:color w:val="auto"/>
              </w:rPr>
            </w:pPr>
            <w:r>
              <w:rPr>
                <w:rFonts w:ascii="Arial" w:cs="Arial" w:eastAsia="Arial" w:hAnsi="Arial"/>
                <w:sz w:val="16"/>
                <w:szCs w:val="16"/>
                <w:color w:val="auto"/>
              </w:rPr>
              <w:t>2025</w:t>
            </w:r>
          </w:p>
        </w:tc>
        <w:tc>
          <w:tcPr>
            <w:tcW w:w="1600" w:type="dxa"/>
            <w:vAlign w:val="bottom"/>
            <w:shd w:val="clear" w:color="auto" w:fill="DBDBDB"/>
          </w:tcPr>
          <w:p>
            <w:pPr>
              <w:jc w:val="right"/>
              <w:ind w:right="40"/>
              <w:spacing w:after="0"/>
              <w:rPr>
                <w:sz w:val="20"/>
                <w:szCs w:val="20"/>
                <w:color w:val="auto"/>
              </w:rPr>
            </w:pPr>
            <w:r>
              <w:rPr>
                <w:rFonts w:ascii="Arial" w:cs="Arial" w:eastAsia="Arial" w:hAnsi="Arial"/>
                <w:sz w:val="16"/>
                <w:szCs w:val="16"/>
                <w:color w:val="auto"/>
              </w:rPr>
              <w:t>8,436,478</w:t>
            </w:r>
          </w:p>
        </w:tc>
        <w:tc>
          <w:tcPr>
            <w:tcW w:w="142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5,691,401</w:t>
            </w:r>
          </w:p>
        </w:tc>
        <w:tc>
          <w:tcPr>
            <w:tcW w:w="1560" w:type="dxa"/>
            <w:vAlign w:val="bottom"/>
            <w:shd w:val="clear" w:color="auto" w:fill="DBDBDB"/>
          </w:tcPr>
          <w:p>
            <w:pPr>
              <w:jc w:val="right"/>
              <w:ind w:right="62"/>
              <w:spacing w:after="0"/>
              <w:rPr>
                <w:sz w:val="20"/>
                <w:szCs w:val="20"/>
                <w:color w:val="auto"/>
              </w:rPr>
            </w:pPr>
            <w:r>
              <w:rPr>
                <w:rFonts w:ascii="Arial" w:cs="Arial" w:eastAsia="Arial" w:hAnsi="Arial"/>
                <w:sz w:val="16"/>
                <w:szCs w:val="16"/>
                <w:color w:val="auto"/>
              </w:rPr>
              <w:t>3,065,396</w:t>
            </w:r>
          </w:p>
        </w:tc>
        <w:tc>
          <w:tcPr>
            <w:tcW w:w="1520" w:type="dxa"/>
            <w:vAlign w:val="bottom"/>
            <w:shd w:val="clear" w:color="auto" w:fill="DBDBDB"/>
          </w:tcPr>
          <w:p>
            <w:pPr>
              <w:jc w:val="right"/>
              <w:ind w:right="83"/>
              <w:spacing w:after="0"/>
              <w:rPr>
                <w:sz w:val="20"/>
                <w:szCs w:val="20"/>
                <w:color w:val="auto"/>
              </w:rPr>
            </w:pPr>
            <w:r>
              <w:rPr>
                <w:rFonts w:ascii="Arial" w:cs="Arial" w:eastAsia="Arial" w:hAnsi="Arial"/>
                <w:sz w:val="16"/>
                <w:szCs w:val="16"/>
                <w:color w:val="auto"/>
              </w:rPr>
              <w:t>2,583,860</w:t>
            </w:r>
          </w:p>
        </w:tc>
        <w:tc>
          <w:tcPr>
            <w:tcW w:w="1420" w:type="dxa"/>
            <w:vAlign w:val="bottom"/>
            <w:shd w:val="clear" w:color="auto" w:fill="DBDBDB"/>
          </w:tcPr>
          <w:p>
            <w:pPr>
              <w:jc w:val="right"/>
              <w:ind w:right="121"/>
              <w:spacing w:after="0"/>
              <w:rPr>
                <w:sz w:val="20"/>
                <w:szCs w:val="20"/>
                <w:color w:val="auto"/>
              </w:rPr>
            </w:pPr>
            <w:r>
              <w:rPr>
                <w:rFonts w:ascii="Arial" w:cs="Arial" w:eastAsia="Arial" w:hAnsi="Arial"/>
                <w:sz w:val="16"/>
                <w:szCs w:val="16"/>
                <w:color w:val="auto"/>
              </w:rPr>
              <w:t>98</w:t>
            </w:r>
          </w:p>
        </w:tc>
        <w:tc>
          <w:tcPr>
            <w:tcW w:w="11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174</w:t>
            </w:r>
          </w:p>
        </w:tc>
        <w:tc>
          <w:tcPr>
            <w:tcW w:w="880" w:type="dxa"/>
            <w:vAlign w:val="bottom"/>
            <w:shd w:val="clear" w:color="auto" w:fill="DBDBDB"/>
          </w:tcPr>
          <w:p>
            <w:pPr>
              <w:jc w:val="right"/>
              <w:ind w:right="21"/>
              <w:spacing w:after="0"/>
              <w:rPr>
                <w:sz w:val="20"/>
                <w:szCs w:val="20"/>
                <w:color w:val="auto"/>
              </w:rPr>
            </w:pPr>
            <w:r>
              <w:rPr>
                <w:rFonts w:ascii="Arial" w:cs="Arial" w:eastAsia="Arial" w:hAnsi="Arial"/>
                <w:sz w:val="16"/>
                <w:szCs w:val="16"/>
                <w:color w:val="auto"/>
              </w:rPr>
              <w:t>316.1</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12"/>
        </w:trPr>
        <w:tc>
          <w:tcPr>
            <w:tcW w:w="640" w:type="dxa"/>
            <w:vAlign w:val="bottom"/>
          </w:tcPr>
          <w:p>
            <w:pPr>
              <w:jc w:val="right"/>
              <w:ind w:right="180"/>
              <w:spacing w:after="0"/>
              <w:rPr>
                <w:sz w:val="20"/>
                <w:szCs w:val="20"/>
                <w:color w:val="auto"/>
              </w:rPr>
            </w:pPr>
            <w:r>
              <w:rPr>
                <w:rFonts w:ascii="Arial" w:cs="Arial" w:eastAsia="Arial" w:hAnsi="Arial"/>
                <w:sz w:val="16"/>
                <w:szCs w:val="16"/>
                <w:color w:val="auto"/>
              </w:rPr>
              <w:t>2024</w:t>
            </w: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8,278,439</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3,733,008</w:t>
            </w:r>
          </w:p>
        </w:tc>
        <w:tc>
          <w:tcPr>
            <w:tcW w:w="1560" w:type="dxa"/>
            <w:vAlign w:val="bottom"/>
          </w:tcPr>
          <w:p>
            <w:pPr>
              <w:jc w:val="right"/>
              <w:ind w:right="62"/>
              <w:spacing w:after="0"/>
              <w:rPr>
                <w:sz w:val="20"/>
                <w:szCs w:val="20"/>
                <w:color w:val="auto"/>
              </w:rPr>
            </w:pPr>
            <w:r>
              <w:rPr>
                <w:rFonts w:ascii="Arial" w:cs="Arial" w:eastAsia="Arial" w:hAnsi="Arial"/>
                <w:sz w:val="16"/>
                <w:szCs w:val="16"/>
                <w:color w:val="auto"/>
              </w:rPr>
              <w:t>1,967,920</w:t>
            </w:r>
          </w:p>
        </w:tc>
        <w:tc>
          <w:tcPr>
            <w:tcW w:w="1520" w:type="dxa"/>
            <w:vAlign w:val="bottom"/>
          </w:tcPr>
          <w:p>
            <w:pPr>
              <w:jc w:val="right"/>
              <w:ind w:right="83"/>
              <w:spacing w:after="0"/>
              <w:rPr>
                <w:sz w:val="20"/>
                <w:szCs w:val="20"/>
                <w:color w:val="auto"/>
              </w:rPr>
            </w:pPr>
            <w:r>
              <w:rPr>
                <w:rFonts w:ascii="Arial" w:cs="Arial" w:eastAsia="Arial" w:hAnsi="Arial"/>
                <w:sz w:val="16"/>
                <w:szCs w:val="16"/>
                <w:color w:val="auto"/>
              </w:rPr>
              <w:t>1,268,683</w:t>
            </w: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103</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171</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418.9</w:t>
            </w:r>
          </w:p>
        </w:tc>
        <w:tc>
          <w:tcPr>
            <w:tcW w:w="1020" w:type="dxa"/>
            <w:vAlign w:val="bottom"/>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15"/>
        </w:trPr>
        <w:tc>
          <w:tcPr>
            <w:tcW w:w="640" w:type="dxa"/>
            <w:vAlign w:val="bottom"/>
            <w:shd w:val="clear" w:color="auto" w:fill="DBDBDB"/>
          </w:tcPr>
          <w:p>
            <w:pPr>
              <w:jc w:val="right"/>
              <w:ind w:right="180"/>
              <w:spacing w:after="0"/>
              <w:rPr>
                <w:sz w:val="20"/>
                <w:szCs w:val="20"/>
                <w:color w:val="auto"/>
              </w:rPr>
            </w:pPr>
            <w:r>
              <w:rPr>
                <w:rFonts w:ascii="Arial" w:cs="Arial" w:eastAsia="Arial" w:hAnsi="Arial"/>
                <w:sz w:val="16"/>
                <w:szCs w:val="16"/>
                <w:color w:val="auto"/>
              </w:rPr>
              <w:t>2023</w:t>
            </w:r>
          </w:p>
        </w:tc>
        <w:tc>
          <w:tcPr>
            <w:tcW w:w="1600" w:type="dxa"/>
            <w:vAlign w:val="bottom"/>
            <w:shd w:val="clear" w:color="auto" w:fill="DBDBDB"/>
          </w:tcPr>
          <w:p>
            <w:pPr>
              <w:jc w:val="right"/>
              <w:ind w:right="40"/>
              <w:spacing w:after="0"/>
              <w:rPr>
                <w:sz w:val="20"/>
                <w:szCs w:val="20"/>
                <w:color w:val="auto"/>
              </w:rPr>
            </w:pPr>
            <w:r>
              <w:rPr>
                <w:rFonts w:ascii="Arial" w:cs="Arial" w:eastAsia="Arial" w:hAnsi="Arial"/>
                <w:sz w:val="16"/>
                <w:szCs w:val="16"/>
                <w:color w:val="auto"/>
              </w:rPr>
              <w:t>9,025,811</w:t>
            </w:r>
          </w:p>
        </w:tc>
        <w:tc>
          <w:tcPr>
            <w:tcW w:w="142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547,678</w:t>
            </w:r>
          </w:p>
        </w:tc>
        <w:tc>
          <w:tcPr>
            <w:tcW w:w="1560" w:type="dxa"/>
            <w:vAlign w:val="bottom"/>
            <w:shd w:val="clear" w:color="auto" w:fill="DBDBDB"/>
          </w:tcPr>
          <w:p>
            <w:pPr>
              <w:jc w:val="right"/>
              <w:ind w:right="62"/>
              <w:spacing w:after="0"/>
              <w:rPr>
                <w:sz w:val="20"/>
                <w:szCs w:val="20"/>
                <w:color w:val="auto"/>
              </w:rPr>
            </w:pPr>
            <w:r>
              <w:rPr>
                <w:rFonts w:ascii="Arial" w:cs="Arial" w:eastAsia="Arial" w:hAnsi="Arial"/>
                <w:sz w:val="16"/>
                <w:szCs w:val="16"/>
                <w:color w:val="auto"/>
              </w:rPr>
              <w:t>1,905,612</w:t>
            </w:r>
          </w:p>
        </w:tc>
        <w:tc>
          <w:tcPr>
            <w:tcW w:w="1520" w:type="dxa"/>
            <w:vAlign w:val="bottom"/>
            <w:shd w:val="clear" w:color="auto" w:fill="DBDBDB"/>
          </w:tcPr>
          <w:p>
            <w:pPr>
              <w:jc w:val="right"/>
              <w:ind w:right="83"/>
              <w:spacing w:after="0"/>
              <w:rPr>
                <w:sz w:val="20"/>
                <w:szCs w:val="20"/>
                <w:color w:val="auto"/>
              </w:rPr>
            </w:pPr>
            <w:r>
              <w:rPr>
                <w:rFonts w:ascii="Arial" w:cs="Arial" w:eastAsia="Arial" w:hAnsi="Arial"/>
                <w:sz w:val="16"/>
                <w:szCs w:val="16"/>
                <w:color w:val="auto"/>
              </w:rPr>
              <w:t>485,389</w:t>
            </w:r>
          </w:p>
        </w:tc>
        <w:tc>
          <w:tcPr>
            <w:tcW w:w="1420" w:type="dxa"/>
            <w:vAlign w:val="bottom"/>
            <w:shd w:val="clear" w:color="auto" w:fill="DBDBDB"/>
          </w:tcPr>
          <w:p>
            <w:pPr>
              <w:jc w:val="right"/>
              <w:ind w:right="121"/>
              <w:spacing w:after="0"/>
              <w:rPr>
                <w:sz w:val="20"/>
                <w:szCs w:val="20"/>
                <w:color w:val="auto"/>
              </w:rPr>
            </w:pPr>
            <w:r>
              <w:rPr>
                <w:rFonts w:ascii="Arial" w:cs="Arial" w:eastAsia="Arial" w:hAnsi="Arial"/>
                <w:sz w:val="16"/>
                <w:szCs w:val="16"/>
                <w:color w:val="auto"/>
              </w:rPr>
              <w:t>102</w:t>
            </w:r>
          </w:p>
        </w:tc>
        <w:tc>
          <w:tcPr>
            <w:tcW w:w="11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125</w:t>
            </w:r>
          </w:p>
        </w:tc>
        <w:tc>
          <w:tcPr>
            <w:tcW w:w="880" w:type="dxa"/>
            <w:vAlign w:val="bottom"/>
            <w:shd w:val="clear" w:color="auto" w:fill="DBDBDB"/>
          </w:tcPr>
          <w:p>
            <w:pPr>
              <w:jc w:val="right"/>
              <w:ind w:right="21"/>
              <w:spacing w:after="0"/>
              <w:rPr>
                <w:sz w:val="20"/>
                <w:szCs w:val="20"/>
                <w:color w:val="auto"/>
              </w:rPr>
            </w:pPr>
            <w:r>
              <w:rPr>
                <w:rFonts w:ascii="Arial" w:cs="Arial" w:eastAsia="Arial" w:hAnsi="Arial"/>
                <w:sz w:val="16"/>
                <w:szCs w:val="16"/>
                <w:color w:val="auto"/>
              </w:rPr>
              <w:t>329.7</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12"/>
        </w:trPr>
        <w:tc>
          <w:tcPr>
            <w:tcW w:w="640" w:type="dxa"/>
            <w:vAlign w:val="bottom"/>
          </w:tcPr>
          <w:p>
            <w:pPr>
              <w:jc w:val="right"/>
              <w:ind w:right="180"/>
              <w:spacing w:after="0"/>
              <w:rPr>
                <w:sz w:val="20"/>
                <w:szCs w:val="20"/>
                <w:color w:val="auto"/>
              </w:rPr>
            </w:pPr>
            <w:r>
              <w:rPr>
                <w:rFonts w:ascii="Arial" w:cs="Arial" w:eastAsia="Arial" w:hAnsi="Arial"/>
                <w:sz w:val="16"/>
                <w:szCs w:val="16"/>
                <w:color w:val="auto"/>
              </w:rPr>
              <w:t>2022</w:t>
            </w: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7,311,953</w:t>
            </w:r>
          </w:p>
        </w:tc>
        <w:tc>
          <w:tcPr>
            <w:tcW w:w="1420" w:type="dxa"/>
            <w:vAlign w:val="bottom"/>
          </w:tcPr>
          <w:p>
            <w:pPr>
              <w:jc w:val="right"/>
              <w:spacing w:after="0"/>
              <w:rPr>
                <w:sz w:val="20"/>
                <w:szCs w:val="20"/>
                <w:color w:val="auto"/>
              </w:rPr>
            </w:pPr>
            <w:r>
              <w:rPr>
                <w:rFonts w:ascii="Arial" w:cs="Arial" w:eastAsia="Arial" w:hAnsi="Arial"/>
                <w:sz w:val="16"/>
                <w:szCs w:val="16"/>
                <w:color w:val="auto"/>
              </w:rPr>
              <w:t>10,442,137</w:t>
            </w:r>
          </w:p>
        </w:tc>
        <w:tc>
          <w:tcPr>
            <w:tcW w:w="1560" w:type="dxa"/>
            <w:vAlign w:val="bottom"/>
          </w:tcPr>
          <w:p>
            <w:pPr>
              <w:jc w:val="right"/>
              <w:ind w:right="2"/>
              <w:spacing w:after="0"/>
              <w:rPr>
                <w:sz w:val="20"/>
                <w:szCs w:val="20"/>
                <w:color w:val="auto"/>
              </w:rPr>
            </w:pPr>
            <w:r>
              <w:rPr>
                <w:rFonts w:ascii="Arial" w:cs="Arial" w:eastAsia="Arial" w:hAnsi="Arial"/>
                <w:sz w:val="16"/>
                <w:szCs w:val="16"/>
                <w:color w:val="auto"/>
              </w:rPr>
              <w:t>2,316,841</w:t>
            </w:r>
          </w:p>
        </w:tc>
        <w:tc>
          <w:tcPr>
            <w:tcW w:w="1520" w:type="dxa"/>
            <w:vAlign w:val="bottom"/>
          </w:tcPr>
          <w:p>
            <w:pPr>
              <w:jc w:val="right"/>
              <w:ind w:right="23"/>
              <w:spacing w:after="0"/>
              <w:rPr>
                <w:sz w:val="20"/>
                <w:szCs w:val="20"/>
                <w:color w:val="auto"/>
              </w:rPr>
            </w:pPr>
            <w:r>
              <w:rPr>
                <w:rFonts w:ascii="Arial" w:cs="Arial" w:eastAsia="Arial" w:hAnsi="Arial"/>
                <w:sz w:val="16"/>
                <w:szCs w:val="16"/>
                <w:color w:val="auto"/>
              </w:rPr>
              <w:t>2,831,673</w:t>
            </w: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132</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115</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443.3</w:t>
            </w:r>
          </w:p>
        </w:tc>
        <w:tc>
          <w:tcPr>
            <w:tcW w:w="1020" w:type="dxa"/>
            <w:vAlign w:val="bottom"/>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15"/>
        </w:trPr>
        <w:tc>
          <w:tcPr>
            <w:tcW w:w="640" w:type="dxa"/>
            <w:vAlign w:val="bottom"/>
            <w:shd w:val="clear" w:color="auto" w:fill="DBDBDB"/>
          </w:tcPr>
          <w:p>
            <w:pPr>
              <w:jc w:val="right"/>
              <w:ind w:right="180"/>
              <w:spacing w:after="0"/>
              <w:rPr>
                <w:sz w:val="20"/>
                <w:szCs w:val="20"/>
                <w:color w:val="auto"/>
              </w:rPr>
            </w:pPr>
            <w:r>
              <w:rPr>
                <w:rFonts w:ascii="Arial" w:cs="Arial" w:eastAsia="Arial" w:hAnsi="Arial"/>
                <w:sz w:val="16"/>
                <w:szCs w:val="16"/>
                <w:color w:val="auto"/>
              </w:rPr>
              <w:t>2021</w:t>
            </w:r>
          </w:p>
        </w:tc>
        <w:tc>
          <w:tcPr>
            <w:tcW w:w="1600" w:type="dxa"/>
            <w:vAlign w:val="bottom"/>
            <w:shd w:val="clear" w:color="auto" w:fill="DBDBDB"/>
          </w:tcPr>
          <w:p>
            <w:pPr>
              <w:jc w:val="right"/>
              <w:ind w:right="40"/>
              <w:spacing w:after="0"/>
              <w:rPr>
                <w:sz w:val="20"/>
                <w:szCs w:val="20"/>
                <w:color w:val="auto"/>
              </w:rPr>
            </w:pPr>
            <w:r>
              <w:rPr>
                <w:rFonts w:ascii="Arial" w:cs="Arial" w:eastAsia="Arial" w:hAnsi="Arial"/>
                <w:sz w:val="16"/>
                <w:szCs w:val="16"/>
                <w:color w:val="auto"/>
              </w:rPr>
              <w:t>8,629,851</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14,493,119</w:t>
            </w:r>
          </w:p>
        </w:tc>
        <w:tc>
          <w:tcPr>
            <w:tcW w:w="156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2,244,282</w:t>
            </w:r>
          </w:p>
        </w:tc>
        <w:tc>
          <w:tcPr>
            <w:tcW w:w="1520" w:type="dxa"/>
            <w:vAlign w:val="bottom"/>
            <w:shd w:val="clear" w:color="auto" w:fill="DBDBDB"/>
          </w:tcPr>
          <w:p>
            <w:pPr>
              <w:jc w:val="right"/>
              <w:ind w:right="23"/>
              <w:spacing w:after="0"/>
              <w:rPr>
                <w:sz w:val="20"/>
                <w:szCs w:val="20"/>
                <w:color w:val="auto"/>
              </w:rPr>
            </w:pPr>
            <w:r>
              <w:rPr>
                <w:rFonts w:ascii="Arial" w:cs="Arial" w:eastAsia="Arial" w:hAnsi="Arial"/>
                <w:sz w:val="16"/>
                <w:szCs w:val="16"/>
                <w:color w:val="auto"/>
              </w:rPr>
              <w:t>3,334,008</w:t>
            </w:r>
          </w:p>
        </w:tc>
        <w:tc>
          <w:tcPr>
            <w:tcW w:w="1420" w:type="dxa"/>
            <w:vAlign w:val="bottom"/>
            <w:shd w:val="clear" w:color="auto" w:fill="DBDBDB"/>
          </w:tcPr>
          <w:p>
            <w:pPr>
              <w:jc w:val="right"/>
              <w:ind w:right="121"/>
              <w:spacing w:after="0"/>
              <w:rPr>
                <w:sz w:val="20"/>
                <w:szCs w:val="20"/>
                <w:color w:val="auto"/>
              </w:rPr>
            </w:pPr>
            <w:r>
              <w:rPr>
                <w:rFonts w:ascii="Arial" w:cs="Arial" w:eastAsia="Arial" w:hAnsi="Arial"/>
                <w:sz w:val="16"/>
                <w:szCs w:val="16"/>
                <w:color w:val="auto"/>
              </w:rPr>
              <w:t>118</w:t>
            </w:r>
          </w:p>
        </w:tc>
        <w:tc>
          <w:tcPr>
            <w:tcW w:w="11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132</w:t>
            </w:r>
          </w:p>
        </w:tc>
        <w:tc>
          <w:tcPr>
            <w:tcW w:w="880" w:type="dxa"/>
            <w:vAlign w:val="bottom"/>
            <w:shd w:val="clear" w:color="auto" w:fill="DBDBDB"/>
          </w:tcPr>
          <w:p>
            <w:pPr>
              <w:jc w:val="right"/>
              <w:ind w:right="21"/>
              <w:spacing w:after="0"/>
              <w:rPr>
                <w:sz w:val="20"/>
                <w:szCs w:val="20"/>
                <w:color w:val="auto"/>
              </w:rPr>
            </w:pPr>
            <w:r>
              <w:rPr>
                <w:rFonts w:ascii="Arial" w:cs="Arial" w:eastAsia="Arial" w:hAnsi="Arial"/>
                <w:sz w:val="16"/>
                <w:szCs w:val="16"/>
                <w:color w:val="auto"/>
              </w:rPr>
              <w:t>409.9</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-1261745</wp:posOffset>
            </wp:positionV>
            <wp:extent cx="166941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669415" cy="17145"/>
                    </a:xfrm>
                    <a:prstGeom prst="rect">
                      <a:avLst/>
                    </a:prstGeom>
                    <a:noFill/>
                  </pic:spPr>
                </pic:pic>
              </a:graphicData>
            </a:graphic>
          </wp:anchor>
        </w:drawing>
      </w:r>
    </w:p>
    <w:p>
      <w:pPr>
        <w:spacing w:after="0" w:line="363" w:lineRule="exact"/>
        <w:rPr>
          <w:sz w:val="20"/>
          <w:szCs w:val="20"/>
          <w:color w:val="auto"/>
        </w:rPr>
      </w:pPr>
    </w:p>
    <w:p>
      <w:pPr>
        <w:jc w:val="both"/>
        <w:ind w:left="320" w:hanging="313"/>
        <w:spacing w:after="0" w:line="222" w:lineRule="auto"/>
        <w:tabs>
          <w:tab w:leader="none" w:pos="323" w:val="left"/>
        </w:tabs>
        <w:numPr>
          <w:ilvl w:val="0"/>
          <w:numId w:val="70"/>
        </w:numPr>
        <w:rPr>
          <w:rFonts w:ascii="Arial" w:cs="Arial" w:eastAsia="Arial" w:hAnsi="Arial"/>
          <w:sz w:val="20"/>
          <w:szCs w:val="20"/>
          <w:color w:val="auto"/>
        </w:rPr>
      </w:pPr>
      <w:r>
        <w:rPr>
          <w:rFonts w:ascii="Arial" w:cs="Arial" w:eastAsia="Arial" w:hAnsi="Arial"/>
          <w:sz w:val="18"/>
          <w:szCs w:val="18"/>
          <w:color w:val="auto"/>
        </w:rPr>
        <w:t>The dollar amounts reported in this column represent the amount of “compensation actually paid” as computed in accordance with Item 402(v) of Regulation S-K. Details on these amounts can be found in the PEO Compensation and Average Non-PEO NEO Compensation information on the following pages. The dollar amounts do not reflect the actual amount of compensation earned by or paid to our PEO or NEOs during the applicable fiscal year.</w:t>
      </w:r>
    </w:p>
    <w:p>
      <w:pPr>
        <w:spacing w:after="0" w:line="2" w:lineRule="exact"/>
        <w:rPr>
          <w:rFonts w:ascii="Arial" w:cs="Arial" w:eastAsia="Arial" w:hAnsi="Arial"/>
          <w:sz w:val="20"/>
          <w:szCs w:val="20"/>
          <w:color w:val="auto"/>
        </w:rPr>
      </w:pPr>
    </w:p>
    <w:p>
      <w:pPr>
        <w:jc w:val="both"/>
        <w:ind w:left="320" w:hanging="313"/>
        <w:spacing w:after="0" w:line="222" w:lineRule="auto"/>
        <w:tabs>
          <w:tab w:leader="none" w:pos="323" w:val="left"/>
        </w:tabs>
        <w:numPr>
          <w:ilvl w:val="0"/>
          <w:numId w:val="70"/>
        </w:numPr>
        <w:rPr>
          <w:rFonts w:ascii="Arial" w:cs="Arial" w:eastAsia="Arial" w:hAnsi="Arial"/>
          <w:sz w:val="20"/>
          <w:szCs w:val="20"/>
          <w:color w:val="auto"/>
        </w:rPr>
      </w:pPr>
      <w:r>
        <w:rPr>
          <w:rFonts w:ascii="Arial" w:cs="Arial" w:eastAsia="Arial" w:hAnsi="Arial"/>
          <w:sz w:val="18"/>
          <w:szCs w:val="18"/>
          <w:color w:val="auto"/>
        </w:rPr>
        <w:t>Total Shareholder Return (TSR) assumes $100 is invested as of October 31, 2020. TSR represents cumulative return over the applicable period and is calculated by dividing the sum of the cumulative amount of dividends for the measurement period, assuming dividend reinvestment, and the difference between our stock price at the end and the beginning of the measurement period by our stock price at the beginning of the measurement period.</w:t>
      </w:r>
    </w:p>
    <w:p>
      <w:pPr>
        <w:jc w:val="both"/>
        <w:ind w:left="320" w:hanging="313"/>
        <w:spacing w:after="0" w:line="234" w:lineRule="auto"/>
        <w:tabs>
          <w:tab w:leader="none" w:pos="323" w:val="left"/>
        </w:tabs>
        <w:numPr>
          <w:ilvl w:val="0"/>
          <w:numId w:val="70"/>
        </w:numPr>
        <w:rPr>
          <w:rFonts w:ascii="Arial" w:cs="Arial" w:eastAsia="Arial" w:hAnsi="Arial"/>
          <w:sz w:val="18"/>
          <w:szCs w:val="18"/>
          <w:color w:val="auto"/>
        </w:rPr>
      </w:pPr>
      <w:r>
        <w:rPr>
          <w:rFonts w:ascii="Arial" w:cs="Arial" w:eastAsia="Arial" w:hAnsi="Arial"/>
          <w:sz w:val="17"/>
          <w:szCs w:val="17"/>
          <w:color w:val="auto"/>
        </w:rPr>
        <w:t>The Peer Group TSR used for this calculation is based on the S&amp;P 500 Industrial Machinery Index, which we also use for purposes of our stock performance graph in our most recent annual report on Form 10-K for the fiscal year ended October 31, 2025. The peer group TSR is calculated using the same methodology as described in footnote 2 above, with the returns of each component company of this group weighted according to the respective company’s stock market capitalization at the beginning of each period for which a return is indicated.</w:t>
      </w:r>
    </w:p>
    <w:p>
      <w:pPr>
        <w:ind w:left="320" w:right="20" w:hanging="313"/>
        <w:spacing w:after="0" w:line="219" w:lineRule="auto"/>
        <w:tabs>
          <w:tab w:leader="none" w:pos="323" w:val="left"/>
        </w:tabs>
        <w:numPr>
          <w:ilvl w:val="0"/>
          <w:numId w:val="70"/>
        </w:numPr>
        <w:rPr>
          <w:rFonts w:ascii="Arial" w:cs="Arial" w:eastAsia="Arial" w:hAnsi="Arial"/>
          <w:sz w:val="20"/>
          <w:szCs w:val="20"/>
          <w:color w:val="auto"/>
        </w:rPr>
      </w:pPr>
      <w:r>
        <w:rPr>
          <w:rFonts w:ascii="Arial" w:cs="Arial" w:eastAsia="Arial" w:hAnsi="Arial"/>
          <w:sz w:val="18"/>
          <w:szCs w:val="18"/>
          <w:color w:val="auto"/>
        </w:rPr>
        <w:t>Amounts reported represent the amount of net earnings reflected in our audited consolidated financial statements for the applicable fiscal year, as reported in our annual report on Form 10-K for the fiscal year.</w:t>
      </w:r>
    </w:p>
    <w:p>
      <w:pPr>
        <w:spacing w:after="0" w:line="1" w:lineRule="exact"/>
        <w:rPr>
          <w:rFonts w:ascii="Arial" w:cs="Arial" w:eastAsia="Arial" w:hAnsi="Arial"/>
          <w:sz w:val="20"/>
          <w:szCs w:val="20"/>
          <w:color w:val="auto"/>
        </w:rPr>
      </w:pPr>
    </w:p>
    <w:p>
      <w:pPr>
        <w:ind w:left="320" w:hanging="313"/>
        <w:spacing w:after="0" w:line="229" w:lineRule="auto"/>
        <w:tabs>
          <w:tab w:leader="none" w:pos="323" w:val="left"/>
        </w:tabs>
        <w:numPr>
          <w:ilvl w:val="0"/>
          <w:numId w:val="70"/>
        </w:numPr>
        <w:rPr>
          <w:rFonts w:ascii="Arial" w:cs="Arial" w:eastAsia="Arial" w:hAnsi="Arial"/>
          <w:sz w:val="20"/>
          <w:szCs w:val="20"/>
          <w:color w:val="auto"/>
        </w:rPr>
      </w:pPr>
      <w:r>
        <w:rPr>
          <w:rFonts w:ascii="Arial" w:cs="Arial" w:eastAsia="Arial" w:hAnsi="Arial"/>
          <w:sz w:val="18"/>
          <w:szCs w:val="18"/>
          <w:color w:val="auto"/>
        </w:rPr>
        <w:t>Amounts reported represent the amount of adjusted diluted EPS, which is a non-GAAP financial measure that is calculated by taking adjusted net Earnings and dividing by diluted shares outstanding. A reconciliation of</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70" w:name="page71"/>
    <w:bookmarkEnd w:id="70"/>
    <w:p>
      <w:pPr>
        <w:jc w:val="both"/>
        <w:ind w:left="320"/>
        <w:spacing w:after="0" w:line="247" w:lineRule="auto"/>
        <w:rPr>
          <w:sz w:val="20"/>
          <w:szCs w:val="20"/>
          <w:color w:val="auto"/>
        </w:rPr>
      </w:pPr>
      <w:r>
        <w:rPr>
          <w:rFonts w:ascii="Arial" w:cs="Arial" w:eastAsia="Arial" w:hAnsi="Arial"/>
          <w:sz w:val="17"/>
          <w:szCs w:val="17"/>
          <w:color w:val="auto"/>
        </w:rPr>
        <w:t>these non-GAAP measures to their most comparable GAAP measures can be found in Appendix A hereto. While we use several financial performance measures for purposes of evaluating performance for our compensation programs, we have determined that the adjusted</w:t>
      </w:r>
    </w:p>
    <w:p>
      <w:pPr>
        <w:spacing w:after="0" w:line="1" w:lineRule="exact"/>
        <w:rPr>
          <w:sz w:val="20"/>
          <w:szCs w:val="20"/>
          <w:color w:val="auto"/>
        </w:rPr>
      </w:pPr>
    </w:p>
    <w:p>
      <w:pPr>
        <w:jc w:val="both"/>
        <w:ind w:left="320"/>
        <w:spacing w:after="0" w:line="233" w:lineRule="auto"/>
        <w:rPr>
          <w:sz w:val="20"/>
          <w:szCs w:val="20"/>
          <w:color w:val="auto"/>
        </w:rPr>
      </w:pPr>
      <w:r>
        <w:rPr>
          <w:rFonts w:ascii="Arial" w:cs="Arial" w:eastAsia="Arial" w:hAnsi="Arial"/>
          <w:sz w:val="17"/>
          <w:szCs w:val="17"/>
          <w:color w:val="auto"/>
        </w:rPr>
        <w:t>diluted EPS is the financial performance measure that, in our assessment, represents the most important performance measure (that is not otherwise required to be disclosed in the table) that we use to link compensation actually paid to our NEOs, for the most recently completed fiscal year, to our performance. Note that adjusted diluted EPS for fiscal 2022 as used as a financial performance measure to link compensation actually paid to our NEOs is different than adjusted diluted EPS as presented in our earnings release since the adjusted</w:t>
      </w:r>
    </w:p>
    <w:p>
      <w:pPr>
        <w:spacing w:after="0" w:line="1" w:lineRule="exact"/>
        <w:rPr>
          <w:sz w:val="20"/>
          <w:szCs w:val="20"/>
          <w:color w:val="auto"/>
        </w:rPr>
      </w:pPr>
    </w:p>
    <w:p>
      <w:pPr>
        <w:jc w:val="both"/>
        <w:ind w:left="320"/>
        <w:spacing w:after="0" w:line="228" w:lineRule="auto"/>
        <w:rPr>
          <w:sz w:val="20"/>
          <w:szCs w:val="20"/>
          <w:color w:val="auto"/>
        </w:rPr>
      </w:pPr>
      <w:r>
        <w:rPr>
          <w:rFonts w:ascii="Arial" w:cs="Arial" w:eastAsia="Arial" w:hAnsi="Arial"/>
          <w:sz w:val="18"/>
          <w:szCs w:val="18"/>
          <w:color w:val="auto"/>
        </w:rPr>
        <w:t>diluted EPS used as a financial performance measure to link compensation actually paid to our NEOs reflects an adjustment of $(.04) based on defined acquisition-related adjustment events at the beginning of the fiscal year and approved by the Compensation &amp; HR Committee.</w:t>
      </w:r>
    </w:p>
    <w:p>
      <w:pPr>
        <w:spacing w:after="0" w:line="193"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b w:val="1"/>
          <w:bCs w:val="1"/>
          <w:color w:val="auto"/>
        </w:rPr>
        <w:t xml:space="preserve">PEO Compensation. </w:t>
      </w:r>
      <w:r>
        <w:rPr>
          <w:rFonts w:ascii="Arial" w:cs="Arial" w:eastAsia="Arial" w:hAnsi="Arial"/>
          <w:sz w:val="18"/>
          <w:szCs w:val="18"/>
          <w:color w:val="auto"/>
        </w:rPr>
        <w:t>To determine the amounts in column (c) in the PvP table, the following adjustments were made to the PEO’s total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as reported in the Summary Compensation Table, in accordance with Item 402(v) of Regulation S-K.</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 w:type="dxa"/>
            <w:vAlign w:val="bottom"/>
            <w:shd w:val="clear" w:color="auto" w:fill="BF2115"/>
          </w:tcPr>
          <w:p>
            <w:pPr>
              <w:spacing w:after="0"/>
              <w:rPr>
                <w:sz w:val="16"/>
                <w:szCs w:val="16"/>
                <w:color w:val="auto"/>
              </w:rPr>
            </w:pPr>
          </w:p>
        </w:tc>
        <w:tc>
          <w:tcPr>
            <w:tcW w:w="1660" w:type="dxa"/>
            <w:vAlign w:val="bottom"/>
            <w:shd w:val="clear" w:color="auto" w:fill="BF2115"/>
          </w:tcPr>
          <w:p>
            <w:pPr>
              <w:spacing w:after="0"/>
              <w:rPr>
                <w:sz w:val="16"/>
                <w:szCs w:val="16"/>
                <w:color w:val="auto"/>
              </w:rPr>
            </w:pPr>
          </w:p>
        </w:tc>
        <w:tc>
          <w:tcPr>
            <w:tcW w:w="1820" w:type="dxa"/>
            <w:vAlign w:val="bottom"/>
            <w:vMerge w:val="restart"/>
            <w:shd w:val="clear" w:color="auto" w:fill="BF2115"/>
          </w:tcPr>
          <w:p>
            <w:pPr>
              <w:jc w:val="center"/>
              <w:ind w:right="20"/>
              <w:spacing w:after="0"/>
              <w:rPr>
                <w:sz w:val="20"/>
                <w:szCs w:val="20"/>
                <w:color w:val="auto"/>
              </w:rPr>
            </w:pPr>
            <w:r>
              <w:rPr>
                <w:rFonts w:ascii="Arial" w:cs="Arial" w:eastAsia="Arial" w:hAnsi="Arial"/>
                <w:sz w:val="16"/>
                <w:szCs w:val="16"/>
                <w:b w:val="1"/>
                <w:bCs w:val="1"/>
                <w:color w:val="FFFFFF"/>
                <w:w w:val="99"/>
              </w:rPr>
              <w:t>SCT Reported Equity</w:t>
            </w:r>
          </w:p>
        </w:tc>
        <w:tc>
          <w:tcPr>
            <w:tcW w:w="1500" w:type="dxa"/>
            <w:vAlign w:val="bottom"/>
            <w:shd w:val="clear" w:color="auto" w:fill="BF2115"/>
          </w:tcPr>
          <w:p>
            <w:pPr>
              <w:jc w:val="center"/>
              <w:ind w:right="40"/>
              <w:spacing w:after="0"/>
              <w:rPr>
                <w:sz w:val="20"/>
                <w:szCs w:val="20"/>
                <w:color w:val="auto"/>
              </w:rPr>
            </w:pPr>
            <w:r>
              <w:rPr>
                <w:rFonts w:ascii="Arial" w:cs="Arial" w:eastAsia="Arial" w:hAnsi="Arial"/>
                <w:sz w:val="16"/>
                <w:szCs w:val="16"/>
                <w:b w:val="1"/>
                <w:bCs w:val="1"/>
                <w:color w:val="FFFFFF"/>
                <w:w w:val="99"/>
              </w:rPr>
              <w:t>Equity Award</w:t>
            </w:r>
          </w:p>
        </w:tc>
        <w:tc>
          <w:tcPr>
            <w:tcW w:w="15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Change in the</w:t>
            </w:r>
          </w:p>
        </w:tc>
        <w:tc>
          <w:tcPr>
            <w:tcW w:w="140" w:type="dxa"/>
            <w:vAlign w:val="bottom"/>
            <w:shd w:val="clear" w:color="auto" w:fill="BF2115"/>
          </w:tcPr>
          <w:p>
            <w:pPr>
              <w:spacing w:after="0"/>
              <w:rPr>
                <w:sz w:val="16"/>
                <w:szCs w:val="16"/>
                <w:color w:val="auto"/>
              </w:rPr>
            </w:pPr>
          </w:p>
        </w:tc>
        <w:tc>
          <w:tcPr>
            <w:tcW w:w="1800" w:type="dxa"/>
            <w:vAlign w:val="bottom"/>
            <w:vMerge w:val="restart"/>
            <w:shd w:val="clear" w:color="auto" w:fill="BF2115"/>
          </w:tcPr>
          <w:p>
            <w:pPr>
              <w:jc w:val="center"/>
              <w:ind w:right="20"/>
              <w:spacing w:after="0"/>
              <w:rPr>
                <w:sz w:val="20"/>
                <w:szCs w:val="20"/>
                <w:color w:val="auto"/>
              </w:rPr>
            </w:pPr>
            <w:r>
              <w:rPr>
                <w:rFonts w:ascii="Arial" w:cs="Arial" w:eastAsia="Arial" w:hAnsi="Arial"/>
                <w:sz w:val="16"/>
                <w:szCs w:val="16"/>
                <w:b w:val="1"/>
                <w:bCs w:val="1"/>
                <w:color w:val="FFFFFF"/>
              </w:rPr>
              <w:t>Pension Benefit</w:t>
            </w:r>
          </w:p>
        </w:tc>
        <w:tc>
          <w:tcPr>
            <w:tcW w:w="148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Compensation</w:t>
            </w:r>
          </w:p>
        </w:tc>
        <w:tc>
          <w:tcPr>
            <w:tcW w:w="0" w:type="dxa"/>
            <w:vAlign w:val="bottom"/>
          </w:tcPr>
          <w:p>
            <w:pPr>
              <w:spacing w:after="0"/>
              <w:rPr>
                <w:sz w:val="1"/>
                <w:szCs w:val="1"/>
                <w:color w:val="auto"/>
              </w:rPr>
            </w:pPr>
          </w:p>
        </w:tc>
      </w:tr>
      <w:tr>
        <w:trPr>
          <w:trHeight w:val="173"/>
        </w:trPr>
        <w:tc>
          <w:tcPr>
            <w:tcW w:w="900" w:type="dxa"/>
            <w:vAlign w:val="bottom"/>
            <w:shd w:val="clear" w:color="auto" w:fill="BF2115"/>
          </w:tcPr>
          <w:p>
            <w:pPr>
              <w:spacing w:after="0"/>
              <w:rPr>
                <w:sz w:val="15"/>
                <w:szCs w:val="15"/>
                <w:color w:val="auto"/>
              </w:rPr>
            </w:pPr>
          </w:p>
        </w:tc>
        <w:tc>
          <w:tcPr>
            <w:tcW w:w="1660" w:type="dxa"/>
            <w:vAlign w:val="bottom"/>
            <w:shd w:val="clear" w:color="auto" w:fill="BF2115"/>
          </w:tcPr>
          <w:p>
            <w:pPr>
              <w:spacing w:after="0"/>
              <w:rPr>
                <w:sz w:val="15"/>
                <w:szCs w:val="15"/>
                <w:color w:val="auto"/>
              </w:rPr>
            </w:pPr>
          </w:p>
        </w:tc>
        <w:tc>
          <w:tcPr>
            <w:tcW w:w="1820" w:type="dxa"/>
            <w:vAlign w:val="bottom"/>
            <w:vMerge w:val="continue"/>
            <w:shd w:val="clear" w:color="auto" w:fill="BF2115"/>
          </w:tcPr>
          <w:p>
            <w:pPr>
              <w:spacing w:after="0"/>
              <w:rPr>
                <w:sz w:val="15"/>
                <w:szCs w:val="15"/>
                <w:color w:val="auto"/>
              </w:rPr>
            </w:pPr>
          </w:p>
        </w:tc>
        <w:tc>
          <w:tcPr>
            <w:tcW w:w="1500" w:type="dxa"/>
            <w:vAlign w:val="bottom"/>
            <w:shd w:val="clear" w:color="auto" w:fill="BF2115"/>
          </w:tcPr>
          <w:p>
            <w:pPr>
              <w:jc w:val="center"/>
              <w:ind w:right="40"/>
              <w:spacing w:after="0" w:line="174" w:lineRule="exact"/>
              <w:rPr>
                <w:sz w:val="20"/>
                <w:szCs w:val="20"/>
                <w:color w:val="auto"/>
              </w:rPr>
            </w:pPr>
            <w:r>
              <w:rPr>
                <w:rFonts w:ascii="Arial" w:cs="Arial" w:eastAsia="Arial" w:hAnsi="Arial"/>
                <w:sz w:val="16"/>
                <w:szCs w:val="16"/>
                <w:b w:val="1"/>
                <w:bCs w:val="1"/>
                <w:color w:val="FFFFFF"/>
                <w:w w:val="99"/>
              </w:rPr>
              <w:t>Adjustments for</w:t>
            </w:r>
          </w:p>
        </w:tc>
        <w:tc>
          <w:tcPr>
            <w:tcW w:w="156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8"/>
              </w:rPr>
              <w:t>Actuarial Present</w:t>
            </w:r>
          </w:p>
        </w:tc>
        <w:tc>
          <w:tcPr>
            <w:tcW w:w="140" w:type="dxa"/>
            <w:vAlign w:val="bottom"/>
            <w:shd w:val="clear" w:color="auto" w:fill="BF2115"/>
          </w:tcPr>
          <w:p>
            <w:pPr>
              <w:spacing w:after="0"/>
              <w:rPr>
                <w:sz w:val="15"/>
                <w:szCs w:val="15"/>
                <w:color w:val="auto"/>
              </w:rPr>
            </w:pPr>
          </w:p>
        </w:tc>
        <w:tc>
          <w:tcPr>
            <w:tcW w:w="1800" w:type="dxa"/>
            <w:vAlign w:val="bottom"/>
            <w:vMerge w:val="continue"/>
            <w:shd w:val="clear" w:color="auto" w:fill="BF2115"/>
          </w:tcPr>
          <w:p>
            <w:pPr>
              <w:spacing w:after="0"/>
              <w:rPr>
                <w:sz w:val="15"/>
                <w:szCs w:val="15"/>
                <w:color w:val="auto"/>
              </w:rPr>
            </w:pPr>
          </w:p>
        </w:tc>
        <w:tc>
          <w:tcPr>
            <w:tcW w:w="148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9"/>
              </w:rPr>
              <w:t>Actually Paid to</w:t>
            </w:r>
          </w:p>
        </w:tc>
        <w:tc>
          <w:tcPr>
            <w:tcW w:w="0" w:type="dxa"/>
            <w:vAlign w:val="bottom"/>
          </w:tcPr>
          <w:p>
            <w:pPr>
              <w:spacing w:after="0"/>
              <w:rPr>
                <w:sz w:val="1"/>
                <w:szCs w:val="1"/>
                <w:color w:val="auto"/>
              </w:rPr>
            </w:pPr>
          </w:p>
        </w:tc>
      </w:tr>
      <w:tr>
        <w:trPr>
          <w:trHeight w:val="174"/>
        </w:trPr>
        <w:tc>
          <w:tcPr>
            <w:tcW w:w="900" w:type="dxa"/>
            <w:vAlign w:val="bottom"/>
            <w:vMerge w:val="restart"/>
            <w:shd w:val="clear" w:color="auto" w:fill="BF2115"/>
          </w:tcPr>
          <w:p>
            <w:pPr>
              <w:jc w:val="right"/>
              <w:ind w:right="140"/>
              <w:spacing w:after="0"/>
              <w:rPr>
                <w:sz w:val="20"/>
                <w:szCs w:val="20"/>
                <w:color w:val="auto"/>
              </w:rPr>
            </w:pPr>
            <w:r>
              <w:rPr>
                <w:rFonts w:ascii="Arial" w:cs="Arial" w:eastAsia="Arial" w:hAnsi="Arial"/>
                <w:sz w:val="16"/>
                <w:szCs w:val="16"/>
                <w:b w:val="1"/>
                <w:bCs w:val="1"/>
                <w:color w:val="FFFFFF"/>
              </w:rPr>
              <w:t>Year</w:t>
            </w:r>
          </w:p>
        </w:tc>
        <w:tc>
          <w:tcPr>
            <w:tcW w:w="1660" w:type="dxa"/>
            <w:vAlign w:val="bottom"/>
            <w:shd w:val="clear" w:color="auto" w:fill="BF2115"/>
          </w:tcPr>
          <w:p>
            <w:pPr>
              <w:jc w:val="right"/>
              <w:ind w:right="20"/>
              <w:spacing w:after="0" w:line="175" w:lineRule="exact"/>
              <w:rPr>
                <w:sz w:val="20"/>
                <w:szCs w:val="20"/>
                <w:color w:val="auto"/>
              </w:rPr>
            </w:pPr>
            <w:r>
              <w:rPr>
                <w:rFonts w:ascii="Arial" w:cs="Arial" w:eastAsia="Arial" w:hAnsi="Arial"/>
                <w:sz w:val="16"/>
                <w:szCs w:val="16"/>
                <w:b w:val="1"/>
                <w:bCs w:val="1"/>
                <w:color w:val="FFFFFF"/>
              </w:rPr>
              <w:t>SCT Total for PEO</w:t>
            </w:r>
          </w:p>
        </w:tc>
        <w:tc>
          <w:tcPr>
            <w:tcW w:w="1820" w:type="dxa"/>
            <w:vAlign w:val="bottom"/>
            <w:shd w:val="clear" w:color="auto" w:fill="BF2115"/>
          </w:tcPr>
          <w:p>
            <w:pPr>
              <w:jc w:val="center"/>
              <w:ind w:right="20"/>
              <w:spacing w:after="0" w:line="175" w:lineRule="exact"/>
              <w:rPr>
                <w:sz w:val="20"/>
                <w:szCs w:val="20"/>
                <w:color w:val="auto"/>
              </w:rPr>
            </w:pPr>
            <w:r>
              <w:rPr>
                <w:rFonts w:ascii="Arial" w:cs="Arial" w:eastAsia="Arial" w:hAnsi="Arial"/>
                <w:sz w:val="16"/>
                <w:szCs w:val="16"/>
                <w:b w:val="1"/>
                <w:bCs w:val="1"/>
                <w:color w:val="FFFFFF"/>
                <w:w w:val="99"/>
              </w:rPr>
              <w:t>Award Value for PEO</w:t>
            </w:r>
          </w:p>
        </w:tc>
        <w:tc>
          <w:tcPr>
            <w:tcW w:w="1500" w:type="dxa"/>
            <w:vAlign w:val="bottom"/>
            <w:shd w:val="clear" w:color="auto" w:fill="BF2115"/>
          </w:tcPr>
          <w:p>
            <w:pPr>
              <w:jc w:val="center"/>
              <w:ind w:right="40"/>
              <w:spacing w:after="0" w:line="174" w:lineRule="exact"/>
              <w:rPr>
                <w:sz w:val="20"/>
                <w:szCs w:val="20"/>
                <w:color w:val="auto"/>
              </w:rPr>
            </w:pPr>
            <w:r>
              <w:rPr>
                <w:rFonts w:ascii="Arial" w:cs="Arial" w:eastAsia="Arial" w:hAnsi="Arial"/>
                <w:sz w:val="16"/>
                <w:szCs w:val="16"/>
                <w:b w:val="1"/>
                <w:bCs w:val="1"/>
                <w:color w:val="FFFFFF"/>
                <w:w w:val="92"/>
              </w:rPr>
              <w:t>PEO</w:t>
            </w:r>
            <w:r>
              <w:rPr>
                <w:rFonts w:ascii="Arial" w:cs="Arial" w:eastAsia="Arial" w:hAnsi="Arial"/>
                <w:sz w:val="20"/>
                <w:szCs w:val="20"/>
                <w:b w:val="1"/>
                <w:bCs w:val="1"/>
                <w:color w:val="FFFFFF"/>
                <w:w w:val="92"/>
                <w:vertAlign w:val="superscript"/>
              </w:rPr>
              <w:t>1</w:t>
            </w:r>
          </w:p>
        </w:tc>
        <w:tc>
          <w:tcPr>
            <w:tcW w:w="1560" w:type="dxa"/>
            <w:vAlign w:val="bottom"/>
            <w:shd w:val="clear" w:color="auto" w:fill="BF2115"/>
          </w:tcPr>
          <w:p>
            <w:pPr>
              <w:jc w:val="center"/>
              <w:spacing w:after="0" w:line="175" w:lineRule="exact"/>
              <w:rPr>
                <w:sz w:val="20"/>
                <w:szCs w:val="20"/>
                <w:color w:val="auto"/>
              </w:rPr>
            </w:pPr>
            <w:r>
              <w:rPr>
                <w:rFonts w:ascii="Arial" w:cs="Arial" w:eastAsia="Arial" w:hAnsi="Arial"/>
                <w:sz w:val="16"/>
                <w:szCs w:val="16"/>
                <w:b w:val="1"/>
                <w:bCs w:val="1"/>
                <w:color w:val="FFFFFF"/>
                <w:w w:val="99"/>
              </w:rPr>
              <w:t>Value of Pension</w:t>
            </w:r>
          </w:p>
        </w:tc>
        <w:tc>
          <w:tcPr>
            <w:tcW w:w="140" w:type="dxa"/>
            <w:vAlign w:val="bottom"/>
            <w:shd w:val="clear" w:color="auto" w:fill="BF2115"/>
          </w:tcPr>
          <w:p>
            <w:pPr>
              <w:spacing w:after="0"/>
              <w:rPr>
                <w:sz w:val="15"/>
                <w:szCs w:val="15"/>
                <w:color w:val="auto"/>
              </w:rPr>
            </w:pPr>
          </w:p>
        </w:tc>
        <w:tc>
          <w:tcPr>
            <w:tcW w:w="1800" w:type="dxa"/>
            <w:vAlign w:val="bottom"/>
            <w:shd w:val="clear" w:color="auto" w:fill="BF2115"/>
          </w:tcPr>
          <w:p>
            <w:pPr>
              <w:jc w:val="center"/>
              <w:ind w:right="20"/>
              <w:spacing w:after="0" w:line="175" w:lineRule="exact"/>
              <w:rPr>
                <w:sz w:val="20"/>
                <w:szCs w:val="20"/>
                <w:color w:val="auto"/>
              </w:rPr>
            </w:pPr>
            <w:r>
              <w:rPr>
                <w:rFonts w:ascii="Arial" w:cs="Arial" w:eastAsia="Arial" w:hAnsi="Arial"/>
                <w:sz w:val="16"/>
                <w:szCs w:val="16"/>
                <w:b w:val="1"/>
                <w:bCs w:val="1"/>
                <w:color w:val="FFFFFF"/>
              </w:rPr>
              <w:t>Adjustments for PEO</w:t>
            </w:r>
          </w:p>
        </w:tc>
        <w:tc>
          <w:tcPr>
            <w:tcW w:w="1480" w:type="dxa"/>
            <w:vAlign w:val="bottom"/>
            <w:shd w:val="clear" w:color="auto" w:fill="BF2115"/>
          </w:tcPr>
          <w:p>
            <w:pPr>
              <w:jc w:val="center"/>
              <w:ind w:right="20"/>
              <w:spacing w:after="0" w:line="175" w:lineRule="exact"/>
              <w:rPr>
                <w:sz w:val="20"/>
                <w:szCs w:val="20"/>
                <w:color w:val="auto"/>
              </w:rPr>
            </w:pPr>
            <w:r>
              <w:rPr>
                <w:rFonts w:ascii="Arial" w:cs="Arial" w:eastAsia="Arial" w:hAnsi="Arial"/>
                <w:sz w:val="16"/>
                <w:szCs w:val="16"/>
                <w:b w:val="1"/>
                <w:bCs w:val="1"/>
                <w:color w:val="FFFFFF"/>
              </w:rPr>
              <w:t>PEO</w:t>
            </w:r>
          </w:p>
        </w:tc>
        <w:tc>
          <w:tcPr>
            <w:tcW w:w="0" w:type="dxa"/>
            <w:vAlign w:val="bottom"/>
          </w:tcPr>
          <w:p>
            <w:pPr>
              <w:spacing w:after="0"/>
              <w:rPr>
                <w:sz w:val="1"/>
                <w:szCs w:val="1"/>
                <w:color w:val="auto"/>
              </w:rPr>
            </w:pPr>
          </w:p>
        </w:tc>
      </w:tr>
      <w:tr>
        <w:trPr>
          <w:trHeight w:val="240"/>
        </w:trPr>
        <w:tc>
          <w:tcPr>
            <w:tcW w:w="900" w:type="dxa"/>
            <w:vAlign w:val="bottom"/>
            <w:vMerge w:val="continue"/>
            <w:shd w:val="clear" w:color="auto" w:fill="BF2115"/>
          </w:tcPr>
          <w:p>
            <w:pPr>
              <w:spacing w:after="0"/>
              <w:rPr>
                <w:sz w:val="20"/>
                <w:szCs w:val="20"/>
                <w:color w:val="auto"/>
              </w:rPr>
            </w:pPr>
          </w:p>
        </w:tc>
        <w:tc>
          <w:tcPr>
            <w:tcW w:w="1660" w:type="dxa"/>
            <w:vAlign w:val="bottom"/>
            <w:shd w:val="clear" w:color="auto" w:fill="BF2115"/>
          </w:tcPr>
          <w:p>
            <w:pPr>
              <w:jc w:val="right"/>
              <w:ind w:right="580"/>
              <w:spacing w:after="0"/>
              <w:rPr>
                <w:sz w:val="20"/>
                <w:szCs w:val="20"/>
                <w:color w:val="auto"/>
              </w:rPr>
            </w:pPr>
            <w:r>
              <w:rPr>
                <w:rFonts w:ascii="Arial" w:cs="Arial" w:eastAsia="Arial" w:hAnsi="Arial"/>
                <w:sz w:val="16"/>
                <w:szCs w:val="16"/>
                <w:b w:val="1"/>
                <w:bCs w:val="1"/>
                <w:color w:val="FFFFFF"/>
              </w:rPr>
              <w:t>($)</w:t>
            </w:r>
          </w:p>
        </w:tc>
        <w:tc>
          <w:tcPr>
            <w:tcW w:w="18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15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15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Benefits for PEO ($)</w:t>
            </w:r>
          </w:p>
        </w:tc>
        <w:tc>
          <w:tcPr>
            <w:tcW w:w="140" w:type="dxa"/>
            <w:vAlign w:val="bottom"/>
            <w:shd w:val="clear" w:color="auto" w:fill="BF2115"/>
          </w:tcPr>
          <w:p>
            <w:pPr>
              <w:spacing w:after="0"/>
              <w:rPr>
                <w:sz w:val="20"/>
                <w:szCs w:val="20"/>
                <w:color w:val="auto"/>
              </w:rPr>
            </w:pPr>
          </w:p>
        </w:tc>
        <w:tc>
          <w:tcPr>
            <w:tcW w:w="18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148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20"/>
        </w:trPr>
        <w:tc>
          <w:tcPr>
            <w:tcW w:w="900" w:type="dxa"/>
            <w:vAlign w:val="bottom"/>
            <w:tcBorders>
              <w:bottom w:val="single" w:sz="8" w:color="DBDBDB"/>
            </w:tcBorders>
            <w:shd w:val="clear" w:color="auto" w:fill="DBDBDB"/>
          </w:tcPr>
          <w:p>
            <w:pPr>
              <w:jc w:val="right"/>
              <w:ind w:right="440"/>
              <w:spacing w:after="0"/>
              <w:rPr>
                <w:sz w:val="20"/>
                <w:szCs w:val="20"/>
                <w:color w:val="auto"/>
              </w:rPr>
            </w:pPr>
            <w:r>
              <w:rPr>
                <w:rFonts w:ascii="Arial" w:cs="Arial" w:eastAsia="Arial" w:hAnsi="Arial"/>
                <w:sz w:val="16"/>
                <w:szCs w:val="16"/>
                <w:color w:val="auto"/>
              </w:rPr>
              <w:t>2025</w:t>
            </w:r>
          </w:p>
        </w:tc>
        <w:tc>
          <w:tcPr>
            <w:tcW w:w="1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8,436,478</w:t>
            </w:r>
          </w:p>
        </w:tc>
        <w:tc>
          <w:tcPr>
            <w:tcW w:w="1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(5,626,866)</w:t>
            </w:r>
          </w:p>
        </w:tc>
        <w:tc>
          <w:tcPr>
            <w:tcW w:w="1500" w:type="dxa"/>
            <w:vAlign w:val="bottom"/>
            <w:tcBorders>
              <w:bottom w:val="single" w:sz="8" w:color="DBDBDB"/>
            </w:tcBorders>
            <w:shd w:val="clear" w:color="auto" w:fill="DBDBDB"/>
          </w:tcPr>
          <w:p>
            <w:pPr>
              <w:jc w:val="center"/>
              <w:ind w:left="460"/>
              <w:spacing w:after="0"/>
              <w:rPr>
                <w:sz w:val="20"/>
                <w:szCs w:val="20"/>
                <w:color w:val="auto"/>
              </w:rPr>
            </w:pPr>
            <w:r>
              <w:rPr>
                <w:rFonts w:ascii="Arial" w:cs="Arial" w:eastAsia="Arial" w:hAnsi="Arial"/>
                <w:sz w:val="16"/>
                <w:szCs w:val="16"/>
                <w:color w:val="auto"/>
              </w:rPr>
              <w:t>2,881,789</w:t>
            </w:r>
          </w:p>
        </w:tc>
        <w:tc>
          <w:tcPr>
            <w:tcW w:w="156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0</w:t>
            </w:r>
          </w:p>
        </w:tc>
        <w:tc>
          <w:tcPr>
            <w:tcW w:w="1800" w:type="dxa"/>
            <w:vAlign w:val="bottom"/>
            <w:tcBorders>
              <w:bottom w:val="single" w:sz="8" w:color="DBDBDB"/>
            </w:tcBorders>
            <w:shd w:val="clear" w:color="auto" w:fill="DBDBDB"/>
          </w:tcPr>
          <w:p>
            <w:pPr>
              <w:jc w:val="right"/>
              <w:ind w:right="20"/>
              <w:spacing w:after="0"/>
              <w:rPr>
                <w:sz w:val="20"/>
                <w:szCs w:val="20"/>
                <w:color w:val="auto"/>
              </w:rPr>
            </w:pPr>
            <w:r>
              <w:rPr>
                <w:rFonts w:ascii="Arial" w:cs="Arial" w:eastAsia="Arial" w:hAnsi="Arial"/>
                <w:sz w:val="16"/>
                <w:szCs w:val="16"/>
                <w:color w:val="auto"/>
              </w:rPr>
              <w:t>0</w:t>
            </w:r>
          </w:p>
        </w:tc>
        <w:tc>
          <w:tcPr>
            <w:tcW w:w="14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5,691,401</w:t>
            </w:r>
          </w:p>
        </w:tc>
        <w:tc>
          <w:tcPr>
            <w:tcW w:w="0" w:type="dxa"/>
            <w:vAlign w:val="bottom"/>
          </w:tcPr>
          <w:p>
            <w:pPr>
              <w:spacing w:after="0"/>
              <w:rPr>
                <w:sz w:val="1"/>
                <w:szCs w:val="1"/>
                <w:color w:val="auto"/>
              </w:rPr>
            </w:pPr>
          </w:p>
        </w:tc>
      </w:tr>
      <w:tr>
        <w:trPr>
          <w:trHeight w:val="211"/>
        </w:trPr>
        <w:tc>
          <w:tcPr>
            <w:tcW w:w="900" w:type="dxa"/>
            <w:vAlign w:val="bottom"/>
          </w:tcPr>
          <w:p>
            <w:pPr>
              <w:jc w:val="right"/>
              <w:ind w:right="440"/>
              <w:spacing w:after="0"/>
              <w:rPr>
                <w:sz w:val="20"/>
                <w:szCs w:val="20"/>
                <w:color w:val="auto"/>
              </w:rPr>
            </w:pPr>
            <w:r>
              <w:rPr>
                <w:rFonts w:ascii="Arial" w:cs="Arial" w:eastAsia="Arial" w:hAnsi="Arial"/>
                <w:sz w:val="16"/>
                <w:szCs w:val="16"/>
                <w:color w:val="auto"/>
              </w:rPr>
              <w:t>2024</w:t>
            </w:r>
          </w:p>
        </w:tc>
        <w:tc>
          <w:tcPr>
            <w:tcW w:w="1660" w:type="dxa"/>
            <w:vAlign w:val="bottom"/>
          </w:tcPr>
          <w:p>
            <w:pPr>
              <w:jc w:val="right"/>
              <w:spacing w:after="0"/>
              <w:rPr>
                <w:sz w:val="20"/>
                <w:szCs w:val="20"/>
                <w:color w:val="auto"/>
              </w:rPr>
            </w:pPr>
            <w:r>
              <w:rPr>
                <w:rFonts w:ascii="Arial" w:cs="Arial" w:eastAsia="Arial" w:hAnsi="Arial"/>
                <w:sz w:val="16"/>
                <w:szCs w:val="16"/>
                <w:color w:val="auto"/>
              </w:rPr>
              <w:t>8,278,439</w:t>
            </w:r>
          </w:p>
        </w:tc>
        <w:tc>
          <w:tcPr>
            <w:tcW w:w="1820" w:type="dxa"/>
            <w:vAlign w:val="bottom"/>
          </w:tcPr>
          <w:p>
            <w:pPr>
              <w:jc w:val="right"/>
              <w:spacing w:after="0"/>
              <w:rPr>
                <w:sz w:val="20"/>
                <w:szCs w:val="20"/>
                <w:color w:val="auto"/>
              </w:rPr>
            </w:pPr>
            <w:r>
              <w:rPr>
                <w:rFonts w:ascii="Arial" w:cs="Arial" w:eastAsia="Arial" w:hAnsi="Arial"/>
                <w:sz w:val="16"/>
                <w:szCs w:val="16"/>
                <w:color w:val="auto"/>
              </w:rPr>
              <w:t>(6,369,706)</w:t>
            </w:r>
          </w:p>
        </w:tc>
        <w:tc>
          <w:tcPr>
            <w:tcW w:w="1500" w:type="dxa"/>
            <w:vAlign w:val="bottom"/>
          </w:tcPr>
          <w:p>
            <w:pPr>
              <w:jc w:val="center"/>
              <w:ind w:left="460"/>
              <w:spacing w:after="0"/>
              <w:rPr>
                <w:sz w:val="20"/>
                <w:szCs w:val="20"/>
                <w:color w:val="auto"/>
              </w:rPr>
            </w:pPr>
            <w:r>
              <w:rPr>
                <w:rFonts w:ascii="Arial" w:cs="Arial" w:eastAsia="Arial" w:hAnsi="Arial"/>
                <w:sz w:val="16"/>
                <w:szCs w:val="16"/>
                <w:color w:val="auto"/>
              </w:rPr>
              <w:t>1,824,275</w:t>
            </w:r>
          </w:p>
        </w:tc>
        <w:tc>
          <w:tcPr>
            <w:tcW w:w="15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0</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1480" w:type="dxa"/>
            <w:vAlign w:val="bottom"/>
          </w:tcPr>
          <w:p>
            <w:pPr>
              <w:jc w:val="right"/>
              <w:spacing w:after="0"/>
              <w:rPr>
                <w:sz w:val="20"/>
                <w:szCs w:val="20"/>
                <w:color w:val="auto"/>
              </w:rPr>
            </w:pPr>
            <w:r>
              <w:rPr>
                <w:rFonts w:ascii="Arial" w:cs="Arial" w:eastAsia="Arial" w:hAnsi="Arial"/>
                <w:sz w:val="16"/>
                <w:szCs w:val="16"/>
                <w:color w:val="auto"/>
              </w:rPr>
              <w:t>3,733,008</w:t>
            </w:r>
          </w:p>
        </w:tc>
        <w:tc>
          <w:tcPr>
            <w:tcW w:w="0" w:type="dxa"/>
            <w:vAlign w:val="bottom"/>
          </w:tcPr>
          <w:p>
            <w:pPr>
              <w:spacing w:after="0"/>
              <w:rPr>
                <w:sz w:val="1"/>
                <w:szCs w:val="1"/>
                <w:color w:val="auto"/>
              </w:rPr>
            </w:pPr>
          </w:p>
        </w:tc>
      </w:tr>
      <w:tr>
        <w:trPr>
          <w:trHeight w:val="29"/>
        </w:trPr>
        <w:tc>
          <w:tcPr>
            <w:tcW w:w="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tcBorders>
              <w:bottom w:val="single" w:sz="8" w:color="DBDBDB"/>
            </w:tcBorders>
            <w:shd w:val="clear" w:color="auto" w:fill="DBDBDB"/>
          </w:tcPr>
          <w:p>
            <w:pPr>
              <w:jc w:val="right"/>
              <w:ind w:right="440"/>
              <w:spacing w:after="0"/>
              <w:rPr>
                <w:sz w:val="20"/>
                <w:szCs w:val="20"/>
                <w:color w:val="auto"/>
              </w:rPr>
            </w:pPr>
            <w:r>
              <w:rPr>
                <w:rFonts w:ascii="Arial" w:cs="Arial" w:eastAsia="Arial" w:hAnsi="Arial"/>
                <w:sz w:val="16"/>
                <w:szCs w:val="16"/>
                <w:color w:val="auto"/>
              </w:rPr>
              <w:t>2023</w:t>
            </w:r>
          </w:p>
        </w:tc>
        <w:tc>
          <w:tcPr>
            <w:tcW w:w="1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9,025,811</w:t>
            </w:r>
          </w:p>
        </w:tc>
        <w:tc>
          <w:tcPr>
            <w:tcW w:w="1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(7,291,746)</w:t>
            </w:r>
          </w:p>
        </w:tc>
        <w:tc>
          <w:tcPr>
            <w:tcW w:w="1500" w:type="dxa"/>
            <w:vAlign w:val="bottom"/>
            <w:tcBorders>
              <w:bottom w:val="single" w:sz="8" w:color="DBDBDB"/>
            </w:tcBorders>
            <w:shd w:val="clear" w:color="auto" w:fill="DBDBDB"/>
          </w:tcPr>
          <w:p>
            <w:pPr>
              <w:jc w:val="center"/>
              <w:ind w:left="440"/>
              <w:spacing w:after="0"/>
              <w:rPr>
                <w:sz w:val="20"/>
                <w:szCs w:val="20"/>
                <w:color w:val="auto"/>
              </w:rPr>
            </w:pPr>
            <w:r>
              <w:rPr>
                <w:rFonts w:ascii="Arial" w:cs="Arial" w:eastAsia="Arial" w:hAnsi="Arial"/>
                <w:sz w:val="16"/>
                <w:szCs w:val="16"/>
                <w:color w:val="auto"/>
              </w:rPr>
              <w:t>(1,186,387)</w:t>
            </w:r>
          </w:p>
        </w:tc>
        <w:tc>
          <w:tcPr>
            <w:tcW w:w="156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0</w:t>
            </w:r>
          </w:p>
        </w:tc>
        <w:tc>
          <w:tcPr>
            <w:tcW w:w="1800" w:type="dxa"/>
            <w:vAlign w:val="bottom"/>
            <w:tcBorders>
              <w:bottom w:val="single" w:sz="8" w:color="DBDBDB"/>
            </w:tcBorders>
            <w:shd w:val="clear" w:color="auto" w:fill="DBDBDB"/>
          </w:tcPr>
          <w:p>
            <w:pPr>
              <w:jc w:val="right"/>
              <w:ind w:right="20"/>
              <w:spacing w:after="0"/>
              <w:rPr>
                <w:sz w:val="20"/>
                <w:szCs w:val="20"/>
                <w:color w:val="auto"/>
              </w:rPr>
            </w:pPr>
            <w:r>
              <w:rPr>
                <w:rFonts w:ascii="Arial" w:cs="Arial" w:eastAsia="Arial" w:hAnsi="Arial"/>
                <w:sz w:val="16"/>
                <w:szCs w:val="16"/>
                <w:color w:val="auto"/>
              </w:rPr>
              <w:t>0</w:t>
            </w:r>
          </w:p>
        </w:tc>
        <w:tc>
          <w:tcPr>
            <w:tcW w:w="14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547,678</w:t>
            </w:r>
          </w:p>
        </w:tc>
        <w:tc>
          <w:tcPr>
            <w:tcW w:w="0" w:type="dxa"/>
            <w:vAlign w:val="bottom"/>
          </w:tcPr>
          <w:p>
            <w:pPr>
              <w:spacing w:after="0"/>
              <w:rPr>
                <w:sz w:val="1"/>
                <w:szCs w:val="1"/>
                <w:color w:val="auto"/>
              </w:rPr>
            </w:pPr>
          </w:p>
        </w:tc>
      </w:tr>
      <w:tr>
        <w:trPr>
          <w:trHeight w:val="211"/>
        </w:trPr>
        <w:tc>
          <w:tcPr>
            <w:tcW w:w="900" w:type="dxa"/>
            <w:vAlign w:val="bottom"/>
          </w:tcPr>
          <w:p>
            <w:pPr>
              <w:jc w:val="right"/>
              <w:ind w:right="440"/>
              <w:spacing w:after="0"/>
              <w:rPr>
                <w:sz w:val="20"/>
                <w:szCs w:val="20"/>
                <w:color w:val="auto"/>
              </w:rPr>
            </w:pPr>
            <w:r>
              <w:rPr>
                <w:rFonts w:ascii="Arial" w:cs="Arial" w:eastAsia="Arial" w:hAnsi="Arial"/>
                <w:sz w:val="16"/>
                <w:szCs w:val="16"/>
                <w:color w:val="auto"/>
              </w:rPr>
              <w:t>2022</w:t>
            </w:r>
          </w:p>
        </w:tc>
        <w:tc>
          <w:tcPr>
            <w:tcW w:w="1660" w:type="dxa"/>
            <w:vAlign w:val="bottom"/>
          </w:tcPr>
          <w:p>
            <w:pPr>
              <w:jc w:val="right"/>
              <w:spacing w:after="0"/>
              <w:rPr>
                <w:sz w:val="20"/>
                <w:szCs w:val="20"/>
                <w:color w:val="auto"/>
              </w:rPr>
            </w:pPr>
            <w:r>
              <w:rPr>
                <w:rFonts w:ascii="Arial" w:cs="Arial" w:eastAsia="Arial" w:hAnsi="Arial"/>
                <w:sz w:val="16"/>
                <w:szCs w:val="16"/>
                <w:color w:val="auto"/>
              </w:rPr>
              <w:t>7,311,953</w:t>
            </w:r>
          </w:p>
        </w:tc>
        <w:tc>
          <w:tcPr>
            <w:tcW w:w="1820" w:type="dxa"/>
            <w:vAlign w:val="bottom"/>
          </w:tcPr>
          <w:p>
            <w:pPr>
              <w:jc w:val="right"/>
              <w:spacing w:after="0"/>
              <w:rPr>
                <w:sz w:val="20"/>
                <w:szCs w:val="20"/>
                <w:color w:val="auto"/>
              </w:rPr>
            </w:pPr>
            <w:r>
              <w:rPr>
                <w:rFonts w:ascii="Arial" w:cs="Arial" w:eastAsia="Arial" w:hAnsi="Arial"/>
                <w:sz w:val="16"/>
                <w:szCs w:val="16"/>
                <w:color w:val="auto"/>
              </w:rPr>
              <w:t>(4,996,891)</w:t>
            </w:r>
          </w:p>
        </w:tc>
        <w:tc>
          <w:tcPr>
            <w:tcW w:w="1500" w:type="dxa"/>
            <w:vAlign w:val="bottom"/>
          </w:tcPr>
          <w:p>
            <w:pPr>
              <w:jc w:val="right"/>
              <w:spacing w:after="0"/>
              <w:rPr>
                <w:sz w:val="20"/>
                <w:szCs w:val="20"/>
                <w:color w:val="auto"/>
              </w:rPr>
            </w:pPr>
            <w:r>
              <w:rPr>
                <w:rFonts w:ascii="Arial" w:cs="Arial" w:eastAsia="Arial" w:hAnsi="Arial"/>
                <w:sz w:val="16"/>
                <w:szCs w:val="16"/>
                <w:color w:val="auto"/>
              </w:rPr>
              <w:t>8,127,075</w:t>
            </w:r>
          </w:p>
        </w:tc>
        <w:tc>
          <w:tcPr>
            <w:tcW w:w="15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0</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1480" w:type="dxa"/>
            <w:vAlign w:val="bottom"/>
          </w:tcPr>
          <w:p>
            <w:pPr>
              <w:jc w:val="right"/>
              <w:spacing w:after="0"/>
              <w:rPr>
                <w:sz w:val="20"/>
                <w:szCs w:val="20"/>
                <w:color w:val="auto"/>
              </w:rPr>
            </w:pPr>
            <w:r>
              <w:rPr>
                <w:rFonts w:ascii="Arial" w:cs="Arial" w:eastAsia="Arial" w:hAnsi="Arial"/>
                <w:sz w:val="16"/>
                <w:szCs w:val="16"/>
                <w:color w:val="auto"/>
              </w:rPr>
              <w:t>10,442,137</w:t>
            </w:r>
          </w:p>
        </w:tc>
        <w:tc>
          <w:tcPr>
            <w:tcW w:w="0" w:type="dxa"/>
            <w:vAlign w:val="bottom"/>
          </w:tcPr>
          <w:p>
            <w:pPr>
              <w:spacing w:after="0"/>
              <w:rPr>
                <w:sz w:val="1"/>
                <w:szCs w:val="1"/>
                <w:color w:val="auto"/>
              </w:rPr>
            </w:pPr>
          </w:p>
        </w:tc>
      </w:tr>
      <w:tr>
        <w:trPr>
          <w:trHeight w:val="29"/>
        </w:trPr>
        <w:tc>
          <w:tcPr>
            <w:tcW w:w="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900" w:type="dxa"/>
            <w:vAlign w:val="bottom"/>
            <w:shd w:val="clear" w:color="auto" w:fill="DBDBDB"/>
          </w:tcPr>
          <w:p>
            <w:pPr>
              <w:jc w:val="right"/>
              <w:ind w:right="440"/>
              <w:spacing w:after="0"/>
              <w:rPr>
                <w:sz w:val="20"/>
                <w:szCs w:val="20"/>
                <w:color w:val="auto"/>
              </w:rPr>
            </w:pPr>
            <w:r>
              <w:rPr>
                <w:rFonts w:ascii="Arial" w:cs="Arial" w:eastAsia="Arial" w:hAnsi="Arial"/>
                <w:sz w:val="16"/>
                <w:szCs w:val="16"/>
                <w:color w:val="auto"/>
              </w:rPr>
              <w:t>2021</w:t>
            </w:r>
          </w:p>
        </w:tc>
        <w:tc>
          <w:tcPr>
            <w:tcW w:w="1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8,629,851</w:t>
            </w:r>
          </w:p>
        </w:tc>
        <w:tc>
          <w:tcPr>
            <w:tcW w:w="1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(5,187,602)</w:t>
            </w: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11,050,870</w:t>
            </w:r>
          </w:p>
        </w:tc>
        <w:tc>
          <w:tcPr>
            <w:tcW w:w="1560" w:type="dxa"/>
            <w:vAlign w:val="bottom"/>
            <w:shd w:val="clear" w:color="auto" w:fill="DBDBDB"/>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0</w:t>
            </w:r>
          </w:p>
        </w:tc>
        <w:tc>
          <w:tcPr>
            <w:tcW w:w="1800" w:type="dxa"/>
            <w:vAlign w:val="bottom"/>
            <w:shd w:val="clear" w:color="auto" w:fill="DBDBDB"/>
          </w:tcPr>
          <w:p>
            <w:pPr>
              <w:jc w:val="right"/>
              <w:ind w:right="20"/>
              <w:spacing w:after="0"/>
              <w:rPr>
                <w:sz w:val="20"/>
                <w:szCs w:val="20"/>
                <w:color w:val="auto"/>
              </w:rPr>
            </w:pPr>
            <w:r>
              <w:rPr>
                <w:rFonts w:ascii="Arial" w:cs="Arial" w:eastAsia="Arial" w:hAnsi="Arial"/>
                <w:sz w:val="16"/>
                <w:szCs w:val="16"/>
                <w:color w:val="auto"/>
              </w:rPr>
              <w:t>0</w:t>
            </w: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14,493,119</w:t>
            </w:r>
          </w:p>
        </w:tc>
        <w:tc>
          <w:tcPr>
            <w:tcW w:w="0" w:type="dxa"/>
            <w:vAlign w:val="bottom"/>
          </w:tcPr>
          <w:p>
            <w:pPr>
              <w:spacing w:after="0"/>
              <w:rPr>
                <w:sz w:val="1"/>
                <w:szCs w:val="1"/>
                <w:color w:val="auto"/>
              </w:rPr>
            </w:pPr>
          </w:p>
        </w:tc>
      </w:tr>
      <w:tr>
        <w:trPr>
          <w:trHeight w:val="29"/>
        </w:trPr>
        <w:tc>
          <w:tcPr>
            <w:tcW w:w="900" w:type="dxa"/>
            <w:vAlign w:val="bottom"/>
            <w:shd w:val="clear" w:color="auto" w:fill="DBDBDB"/>
          </w:tcPr>
          <w:p>
            <w:pPr>
              <w:spacing w:after="0"/>
              <w:rPr>
                <w:sz w:val="2"/>
                <w:szCs w:val="2"/>
                <w:color w:val="auto"/>
              </w:rPr>
            </w:pPr>
          </w:p>
        </w:tc>
        <w:tc>
          <w:tcPr>
            <w:tcW w:w="1660" w:type="dxa"/>
            <w:vAlign w:val="bottom"/>
            <w:shd w:val="clear" w:color="auto" w:fill="DBDBDB"/>
          </w:tcPr>
          <w:p>
            <w:pPr>
              <w:spacing w:after="0"/>
              <w:rPr>
                <w:sz w:val="2"/>
                <w:szCs w:val="2"/>
                <w:color w:val="auto"/>
              </w:rPr>
            </w:pPr>
          </w:p>
        </w:tc>
        <w:tc>
          <w:tcPr>
            <w:tcW w:w="1820" w:type="dxa"/>
            <w:vAlign w:val="bottom"/>
            <w:shd w:val="clear" w:color="auto" w:fill="DBDBDB"/>
          </w:tcPr>
          <w:p>
            <w:pPr>
              <w:spacing w:after="0"/>
              <w:rPr>
                <w:sz w:val="2"/>
                <w:szCs w:val="2"/>
                <w:color w:val="auto"/>
              </w:rPr>
            </w:pPr>
          </w:p>
        </w:tc>
        <w:tc>
          <w:tcPr>
            <w:tcW w:w="1500" w:type="dxa"/>
            <w:vAlign w:val="bottom"/>
            <w:shd w:val="clear" w:color="auto" w:fill="DBDBDB"/>
          </w:tcPr>
          <w:p>
            <w:pPr>
              <w:spacing w:after="0"/>
              <w:rPr>
                <w:sz w:val="2"/>
                <w:szCs w:val="2"/>
                <w:color w:val="auto"/>
              </w:rPr>
            </w:pPr>
          </w:p>
        </w:tc>
        <w:tc>
          <w:tcPr>
            <w:tcW w:w="156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1800" w:type="dxa"/>
            <w:vAlign w:val="bottom"/>
            <w:shd w:val="clear" w:color="auto" w:fill="DBDBDB"/>
          </w:tcPr>
          <w:p>
            <w:pPr>
              <w:spacing w:after="0"/>
              <w:rPr>
                <w:sz w:val="2"/>
                <w:szCs w:val="2"/>
                <w:color w:val="auto"/>
              </w:rPr>
            </w:pPr>
          </w:p>
        </w:tc>
        <w:tc>
          <w:tcPr>
            <w:tcW w:w="148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ind w:left="320" w:hanging="313"/>
        <w:spacing w:after="0"/>
        <w:tabs>
          <w:tab w:leader="none" w:pos="320" w:val="left"/>
        </w:tabs>
        <w:numPr>
          <w:ilvl w:val="0"/>
          <w:numId w:val="71"/>
        </w:numPr>
        <w:rPr>
          <w:rFonts w:ascii="Arial" w:cs="Arial" w:eastAsia="Arial" w:hAnsi="Arial"/>
          <w:sz w:val="20"/>
          <w:szCs w:val="20"/>
          <w:color w:val="auto"/>
        </w:rPr>
      </w:pPr>
      <w:r>
        <w:rPr>
          <w:rFonts w:ascii="Arial" w:cs="Arial" w:eastAsia="Arial" w:hAnsi="Arial"/>
          <w:sz w:val="18"/>
          <w:szCs w:val="18"/>
          <w:color w:val="auto"/>
        </w:rPr>
        <w:t>Represents the year-over year change in the fair value of equity awards provided to the PEO as summarized below.</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 w:type="dxa"/>
            <w:vAlign w:val="bottom"/>
            <w:shd w:val="clear" w:color="auto" w:fill="BF2115"/>
          </w:tcPr>
          <w:p>
            <w:pPr>
              <w:spacing w:after="0"/>
              <w:rPr>
                <w:sz w:val="16"/>
                <w:szCs w:val="16"/>
                <w:color w:val="auto"/>
              </w:rPr>
            </w:pPr>
          </w:p>
        </w:tc>
        <w:tc>
          <w:tcPr>
            <w:tcW w:w="1260" w:type="dxa"/>
            <w:vAlign w:val="bottom"/>
            <w:shd w:val="clear" w:color="auto" w:fill="BF2115"/>
          </w:tcPr>
          <w:p>
            <w:pPr>
              <w:spacing w:after="0"/>
              <w:rPr>
                <w:sz w:val="16"/>
                <w:szCs w:val="16"/>
                <w:color w:val="auto"/>
              </w:rPr>
            </w:pPr>
          </w:p>
        </w:tc>
        <w:tc>
          <w:tcPr>
            <w:tcW w:w="14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Year over Year</w:t>
            </w:r>
          </w:p>
        </w:tc>
        <w:tc>
          <w:tcPr>
            <w:tcW w:w="1260" w:type="dxa"/>
            <w:vAlign w:val="bottom"/>
            <w:shd w:val="clear" w:color="auto" w:fill="BF2115"/>
          </w:tcPr>
          <w:p>
            <w:pPr>
              <w:spacing w:after="0"/>
              <w:rPr>
                <w:sz w:val="16"/>
                <w:szCs w:val="16"/>
                <w:color w:val="auto"/>
              </w:rPr>
            </w:pPr>
          </w:p>
        </w:tc>
        <w:tc>
          <w:tcPr>
            <w:tcW w:w="1640" w:type="dxa"/>
            <w:vAlign w:val="bottom"/>
            <w:shd w:val="clear" w:color="auto" w:fill="BF2115"/>
          </w:tcPr>
          <w:p>
            <w:pPr>
              <w:spacing w:after="0"/>
              <w:rPr>
                <w:sz w:val="16"/>
                <w:szCs w:val="16"/>
                <w:color w:val="auto"/>
              </w:rPr>
            </w:pPr>
          </w:p>
        </w:tc>
        <w:tc>
          <w:tcPr>
            <w:tcW w:w="15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Fair Value at the</w:t>
            </w:r>
          </w:p>
        </w:tc>
        <w:tc>
          <w:tcPr>
            <w:tcW w:w="16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Value of Dividends</w:t>
            </w:r>
          </w:p>
        </w:tc>
        <w:tc>
          <w:tcPr>
            <w:tcW w:w="1400" w:type="dxa"/>
            <w:vAlign w:val="bottom"/>
            <w:shd w:val="clear" w:color="auto" w:fill="BF2115"/>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60" w:type="dxa"/>
            <w:vAlign w:val="bottom"/>
            <w:shd w:val="clear" w:color="auto" w:fill="BF2115"/>
          </w:tcPr>
          <w:p>
            <w:pPr>
              <w:spacing w:after="0"/>
              <w:rPr>
                <w:sz w:val="16"/>
                <w:szCs w:val="16"/>
                <w:color w:val="auto"/>
              </w:rPr>
            </w:pPr>
          </w:p>
        </w:tc>
        <w:tc>
          <w:tcPr>
            <w:tcW w:w="12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7"/>
              </w:rPr>
              <w:t>Year-End Fair</w:t>
            </w:r>
          </w:p>
        </w:tc>
        <w:tc>
          <w:tcPr>
            <w:tcW w:w="14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Change in Fair</w:t>
            </w:r>
          </w:p>
        </w:tc>
        <w:tc>
          <w:tcPr>
            <w:tcW w:w="1260" w:type="dxa"/>
            <w:vAlign w:val="bottom"/>
            <w:shd w:val="clear" w:color="auto" w:fill="BF2115"/>
          </w:tcPr>
          <w:p>
            <w:pPr>
              <w:spacing w:after="0"/>
              <w:rPr>
                <w:sz w:val="16"/>
                <w:szCs w:val="16"/>
                <w:color w:val="auto"/>
              </w:rPr>
            </w:pPr>
          </w:p>
        </w:tc>
        <w:tc>
          <w:tcPr>
            <w:tcW w:w="16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Year over Year</w:t>
            </w:r>
          </w:p>
        </w:tc>
        <w:tc>
          <w:tcPr>
            <w:tcW w:w="15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End of the Prior</w:t>
            </w:r>
          </w:p>
        </w:tc>
        <w:tc>
          <w:tcPr>
            <w:tcW w:w="16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or other Earnings</w:t>
            </w:r>
          </w:p>
        </w:tc>
        <w:tc>
          <w:tcPr>
            <w:tcW w:w="1400" w:type="dxa"/>
            <w:vAlign w:val="bottom"/>
            <w:shd w:val="clear" w:color="auto" w:fill="BF2115"/>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760" w:type="dxa"/>
            <w:vAlign w:val="bottom"/>
            <w:shd w:val="clear" w:color="auto" w:fill="BF2115"/>
          </w:tcPr>
          <w:p>
            <w:pPr>
              <w:spacing w:after="0"/>
              <w:rPr>
                <w:sz w:val="15"/>
                <w:szCs w:val="15"/>
                <w:color w:val="auto"/>
              </w:rPr>
            </w:pPr>
          </w:p>
        </w:tc>
        <w:tc>
          <w:tcPr>
            <w:tcW w:w="126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9"/>
              </w:rPr>
              <w:t>Value of</w:t>
            </w:r>
          </w:p>
        </w:tc>
        <w:tc>
          <w:tcPr>
            <w:tcW w:w="142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9"/>
              </w:rPr>
              <w:t>Value of</w:t>
            </w:r>
          </w:p>
        </w:tc>
        <w:tc>
          <w:tcPr>
            <w:tcW w:w="2900" w:type="dxa"/>
            <w:vAlign w:val="bottom"/>
            <w:gridSpan w:val="2"/>
            <w:shd w:val="clear" w:color="auto" w:fill="BF2115"/>
          </w:tcPr>
          <w:p>
            <w:pPr>
              <w:jc w:val="right"/>
              <w:spacing w:after="0" w:line="174" w:lineRule="exact"/>
              <w:rPr>
                <w:sz w:val="20"/>
                <w:szCs w:val="20"/>
                <w:color w:val="auto"/>
              </w:rPr>
            </w:pPr>
            <w:r>
              <w:rPr>
                <w:rFonts w:ascii="Arial" w:cs="Arial" w:eastAsia="Arial" w:hAnsi="Arial"/>
                <w:sz w:val="16"/>
                <w:szCs w:val="16"/>
                <w:b w:val="1"/>
                <w:bCs w:val="1"/>
                <w:color w:val="FFFFFF"/>
              </w:rPr>
              <w:t>Fair Value as of Change in Fair Value</w:t>
            </w:r>
          </w:p>
        </w:tc>
        <w:tc>
          <w:tcPr>
            <w:tcW w:w="152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8"/>
              </w:rPr>
              <w:t>Year of Equity</w:t>
            </w:r>
          </w:p>
        </w:tc>
        <w:tc>
          <w:tcPr>
            <w:tcW w:w="160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rPr>
              <w:t>Paid on Equity</w:t>
            </w:r>
          </w:p>
        </w:tc>
        <w:tc>
          <w:tcPr>
            <w:tcW w:w="1400" w:type="dxa"/>
            <w:vAlign w:val="bottom"/>
            <w:shd w:val="clear" w:color="auto" w:fill="BF2115"/>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60" w:type="dxa"/>
            <w:vAlign w:val="bottom"/>
            <w:shd w:val="clear" w:color="auto" w:fill="BF2115"/>
          </w:tcPr>
          <w:p>
            <w:pPr>
              <w:spacing w:after="0"/>
              <w:rPr>
                <w:sz w:val="15"/>
                <w:szCs w:val="15"/>
                <w:color w:val="auto"/>
              </w:rPr>
            </w:pPr>
          </w:p>
        </w:tc>
        <w:tc>
          <w:tcPr>
            <w:tcW w:w="1260" w:type="dxa"/>
            <w:vAlign w:val="bottom"/>
            <w:shd w:val="clear" w:color="auto" w:fill="BF2115"/>
          </w:tcPr>
          <w:p>
            <w:pPr>
              <w:jc w:val="center"/>
              <w:spacing w:after="0" w:line="175" w:lineRule="exact"/>
              <w:rPr>
                <w:sz w:val="20"/>
                <w:szCs w:val="20"/>
                <w:color w:val="auto"/>
              </w:rPr>
            </w:pPr>
            <w:r>
              <w:rPr>
                <w:rFonts w:ascii="Arial" w:cs="Arial" w:eastAsia="Arial" w:hAnsi="Arial"/>
                <w:sz w:val="16"/>
                <w:szCs w:val="16"/>
                <w:b w:val="1"/>
                <w:bCs w:val="1"/>
                <w:color w:val="FFFFFF"/>
                <w:w w:val="99"/>
              </w:rPr>
              <w:t>Unvested</w:t>
            </w:r>
          </w:p>
        </w:tc>
        <w:tc>
          <w:tcPr>
            <w:tcW w:w="1420" w:type="dxa"/>
            <w:vAlign w:val="bottom"/>
            <w:shd w:val="clear" w:color="auto" w:fill="BF2115"/>
          </w:tcPr>
          <w:p>
            <w:pPr>
              <w:jc w:val="center"/>
              <w:spacing w:after="0" w:line="175" w:lineRule="exact"/>
              <w:rPr>
                <w:sz w:val="20"/>
                <w:szCs w:val="20"/>
                <w:color w:val="auto"/>
              </w:rPr>
            </w:pPr>
            <w:r>
              <w:rPr>
                <w:rFonts w:ascii="Arial" w:cs="Arial" w:eastAsia="Arial" w:hAnsi="Arial"/>
                <w:sz w:val="16"/>
                <w:szCs w:val="16"/>
                <w:b w:val="1"/>
                <w:bCs w:val="1"/>
                <w:color w:val="FFFFFF"/>
                <w:w w:val="99"/>
              </w:rPr>
              <w:t>Outstanding</w:t>
            </w:r>
          </w:p>
        </w:tc>
        <w:tc>
          <w:tcPr>
            <w:tcW w:w="1260" w:type="dxa"/>
            <w:vAlign w:val="bottom"/>
            <w:shd w:val="clear" w:color="auto" w:fill="BF2115"/>
          </w:tcPr>
          <w:p>
            <w:pPr>
              <w:jc w:val="center"/>
              <w:spacing w:after="0" w:line="175" w:lineRule="exact"/>
              <w:rPr>
                <w:sz w:val="20"/>
                <w:szCs w:val="20"/>
                <w:color w:val="auto"/>
              </w:rPr>
            </w:pPr>
            <w:r>
              <w:rPr>
                <w:rFonts w:ascii="Arial" w:cs="Arial" w:eastAsia="Arial" w:hAnsi="Arial"/>
                <w:sz w:val="16"/>
                <w:szCs w:val="16"/>
                <w:b w:val="1"/>
                <w:bCs w:val="1"/>
                <w:color w:val="FFFFFF"/>
                <w:w w:val="97"/>
              </w:rPr>
              <w:t>Vesting Date of</w:t>
            </w:r>
          </w:p>
        </w:tc>
        <w:tc>
          <w:tcPr>
            <w:tcW w:w="1640" w:type="dxa"/>
            <w:vAlign w:val="bottom"/>
            <w:shd w:val="clear" w:color="auto" w:fill="BF2115"/>
          </w:tcPr>
          <w:p>
            <w:pPr>
              <w:jc w:val="center"/>
              <w:spacing w:after="0" w:line="175" w:lineRule="exact"/>
              <w:rPr>
                <w:sz w:val="20"/>
                <w:szCs w:val="20"/>
                <w:color w:val="auto"/>
              </w:rPr>
            </w:pPr>
            <w:r>
              <w:rPr>
                <w:rFonts w:ascii="Arial" w:cs="Arial" w:eastAsia="Arial" w:hAnsi="Arial"/>
                <w:sz w:val="16"/>
                <w:szCs w:val="16"/>
                <w:b w:val="1"/>
                <w:bCs w:val="1"/>
                <w:color w:val="FFFFFF"/>
                <w:w w:val="99"/>
              </w:rPr>
              <w:t>of Equity Awards</w:t>
            </w:r>
          </w:p>
        </w:tc>
        <w:tc>
          <w:tcPr>
            <w:tcW w:w="1520" w:type="dxa"/>
            <w:vAlign w:val="bottom"/>
            <w:shd w:val="clear" w:color="auto" w:fill="BF2115"/>
          </w:tcPr>
          <w:p>
            <w:pPr>
              <w:jc w:val="center"/>
              <w:spacing w:after="0" w:line="175" w:lineRule="exact"/>
              <w:rPr>
                <w:sz w:val="20"/>
                <w:szCs w:val="20"/>
                <w:color w:val="auto"/>
              </w:rPr>
            </w:pPr>
            <w:r>
              <w:rPr>
                <w:rFonts w:ascii="Arial" w:cs="Arial" w:eastAsia="Arial" w:hAnsi="Arial"/>
                <w:sz w:val="16"/>
                <w:szCs w:val="16"/>
                <w:b w:val="1"/>
                <w:bCs w:val="1"/>
                <w:color w:val="FFFFFF"/>
                <w:w w:val="99"/>
              </w:rPr>
              <w:t>Awards that Failed</w:t>
            </w:r>
          </w:p>
        </w:tc>
        <w:tc>
          <w:tcPr>
            <w:tcW w:w="1600" w:type="dxa"/>
            <w:vAlign w:val="bottom"/>
            <w:shd w:val="clear" w:color="auto" w:fill="BF2115"/>
          </w:tcPr>
          <w:p>
            <w:pPr>
              <w:jc w:val="center"/>
              <w:spacing w:after="0" w:line="175" w:lineRule="exact"/>
              <w:rPr>
                <w:sz w:val="20"/>
                <w:szCs w:val="20"/>
                <w:color w:val="auto"/>
              </w:rPr>
            </w:pPr>
            <w:r>
              <w:rPr>
                <w:rFonts w:ascii="Arial" w:cs="Arial" w:eastAsia="Arial" w:hAnsi="Arial"/>
                <w:sz w:val="16"/>
                <w:szCs w:val="16"/>
                <w:b w:val="1"/>
                <w:bCs w:val="1"/>
                <w:color w:val="FFFFFF"/>
              </w:rPr>
              <w:t>Awards not</w:t>
            </w:r>
          </w:p>
        </w:tc>
        <w:tc>
          <w:tcPr>
            <w:tcW w:w="1400" w:type="dxa"/>
            <w:vAlign w:val="bottom"/>
            <w:shd w:val="clear" w:color="auto" w:fill="BF2115"/>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60" w:type="dxa"/>
            <w:vAlign w:val="bottom"/>
            <w:shd w:val="clear" w:color="auto" w:fill="BF2115"/>
          </w:tcPr>
          <w:p>
            <w:pPr>
              <w:spacing w:after="0"/>
              <w:rPr>
                <w:sz w:val="15"/>
                <w:szCs w:val="15"/>
                <w:color w:val="auto"/>
              </w:rPr>
            </w:pPr>
          </w:p>
        </w:tc>
        <w:tc>
          <w:tcPr>
            <w:tcW w:w="126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rPr>
              <w:t>Equity</w:t>
            </w:r>
          </w:p>
        </w:tc>
        <w:tc>
          <w:tcPr>
            <w:tcW w:w="142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rPr>
              <w:t>Unvested Equity</w:t>
            </w:r>
          </w:p>
        </w:tc>
        <w:tc>
          <w:tcPr>
            <w:tcW w:w="126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8"/>
              </w:rPr>
              <w:t>Equity Awards</w:t>
            </w:r>
          </w:p>
        </w:tc>
        <w:tc>
          <w:tcPr>
            <w:tcW w:w="164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rPr>
              <w:t>Granted in Prior</w:t>
            </w:r>
          </w:p>
        </w:tc>
        <w:tc>
          <w:tcPr>
            <w:tcW w:w="152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9"/>
              </w:rPr>
              <w:t>to Meet Vesting</w:t>
            </w:r>
          </w:p>
        </w:tc>
        <w:tc>
          <w:tcPr>
            <w:tcW w:w="160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8"/>
              </w:rPr>
              <w:t>Otherwise</w:t>
            </w:r>
          </w:p>
        </w:tc>
        <w:tc>
          <w:tcPr>
            <w:tcW w:w="140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Total Equity</w:t>
            </w:r>
          </w:p>
        </w:tc>
        <w:tc>
          <w:tcPr>
            <w:tcW w:w="0" w:type="dxa"/>
            <w:vAlign w:val="bottom"/>
          </w:tcPr>
          <w:p>
            <w:pPr>
              <w:spacing w:after="0"/>
              <w:rPr>
                <w:sz w:val="1"/>
                <w:szCs w:val="1"/>
                <w:color w:val="auto"/>
              </w:rPr>
            </w:pPr>
          </w:p>
        </w:tc>
      </w:tr>
      <w:tr>
        <w:trPr>
          <w:trHeight w:val="173"/>
        </w:trPr>
        <w:tc>
          <w:tcPr>
            <w:tcW w:w="760" w:type="dxa"/>
            <w:vAlign w:val="bottom"/>
            <w:shd w:val="clear" w:color="auto" w:fill="BF2115"/>
          </w:tcPr>
          <w:p>
            <w:pPr>
              <w:spacing w:after="0"/>
              <w:rPr>
                <w:sz w:val="15"/>
                <w:szCs w:val="15"/>
                <w:color w:val="auto"/>
              </w:rPr>
            </w:pPr>
          </w:p>
        </w:tc>
        <w:tc>
          <w:tcPr>
            <w:tcW w:w="126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rPr>
              <w:t>Awards</w:t>
            </w:r>
          </w:p>
        </w:tc>
        <w:tc>
          <w:tcPr>
            <w:tcW w:w="142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8"/>
              </w:rPr>
              <w:t>Awards Granted</w:t>
            </w:r>
          </w:p>
        </w:tc>
        <w:tc>
          <w:tcPr>
            <w:tcW w:w="126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9"/>
              </w:rPr>
              <w:t>Granted and</w:t>
            </w:r>
          </w:p>
        </w:tc>
        <w:tc>
          <w:tcPr>
            <w:tcW w:w="164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9"/>
              </w:rPr>
              <w:t>Years that Vested in</w:t>
            </w:r>
          </w:p>
        </w:tc>
        <w:tc>
          <w:tcPr>
            <w:tcW w:w="152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9"/>
              </w:rPr>
              <w:t>Conditions in the</w:t>
            </w:r>
          </w:p>
        </w:tc>
        <w:tc>
          <w:tcPr>
            <w:tcW w:w="160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9"/>
              </w:rPr>
              <w:t>Reflected in Fair</w:t>
            </w:r>
          </w:p>
        </w:tc>
        <w:tc>
          <w:tcPr>
            <w:tcW w:w="1400" w:type="dxa"/>
            <w:vAlign w:val="bottom"/>
            <w:vMerge w:val="continue"/>
            <w:shd w:val="clear" w:color="auto" w:fill="BF2115"/>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60" w:type="dxa"/>
            <w:vAlign w:val="bottom"/>
            <w:vMerge w:val="restart"/>
            <w:shd w:val="clear" w:color="auto" w:fill="BF2115"/>
          </w:tcPr>
          <w:p>
            <w:pPr>
              <w:jc w:val="right"/>
              <w:ind w:right="80"/>
              <w:spacing w:after="0"/>
              <w:rPr>
                <w:sz w:val="20"/>
                <w:szCs w:val="20"/>
                <w:color w:val="auto"/>
              </w:rPr>
            </w:pPr>
            <w:r>
              <w:rPr>
                <w:rFonts w:ascii="Arial" w:cs="Arial" w:eastAsia="Arial" w:hAnsi="Arial"/>
                <w:sz w:val="16"/>
                <w:szCs w:val="16"/>
                <w:b w:val="1"/>
                <w:bCs w:val="1"/>
                <w:color w:val="FFFFFF"/>
              </w:rPr>
              <w:t>Year</w:t>
            </w:r>
          </w:p>
        </w:tc>
        <w:tc>
          <w:tcPr>
            <w:tcW w:w="12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Granted in</w:t>
            </w:r>
          </w:p>
        </w:tc>
        <w:tc>
          <w:tcPr>
            <w:tcW w:w="14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7"/>
              </w:rPr>
              <w:t>in Prior Years</w:t>
            </w:r>
          </w:p>
        </w:tc>
        <w:tc>
          <w:tcPr>
            <w:tcW w:w="12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Vested in the</w:t>
            </w:r>
          </w:p>
        </w:tc>
        <w:tc>
          <w:tcPr>
            <w:tcW w:w="16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the Year</w:t>
            </w:r>
          </w:p>
        </w:tc>
        <w:tc>
          <w:tcPr>
            <w:tcW w:w="15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7"/>
              </w:rPr>
              <w:t>Year</w:t>
            </w:r>
          </w:p>
        </w:tc>
        <w:tc>
          <w:tcPr>
            <w:tcW w:w="16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Value or Total</w:t>
            </w:r>
          </w:p>
        </w:tc>
        <w:tc>
          <w:tcPr>
            <w:tcW w:w="14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Award</w:t>
            </w:r>
          </w:p>
        </w:tc>
        <w:tc>
          <w:tcPr>
            <w:tcW w:w="0" w:type="dxa"/>
            <w:vAlign w:val="bottom"/>
          </w:tcPr>
          <w:p>
            <w:pPr>
              <w:spacing w:after="0"/>
              <w:rPr>
                <w:sz w:val="1"/>
                <w:szCs w:val="1"/>
                <w:color w:val="auto"/>
              </w:rPr>
            </w:pPr>
          </w:p>
        </w:tc>
      </w:tr>
      <w:tr>
        <w:trPr>
          <w:trHeight w:val="228"/>
        </w:trPr>
        <w:tc>
          <w:tcPr>
            <w:tcW w:w="760" w:type="dxa"/>
            <w:vAlign w:val="bottom"/>
            <w:vMerge w:val="continue"/>
            <w:shd w:val="clear" w:color="auto" w:fill="BF2115"/>
          </w:tcPr>
          <w:p>
            <w:pPr>
              <w:spacing w:after="0"/>
              <w:rPr>
                <w:sz w:val="19"/>
                <w:szCs w:val="19"/>
                <w:color w:val="auto"/>
              </w:rPr>
            </w:pPr>
          </w:p>
        </w:tc>
        <w:tc>
          <w:tcPr>
            <w:tcW w:w="12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the Year ($)</w:t>
            </w:r>
          </w:p>
        </w:tc>
        <w:tc>
          <w:tcPr>
            <w:tcW w:w="14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1"/>
              </w:rPr>
              <w:t>($)</w:t>
            </w:r>
          </w:p>
        </w:tc>
        <w:tc>
          <w:tcPr>
            <w:tcW w:w="12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Year ($)</w:t>
            </w:r>
          </w:p>
        </w:tc>
        <w:tc>
          <w:tcPr>
            <w:tcW w:w="16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15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16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Compensation ($)</w:t>
            </w:r>
          </w:p>
        </w:tc>
        <w:tc>
          <w:tcPr>
            <w:tcW w:w="14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Adjustments ($)</w:t>
            </w:r>
          </w:p>
        </w:tc>
        <w:tc>
          <w:tcPr>
            <w:tcW w:w="0" w:type="dxa"/>
            <w:vAlign w:val="bottom"/>
          </w:tcPr>
          <w:p>
            <w:pPr>
              <w:spacing w:after="0"/>
              <w:rPr>
                <w:sz w:val="1"/>
                <w:szCs w:val="1"/>
                <w:color w:val="auto"/>
              </w:rPr>
            </w:pPr>
          </w:p>
        </w:tc>
      </w:tr>
      <w:tr>
        <w:trPr>
          <w:trHeight w:val="220"/>
        </w:trPr>
        <w:tc>
          <w:tcPr>
            <w:tcW w:w="760" w:type="dxa"/>
            <w:vAlign w:val="bottom"/>
            <w:tcBorders>
              <w:bottom w:val="single" w:sz="8" w:color="DBDBDB"/>
            </w:tcBorders>
            <w:shd w:val="clear" w:color="auto" w:fill="DBDBDB"/>
          </w:tcPr>
          <w:p>
            <w:pPr>
              <w:jc w:val="right"/>
              <w:ind w:right="300"/>
              <w:spacing w:after="0"/>
              <w:rPr>
                <w:sz w:val="20"/>
                <w:szCs w:val="20"/>
                <w:color w:val="auto"/>
              </w:rPr>
            </w:pPr>
            <w:r>
              <w:rPr>
                <w:rFonts w:ascii="Arial" w:cs="Arial" w:eastAsia="Arial" w:hAnsi="Arial"/>
                <w:sz w:val="16"/>
                <w:szCs w:val="16"/>
                <w:color w:val="auto"/>
              </w:rPr>
              <w:t>2025</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4,121,067</w:t>
            </w:r>
          </w:p>
        </w:tc>
        <w:tc>
          <w:tcPr>
            <w:tcW w:w="1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(1,358,230)</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118,952</w:t>
            </w:r>
          </w:p>
        </w:tc>
        <w:tc>
          <w:tcPr>
            <w:tcW w:w="15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400" w:type="dxa"/>
            <w:vAlign w:val="bottom"/>
            <w:tcBorders>
              <w:bottom w:val="single" w:sz="8" w:color="DBDBDB"/>
            </w:tcBorders>
            <w:shd w:val="clear" w:color="auto" w:fill="DBDBDB"/>
          </w:tcPr>
          <w:p>
            <w:pPr>
              <w:jc w:val="center"/>
              <w:ind w:left="480"/>
              <w:spacing w:after="0"/>
              <w:rPr>
                <w:sz w:val="20"/>
                <w:szCs w:val="20"/>
                <w:color w:val="auto"/>
              </w:rPr>
            </w:pPr>
            <w:r>
              <w:rPr>
                <w:rFonts w:ascii="Arial" w:cs="Arial" w:eastAsia="Arial" w:hAnsi="Arial"/>
                <w:sz w:val="16"/>
                <w:szCs w:val="16"/>
                <w:color w:val="auto"/>
              </w:rPr>
              <w:t>2,881,789</w:t>
            </w:r>
          </w:p>
        </w:tc>
        <w:tc>
          <w:tcPr>
            <w:tcW w:w="0" w:type="dxa"/>
            <w:vAlign w:val="bottom"/>
          </w:tcPr>
          <w:p>
            <w:pPr>
              <w:spacing w:after="0"/>
              <w:rPr>
                <w:sz w:val="1"/>
                <w:szCs w:val="1"/>
                <w:color w:val="auto"/>
              </w:rPr>
            </w:pPr>
          </w:p>
        </w:tc>
      </w:tr>
      <w:tr>
        <w:trPr>
          <w:trHeight w:val="211"/>
        </w:trPr>
        <w:tc>
          <w:tcPr>
            <w:tcW w:w="760" w:type="dxa"/>
            <w:vAlign w:val="bottom"/>
          </w:tcPr>
          <w:p>
            <w:pPr>
              <w:jc w:val="right"/>
              <w:ind w:right="300"/>
              <w:spacing w:after="0"/>
              <w:rPr>
                <w:sz w:val="20"/>
                <w:szCs w:val="20"/>
                <w:color w:val="auto"/>
              </w:rPr>
            </w:pPr>
            <w:r>
              <w:rPr>
                <w:rFonts w:ascii="Arial" w:cs="Arial" w:eastAsia="Arial" w:hAnsi="Arial"/>
                <w:sz w:val="16"/>
                <w:szCs w:val="16"/>
                <w:color w:val="auto"/>
              </w:rPr>
              <w:t>2024</w:t>
            </w:r>
          </w:p>
        </w:tc>
        <w:tc>
          <w:tcPr>
            <w:tcW w:w="1260" w:type="dxa"/>
            <w:vAlign w:val="bottom"/>
          </w:tcPr>
          <w:p>
            <w:pPr>
              <w:jc w:val="right"/>
              <w:spacing w:after="0"/>
              <w:rPr>
                <w:sz w:val="20"/>
                <w:szCs w:val="20"/>
                <w:color w:val="auto"/>
              </w:rPr>
            </w:pPr>
            <w:r>
              <w:rPr>
                <w:rFonts w:ascii="Arial" w:cs="Arial" w:eastAsia="Arial" w:hAnsi="Arial"/>
                <w:sz w:val="16"/>
                <w:szCs w:val="16"/>
                <w:color w:val="auto"/>
              </w:rPr>
              <w:t>1,824,413</w:t>
            </w:r>
          </w:p>
        </w:tc>
        <w:tc>
          <w:tcPr>
            <w:tcW w:w="1420" w:type="dxa"/>
            <w:vAlign w:val="bottom"/>
          </w:tcPr>
          <w:p>
            <w:pPr>
              <w:jc w:val="right"/>
              <w:spacing w:after="0"/>
              <w:rPr>
                <w:sz w:val="20"/>
                <w:szCs w:val="20"/>
                <w:color w:val="auto"/>
              </w:rPr>
            </w:pPr>
            <w:r>
              <w:rPr>
                <w:rFonts w:ascii="Arial" w:cs="Arial" w:eastAsia="Arial" w:hAnsi="Arial"/>
                <w:sz w:val="16"/>
                <w:szCs w:val="16"/>
                <w:color w:val="auto"/>
              </w:rPr>
              <w:t>(3,571)</w:t>
            </w:r>
          </w:p>
        </w:tc>
        <w:tc>
          <w:tcPr>
            <w:tcW w:w="1260" w:type="dxa"/>
            <w:vAlign w:val="bottom"/>
          </w:tcPr>
          <w:p>
            <w:pPr>
              <w:jc w:val="right"/>
              <w:spacing w:after="0"/>
              <w:rPr>
                <w:sz w:val="20"/>
                <w:szCs w:val="20"/>
                <w:color w:val="auto"/>
              </w:rPr>
            </w:pPr>
            <w:r>
              <w:rPr>
                <w:rFonts w:ascii="Arial" w:cs="Arial" w:eastAsia="Arial" w:hAnsi="Arial"/>
                <w:sz w:val="16"/>
                <w:szCs w:val="16"/>
                <w:color w:val="auto"/>
              </w:rPr>
              <w:t>0</w:t>
            </w:r>
          </w:p>
        </w:tc>
        <w:tc>
          <w:tcPr>
            <w:tcW w:w="1640" w:type="dxa"/>
            <w:vAlign w:val="bottom"/>
          </w:tcPr>
          <w:p>
            <w:pPr>
              <w:jc w:val="right"/>
              <w:spacing w:after="0"/>
              <w:rPr>
                <w:sz w:val="20"/>
                <w:szCs w:val="20"/>
                <w:color w:val="auto"/>
              </w:rPr>
            </w:pPr>
            <w:r>
              <w:rPr>
                <w:rFonts w:ascii="Arial" w:cs="Arial" w:eastAsia="Arial" w:hAnsi="Arial"/>
                <w:sz w:val="16"/>
                <w:szCs w:val="16"/>
                <w:color w:val="auto"/>
              </w:rPr>
              <w:t>3,433</w:t>
            </w:r>
          </w:p>
        </w:tc>
        <w:tc>
          <w:tcPr>
            <w:tcW w:w="1520" w:type="dxa"/>
            <w:vAlign w:val="bottom"/>
          </w:tcPr>
          <w:p>
            <w:pPr>
              <w:jc w:val="right"/>
              <w:spacing w:after="0"/>
              <w:rPr>
                <w:sz w:val="20"/>
                <w:szCs w:val="20"/>
                <w:color w:val="auto"/>
              </w:rPr>
            </w:pPr>
            <w:r>
              <w:rPr>
                <w:rFonts w:ascii="Arial" w:cs="Arial" w:eastAsia="Arial" w:hAnsi="Arial"/>
                <w:sz w:val="16"/>
                <w:szCs w:val="16"/>
                <w:color w:val="auto"/>
              </w:rPr>
              <w:t>0</w:t>
            </w:r>
          </w:p>
        </w:tc>
        <w:tc>
          <w:tcPr>
            <w:tcW w:w="1600" w:type="dxa"/>
            <w:vAlign w:val="bottom"/>
          </w:tcPr>
          <w:p>
            <w:pPr>
              <w:jc w:val="right"/>
              <w:spacing w:after="0"/>
              <w:rPr>
                <w:sz w:val="20"/>
                <w:szCs w:val="20"/>
                <w:color w:val="auto"/>
              </w:rPr>
            </w:pPr>
            <w:r>
              <w:rPr>
                <w:rFonts w:ascii="Arial" w:cs="Arial" w:eastAsia="Arial" w:hAnsi="Arial"/>
                <w:sz w:val="16"/>
                <w:szCs w:val="16"/>
                <w:color w:val="auto"/>
              </w:rPr>
              <w:t>0</w:t>
            </w:r>
          </w:p>
        </w:tc>
        <w:tc>
          <w:tcPr>
            <w:tcW w:w="1400" w:type="dxa"/>
            <w:vAlign w:val="bottom"/>
          </w:tcPr>
          <w:p>
            <w:pPr>
              <w:jc w:val="center"/>
              <w:ind w:left="480"/>
              <w:spacing w:after="0"/>
              <w:rPr>
                <w:sz w:val="20"/>
                <w:szCs w:val="20"/>
                <w:color w:val="auto"/>
              </w:rPr>
            </w:pPr>
            <w:r>
              <w:rPr>
                <w:rFonts w:ascii="Arial" w:cs="Arial" w:eastAsia="Arial" w:hAnsi="Arial"/>
                <w:sz w:val="16"/>
                <w:szCs w:val="16"/>
                <w:color w:val="auto"/>
              </w:rPr>
              <w:t>1,824,275</w:t>
            </w: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60" w:type="dxa"/>
            <w:vAlign w:val="bottom"/>
            <w:tcBorders>
              <w:bottom w:val="single" w:sz="8" w:color="DBDBDB"/>
            </w:tcBorders>
            <w:shd w:val="clear" w:color="auto" w:fill="DBDBDB"/>
          </w:tcPr>
          <w:p>
            <w:pPr>
              <w:jc w:val="right"/>
              <w:ind w:right="300"/>
              <w:spacing w:after="0"/>
              <w:rPr>
                <w:sz w:val="20"/>
                <w:szCs w:val="20"/>
                <w:color w:val="auto"/>
              </w:rPr>
            </w:pPr>
            <w:r>
              <w:rPr>
                <w:rFonts w:ascii="Arial" w:cs="Arial" w:eastAsia="Arial" w:hAnsi="Arial"/>
                <w:sz w:val="16"/>
                <w:szCs w:val="16"/>
                <w:color w:val="auto"/>
              </w:rPr>
              <w:t>2023</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2,824,764</w:t>
            </w:r>
          </w:p>
        </w:tc>
        <w:tc>
          <w:tcPr>
            <w:tcW w:w="1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(2,977,151)</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(1,034,000)</w:t>
            </w:r>
          </w:p>
        </w:tc>
        <w:tc>
          <w:tcPr>
            <w:tcW w:w="15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400" w:type="dxa"/>
            <w:vAlign w:val="bottom"/>
            <w:tcBorders>
              <w:bottom w:val="single" w:sz="8" w:color="DBDBDB"/>
            </w:tcBorders>
            <w:shd w:val="clear" w:color="auto" w:fill="DBDBDB"/>
          </w:tcPr>
          <w:p>
            <w:pPr>
              <w:jc w:val="center"/>
              <w:ind w:left="460"/>
              <w:spacing w:after="0"/>
              <w:rPr>
                <w:sz w:val="20"/>
                <w:szCs w:val="20"/>
                <w:color w:val="auto"/>
              </w:rPr>
            </w:pPr>
            <w:r>
              <w:rPr>
                <w:rFonts w:ascii="Arial" w:cs="Arial" w:eastAsia="Arial" w:hAnsi="Arial"/>
                <w:sz w:val="16"/>
                <w:szCs w:val="16"/>
                <w:color w:val="auto"/>
              </w:rPr>
              <w:t>(1,186,387)</w:t>
            </w:r>
          </w:p>
        </w:tc>
        <w:tc>
          <w:tcPr>
            <w:tcW w:w="0" w:type="dxa"/>
            <w:vAlign w:val="bottom"/>
          </w:tcPr>
          <w:p>
            <w:pPr>
              <w:spacing w:after="0"/>
              <w:rPr>
                <w:sz w:val="1"/>
                <w:szCs w:val="1"/>
                <w:color w:val="auto"/>
              </w:rPr>
            </w:pPr>
          </w:p>
        </w:tc>
      </w:tr>
      <w:tr>
        <w:trPr>
          <w:trHeight w:val="211"/>
        </w:trPr>
        <w:tc>
          <w:tcPr>
            <w:tcW w:w="760" w:type="dxa"/>
            <w:vAlign w:val="bottom"/>
          </w:tcPr>
          <w:p>
            <w:pPr>
              <w:jc w:val="right"/>
              <w:ind w:right="300"/>
              <w:spacing w:after="0"/>
              <w:rPr>
                <w:sz w:val="20"/>
                <w:szCs w:val="20"/>
                <w:color w:val="auto"/>
              </w:rPr>
            </w:pPr>
            <w:r>
              <w:rPr>
                <w:rFonts w:ascii="Arial" w:cs="Arial" w:eastAsia="Arial" w:hAnsi="Arial"/>
                <w:sz w:val="16"/>
                <w:szCs w:val="16"/>
                <w:color w:val="auto"/>
              </w:rPr>
              <w:t>2022</w:t>
            </w:r>
          </w:p>
        </w:tc>
        <w:tc>
          <w:tcPr>
            <w:tcW w:w="1260" w:type="dxa"/>
            <w:vAlign w:val="bottom"/>
          </w:tcPr>
          <w:p>
            <w:pPr>
              <w:jc w:val="right"/>
              <w:spacing w:after="0"/>
              <w:rPr>
                <w:sz w:val="20"/>
                <w:szCs w:val="20"/>
                <w:color w:val="auto"/>
              </w:rPr>
            </w:pPr>
            <w:r>
              <w:rPr>
                <w:rFonts w:ascii="Arial" w:cs="Arial" w:eastAsia="Arial" w:hAnsi="Arial"/>
                <w:sz w:val="16"/>
                <w:szCs w:val="16"/>
                <w:color w:val="auto"/>
              </w:rPr>
              <w:t>6,061,704</w:t>
            </w:r>
          </w:p>
        </w:tc>
        <w:tc>
          <w:tcPr>
            <w:tcW w:w="1420" w:type="dxa"/>
            <w:vAlign w:val="bottom"/>
          </w:tcPr>
          <w:p>
            <w:pPr>
              <w:jc w:val="right"/>
              <w:spacing w:after="0"/>
              <w:rPr>
                <w:sz w:val="20"/>
                <w:szCs w:val="20"/>
                <w:color w:val="auto"/>
              </w:rPr>
            </w:pPr>
            <w:r>
              <w:rPr>
                <w:rFonts w:ascii="Arial" w:cs="Arial" w:eastAsia="Arial" w:hAnsi="Arial"/>
                <w:sz w:val="16"/>
                <w:szCs w:val="16"/>
                <w:color w:val="auto"/>
              </w:rPr>
              <w:t>2,062,723</w:t>
            </w:r>
          </w:p>
        </w:tc>
        <w:tc>
          <w:tcPr>
            <w:tcW w:w="1260" w:type="dxa"/>
            <w:vAlign w:val="bottom"/>
          </w:tcPr>
          <w:p>
            <w:pPr>
              <w:jc w:val="right"/>
              <w:spacing w:after="0"/>
              <w:rPr>
                <w:sz w:val="20"/>
                <w:szCs w:val="20"/>
                <w:color w:val="auto"/>
              </w:rPr>
            </w:pPr>
            <w:r>
              <w:rPr>
                <w:rFonts w:ascii="Arial" w:cs="Arial" w:eastAsia="Arial" w:hAnsi="Arial"/>
                <w:sz w:val="16"/>
                <w:szCs w:val="16"/>
                <w:color w:val="auto"/>
              </w:rPr>
              <w:t>0</w:t>
            </w:r>
          </w:p>
        </w:tc>
        <w:tc>
          <w:tcPr>
            <w:tcW w:w="1640" w:type="dxa"/>
            <w:vAlign w:val="bottom"/>
          </w:tcPr>
          <w:p>
            <w:pPr>
              <w:jc w:val="right"/>
              <w:spacing w:after="0"/>
              <w:rPr>
                <w:sz w:val="20"/>
                <w:szCs w:val="20"/>
                <w:color w:val="auto"/>
              </w:rPr>
            </w:pPr>
            <w:r>
              <w:rPr>
                <w:rFonts w:ascii="Arial" w:cs="Arial" w:eastAsia="Arial" w:hAnsi="Arial"/>
                <w:sz w:val="16"/>
                <w:szCs w:val="16"/>
                <w:color w:val="auto"/>
              </w:rPr>
              <w:t>2,648</w:t>
            </w:r>
          </w:p>
        </w:tc>
        <w:tc>
          <w:tcPr>
            <w:tcW w:w="1520" w:type="dxa"/>
            <w:vAlign w:val="bottom"/>
          </w:tcPr>
          <w:p>
            <w:pPr>
              <w:jc w:val="right"/>
              <w:spacing w:after="0"/>
              <w:rPr>
                <w:sz w:val="20"/>
                <w:szCs w:val="20"/>
                <w:color w:val="auto"/>
              </w:rPr>
            </w:pPr>
            <w:r>
              <w:rPr>
                <w:rFonts w:ascii="Arial" w:cs="Arial" w:eastAsia="Arial" w:hAnsi="Arial"/>
                <w:sz w:val="16"/>
                <w:szCs w:val="16"/>
                <w:color w:val="auto"/>
              </w:rPr>
              <w:t>0</w:t>
            </w:r>
          </w:p>
        </w:tc>
        <w:tc>
          <w:tcPr>
            <w:tcW w:w="1600" w:type="dxa"/>
            <w:vAlign w:val="bottom"/>
          </w:tcPr>
          <w:p>
            <w:pPr>
              <w:jc w:val="right"/>
              <w:spacing w:after="0"/>
              <w:rPr>
                <w:sz w:val="20"/>
                <w:szCs w:val="20"/>
                <w:color w:val="auto"/>
              </w:rPr>
            </w:pPr>
            <w:r>
              <w:rPr>
                <w:rFonts w:ascii="Arial" w:cs="Arial" w:eastAsia="Arial" w:hAnsi="Arial"/>
                <w:sz w:val="16"/>
                <w:szCs w:val="16"/>
                <w:color w:val="auto"/>
              </w:rPr>
              <w:t>0</w:t>
            </w:r>
          </w:p>
        </w:tc>
        <w:tc>
          <w:tcPr>
            <w:tcW w:w="1400" w:type="dxa"/>
            <w:vAlign w:val="bottom"/>
          </w:tcPr>
          <w:p>
            <w:pPr>
              <w:jc w:val="right"/>
              <w:spacing w:after="0"/>
              <w:rPr>
                <w:sz w:val="20"/>
                <w:szCs w:val="20"/>
                <w:color w:val="auto"/>
              </w:rPr>
            </w:pPr>
            <w:r>
              <w:rPr>
                <w:rFonts w:ascii="Arial" w:cs="Arial" w:eastAsia="Arial" w:hAnsi="Arial"/>
                <w:sz w:val="16"/>
                <w:szCs w:val="16"/>
                <w:color w:val="auto"/>
              </w:rPr>
              <w:t>8,127,075</w:t>
            </w: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760" w:type="dxa"/>
            <w:vAlign w:val="bottom"/>
            <w:shd w:val="clear" w:color="auto" w:fill="DBDBDB"/>
          </w:tcPr>
          <w:p>
            <w:pPr>
              <w:jc w:val="right"/>
              <w:ind w:right="300"/>
              <w:spacing w:after="0"/>
              <w:rPr>
                <w:sz w:val="20"/>
                <w:szCs w:val="20"/>
                <w:color w:val="auto"/>
              </w:rPr>
            </w:pPr>
            <w:r>
              <w:rPr>
                <w:rFonts w:ascii="Arial" w:cs="Arial" w:eastAsia="Arial" w:hAnsi="Arial"/>
                <w:sz w:val="16"/>
                <w:szCs w:val="16"/>
                <w:color w:val="auto"/>
              </w:rPr>
              <w:t>2021</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6,964,945</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2,408,829</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1,677,096</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11,050,870</w:t>
            </w:r>
          </w:p>
        </w:tc>
        <w:tc>
          <w:tcPr>
            <w:tcW w:w="0" w:type="dxa"/>
            <w:vAlign w:val="bottom"/>
          </w:tcPr>
          <w:p>
            <w:pPr>
              <w:spacing w:after="0"/>
              <w:rPr>
                <w:sz w:val="1"/>
                <w:szCs w:val="1"/>
                <w:color w:val="auto"/>
              </w:rPr>
            </w:pPr>
          </w:p>
        </w:tc>
      </w:tr>
      <w:tr>
        <w:trPr>
          <w:trHeight w:val="29"/>
        </w:trPr>
        <w:tc>
          <w:tcPr>
            <w:tcW w:w="760" w:type="dxa"/>
            <w:vAlign w:val="bottom"/>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1420" w:type="dxa"/>
            <w:vAlign w:val="bottom"/>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1640" w:type="dxa"/>
            <w:vAlign w:val="bottom"/>
            <w:shd w:val="clear" w:color="auto" w:fill="DBDBDB"/>
          </w:tcPr>
          <w:p>
            <w:pPr>
              <w:spacing w:after="0"/>
              <w:rPr>
                <w:sz w:val="2"/>
                <w:szCs w:val="2"/>
                <w:color w:val="auto"/>
              </w:rPr>
            </w:pPr>
          </w:p>
        </w:tc>
        <w:tc>
          <w:tcPr>
            <w:tcW w:w="1520" w:type="dxa"/>
            <w:vAlign w:val="bottom"/>
            <w:shd w:val="clear" w:color="auto" w:fill="DBDBDB"/>
          </w:tcPr>
          <w:p>
            <w:pPr>
              <w:spacing w:after="0"/>
              <w:rPr>
                <w:sz w:val="2"/>
                <w:szCs w:val="2"/>
                <w:color w:val="auto"/>
              </w:rPr>
            </w:pPr>
          </w:p>
        </w:tc>
        <w:tc>
          <w:tcPr>
            <w:tcW w:w="1600" w:type="dxa"/>
            <w:vAlign w:val="bottom"/>
            <w:shd w:val="clear" w:color="auto" w:fill="DBDBDB"/>
          </w:tcPr>
          <w:p>
            <w:pPr>
              <w:spacing w:after="0"/>
              <w:rPr>
                <w:sz w:val="2"/>
                <w:szCs w:val="2"/>
                <w:color w:val="auto"/>
              </w:rPr>
            </w:pPr>
          </w:p>
        </w:tc>
        <w:tc>
          <w:tcPr>
            <w:tcW w:w="140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In the table above, the equity values are computed in accordance with the methodologies used for financial reporting purposes, reflecting updated economic assumptions as of the valuation dates.</w:t>
      </w:r>
    </w:p>
    <w:p>
      <w:pPr>
        <w:spacing w:after="0" w:line="233" w:lineRule="auto"/>
        <w:rPr>
          <w:sz w:val="20"/>
          <w:szCs w:val="20"/>
          <w:color w:val="auto"/>
        </w:rPr>
      </w:pPr>
      <w:r>
        <w:rPr>
          <w:rFonts w:ascii="Arial" w:cs="Arial" w:eastAsia="Arial" w:hAnsi="Arial"/>
          <w:sz w:val="18"/>
          <w:szCs w:val="18"/>
          <w:b w:val="1"/>
          <w:bCs w:val="1"/>
          <w:color w:val="auto"/>
        </w:rPr>
        <w:t xml:space="preserve">Average Non-PEO NEO Compensation. </w:t>
      </w:r>
      <w:r>
        <w:rPr>
          <w:rFonts w:ascii="Arial" w:cs="Arial" w:eastAsia="Arial" w:hAnsi="Arial"/>
          <w:sz w:val="18"/>
          <w:szCs w:val="18"/>
          <w:color w:val="auto"/>
        </w:rPr>
        <w:t>To determine the amounts in column (e) in the PvP table, the following adjustments were made to</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Non-PEO NEO’s average total compensation as reported in the Summary Compensation Table, in accordance with Item 402(V) of Regulation S-K.</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84"/>
        </w:trPr>
        <w:tc>
          <w:tcPr>
            <w:tcW w:w="1060" w:type="dxa"/>
            <w:vAlign w:val="bottom"/>
            <w:shd w:val="clear" w:color="auto" w:fill="BF2115"/>
          </w:tcPr>
          <w:p>
            <w:pPr>
              <w:spacing w:after="0"/>
              <w:rPr>
                <w:sz w:val="16"/>
                <w:szCs w:val="16"/>
                <w:color w:val="auto"/>
              </w:rPr>
            </w:pPr>
          </w:p>
        </w:tc>
        <w:tc>
          <w:tcPr>
            <w:tcW w:w="1820" w:type="dxa"/>
            <w:vAlign w:val="bottom"/>
            <w:shd w:val="clear" w:color="auto" w:fill="BF2115"/>
          </w:tcPr>
          <w:p>
            <w:pPr>
              <w:spacing w:after="0"/>
              <w:rPr>
                <w:sz w:val="16"/>
                <w:szCs w:val="16"/>
                <w:color w:val="auto"/>
              </w:rPr>
            </w:pPr>
          </w:p>
        </w:tc>
        <w:tc>
          <w:tcPr>
            <w:tcW w:w="170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Average SCT</w:t>
            </w:r>
          </w:p>
        </w:tc>
        <w:tc>
          <w:tcPr>
            <w:tcW w:w="1640" w:type="dxa"/>
            <w:vAlign w:val="bottom"/>
            <w:shd w:val="clear" w:color="auto" w:fill="BF2115"/>
          </w:tcPr>
          <w:p>
            <w:pPr>
              <w:spacing w:after="0"/>
              <w:rPr>
                <w:sz w:val="16"/>
                <w:szCs w:val="16"/>
                <w:color w:val="auto"/>
              </w:rPr>
            </w:pPr>
          </w:p>
        </w:tc>
        <w:tc>
          <w:tcPr>
            <w:tcW w:w="168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Average Change in</w:t>
            </w:r>
          </w:p>
        </w:tc>
        <w:tc>
          <w:tcPr>
            <w:tcW w:w="1780" w:type="dxa"/>
            <w:vAlign w:val="bottom"/>
            <w:shd w:val="clear" w:color="auto" w:fill="BF2115"/>
          </w:tcPr>
          <w:p>
            <w:pPr>
              <w:spacing w:after="0"/>
              <w:rPr>
                <w:sz w:val="16"/>
                <w:szCs w:val="16"/>
                <w:color w:val="auto"/>
              </w:rPr>
            </w:pPr>
          </w:p>
        </w:tc>
        <w:tc>
          <w:tcPr>
            <w:tcW w:w="1540" w:type="dxa"/>
            <w:vAlign w:val="bottom"/>
            <w:vMerge w:val="restart"/>
            <w:shd w:val="clear" w:color="auto" w:fill="BF2115"/>
          </w:tcPr>
          <w:p>
            <w:pPr>
              <w:jc w:val="center"/>
              <w:ind w:right="60"/>
              <w:spacing w:after="0"/>
              <w:rPr>
                <w:sz w:val="20"/>
                <w:szCs w:val="20"/>
                <w:color w:val="auto"/>
              </w:rPr>
            </w:pPr>
            <w:r>
              <w:rPr>
                <w:rFonts w:ascii="Arial" w:cs="Arial" w:eastAsia="Arial" w:hAnsi="Arial"/>
                <w:sz w:val="16"/>
                <w:szCs w:val="16"/>
                <w:b w:val="1"/>
                <w:bCs w:val="1"/>
                <w:color w:val="FFFFFF"/>
              </w:rPr>
              <w:t>Average</w:t>
            </w:r>
          </w:p>
        </w:tc>
        <w:tc>
          <w:tcPr>
            <w:tcW w:w="0" w:type="dxa"/>
            <w:vAlign w:val="bottom"/>
          </w:tcPr>
          <w:p>
            <w:pPr>
              <w:spacing w:after="0"/>
              <w:rPr>
                <w:sz w:val="1"/>
                <w:szCs w:val="1"/>
                <w:color w:val="auto"/>
              </w:rPr>
            </w:pPr>
          </w:p>
        </w:tc>
      </w:tr>
      <w:tr>
        <w:trPr>
          <w:trHeight w:val="173"/>
        </w:trPr>
        <w:tc>
          <w:tcPr>
            <w:tcW w:w="1060" w:type="dxa"/>
            <w:vAlign w:val="bottom"/>
            <w:shd w:val="clear" w:color="auto" w:fill="BF2115"/>
          </w:tcPr>
          <w:p>
            <w:pPr>
              <w:spacing w:after="0"/>
              <w:rPr>
                <w:sz w:val="15"/>
                <w:szCs w:val="15"/>
                <w:color w:val="auto"/>
              </w:rPr>
            </w:pPr>
          </w:p>
        </w:tc>
        <w:tc>
          <w:tcPr>
            <w:tcW w:w="1820" w:type="dxa"/>
            <w:vAlign w:val="bottom"/>
            <w:shd w:val="clear" w:color="auto" w:fill="BF2115"/>
          </w:tcPr>
          <w:p>
            <w:pPr>
              <w:spacing w:after="0"/>
              <w:rPr>
                <w:sz w:val="15"/>
                <w:szCs w:val="15"/>
                <w:color w:val="auto"/>
              </w:rPr>
            </w:pPr>
          </w:p>
        </w:tc>
        <w:tc>
          <w:tcPr>
            <w:tcW w:w="1700" w:type="dxa"/>
            <w:vAlign w:val="bottom"/>
            <w:vMerge w:val="continue"/>
            <w:shd w:val="clear" w:color="auto" w:fill="BF2115"/>
          </w:tcPr>
          <w:p>
            <w:pPr>
              <w:spacing w:after="0"/>
              <w:rPr>
                <w:sz w:val="15"/>
                <w:szCs w:val="15"/>
                <w:color w:val="auto"/>
              </w:rPr>
            </w:pPr>
          </w:p>
        </w:tc>
        <w:tc>
          <w:tcPr>
            <w:tcW w:w="1640" w:type="dxa"/>
            <w:vAlign w:val="bottom"/>
            <w:shd w:val="clear" w:color="auto" w:fill="BF2115"/>
          </w:tcPr>
          <w:p>
            <w:pPr>
              <w:spacing w:after="0"/>
              <w:rPr>
                <w:sz w:val="15"/>
                <w:szCs w:val="15"/>
                <w:color w:val="auto"/>
              </w:rPr>
            </w:pPr>
          </w:p>
        </w:tc>
        <w:tc>
          <w:tcPr>
            <w:tcW w:w="168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9"/>
              </w:rPr>
              <w:t>the Actuarial Present</w:t>
            </w:r>
          </w:p>
        </w:tc>
        <w:tc>
          <w:tcPr>
            <w:tcW w:w="1780" w:type="dxa"/>
            <w:vAlign w:val="bottom"/>
            <w:shd w:val="clear" w:color="auto" w:fill="BF2115"/>
          </w:tcPr>
          <w:p>
            <w:pPr>
              <w:spacing w:after="0"/>
              <w:rPr>
                <w:sz w:val="15"/>
                <w:szCs w:val="15"/>
                <w:color w:val="auto"/>
              </w:rPr>
            </w:pPr>
          </w:p>
        </w:tc>
        <w:tc>
          <w:tcPr>
            <w:tcW w:w="1540" w:type="dxa"/>
            <w:vAlign w:val="bottom"/>
            <w:vMerge w:val="continue"/>
            <w:shd w:val="clear" w:color="auto" w:fill="BF2115"/>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060" w:type="dxa"/>
            <w:vAlign w:val="bottom"/>
            <w:shd w:val="clear" w:color="auto" w:fill="BF2115"/>
          </w:tcPr>
          <w:p>
            <w:pPr>
              <w:spacing w:after="0"/>
              <w:rPr>
                <w:sz w:val="17"/>
                <w:szCs w:val="17"/>
                <w:color w:val="auto"/>
              </w:rPr>
            </w:pPr>
          </w:p>
        </w:tc>
        <w:tc>
          <w:tcPr>
            <w:tcW w:w="1820" w:type="dxa"/>
            <w:vAlign w:val="bottom"/>
            <w:shd w:val="clear" w:color="auto" w:fill="BF2115"/>
          </w:tcPr>
          <w:p>
            <w:pPr>
              <w:jc w:val="center"/>
              <w:ind w:left="60"/>
              <w:spacing w:after="0"/>
              <w:rPr>
                <w:sz w:val="20"/>
                <w:szCs w:val="20"/>
                <w:color w:val="auto"/>
              </w:rPr>
            </w:pPr>
            <w:r>
              <w:rPr>
                <w:rFonts w:ascii="Arial" w:cs="Arial" w:eastAsia="Arial" w:hAnsi="Arial"/>
                <w:sz w:val="16"/>
                <w:szCs w:val="16"/>
                <w:b w:val="1"/>
                <w:bCs w:val="1"/>
                <w:color w:val="FFFFFF"/>
                <w:w w:val="98"/>
              </w:rPr>
              <w:t>Average SCT Total</w:t>
            </w:r>
          </w:p>
        </w:tc>
        <w:tc>
          <w:tcPr>
            <w:tcW w:w="17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Reported Equity</w:t>
            </w:r>
          </w:p>
        </w:tc>
        <w:tc>
          <w:tcPr>
            <w:tcW w:w="16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Average Equity</w:t>
            </w:r>
          </w:p>
        </w:tc>
        <w:tc>
          <w:tcPr>
            <w:tcW w:w="168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Value of Pension</w:t>
            </w:r>
          </w:p>
        </w:tc>
        <w:tc>
          <w:tcPr>
            <w:tcW w:w="1780" w:type="dxa"/>
            <w:vAlign w:val="bottom"/>
            <w:shd w:val="clear" w:color="auto" w:fill="BF2115"/>
          </w:tcPr>
          <w:p>
            <w:pPr>
              <w:jc w:val="center"/>
              <w:ind w:right="80"/>
              <w:spacing w:after="0"/>
              <w:rPr>
                <w:sz w:val="20"/>
                <w:szCs w:val="20"/>
                <w:color w:val="auto"/>
              </w:rPr>
            </w:pPr>
            <w:r>
              <w:rPr>
                <w:rFonts w:ascii="Arial" w:cs="Arial" w:eastAsia="Arial" w:hAnsi="Arial"/>
                <w:sz w:val="16"/>
                <w:szCs w:val="16"/>
                <w:b w:val="1"/>
                <w:bCs w:val="1"/>
                <w:color w:val="FFFFFF"/>
              </w:rPr>
              <w:t>Average Pension</w:t>
            </w:r>
          </w:p>
        </w:tc>
        <w:tc>
          <w:tcPr>
            <w:tcW w:w="1540" w:type="dxa"/>
            <w:vAlign w:val="bottom"/>
            <w:shd w:val="clear" w:color="auto" w:fill="BF2115"/>
          </w:tcPr>
          <w:p>
            <w:pPr>
              <w:jc w:val="center"/>
              <w:ind w:right="60"/>
              <w:spacing w:after="0"/>
              <w:rPr>
                <w:sz w:val="20"/>
                <w:szCs w:val="20"/>
                <w:color w:val="auto"/>
              </w:rPr>
            </w:pPr>
            <w:r>
              <w:rPr>
                <w:rFonts w:ascii="Arial" w:cs="Arial" w:eastAsia="Arial" w:hAnsi="Arial"/>
                <w:sz w:val="16"/>
                <w:szCs w:val="16"/>
                <w:b w:val="1"/>
                <w:bCs w:val="1"/>
                <w:color w:val="FFFFFF"/>
              </w:rPr>
              <w:t>Compensation</w:t>
            </w:r>
          </w:p>
        </w:tc>
        <w:tc>
          <w:tcPr>
            <w:tcW w:w="0" w:type="dxa"/>
            <w:vAlign w:val="bottom"/>
          </w:tcPr>
          <w:p>
            <w:pPr>
              <w:spacing w:after="0"/>
              <w:rPr>
                <w:sz w:val="1"/>
                <w:szCs w:val="1"/>
                <w:color w:val="auto"/>
              </w:rPr>
            </w:pPr>
          </w:p>
        </w:tc>
      </w:tr>
      <w:tr>
        <w:trPr>
          <w:trHeight w:val="159"/>
        </w:trPr>
        <w:tc>
          <w:tcPr>
            <w:tcW w:w="1060" w:type="dxa"/>
            <w:vAlign w:val="bottom"/>
            <w:shd w:val="clear" w:color="auto" w:fill="BF2115"/>
          </w:tcPr>
          <w:p>
            <w:pPr>
              <w:spacing w:after="0"/>
              <w:rPr>
                <w:sz w:val="13"/>
                <w:szCs w:val="13"/>
                <w:color w:val="auto"/>
              </w:rPr>
            </w:pPr>
          </w:p>
        </w:tc>
        <w:tc>
          <w:tcPr>
            <w:tcW w:w="1820" w:type="dxa"/>
            <w:vAlign w:val="bottom"/>
            <w:shd w:val="clear" w:color="auto" w:fill="BF2115"/>
          </w:tcPr>
          <w:p>
            <w:pPr>
              <w:jc w:val="center"/>
              <w:ind w:left="60"/>
              <w:spacing w:after="0" w:line="159" w:lineRule="exact"/>
              <w:rPr>
                <w:sz w:val="20"/>
                <w:szCs w:val="20"/>
                <w:color w:val="auto"/>
              </w:rPr>
            </w:pPr>
            <w:r>
              <w:rPr>
                <w:rFonts w:ascii="Arial" w:cs="Arial" w:eastAsia="Arial" w:hAnsi="Arial"/>
                <w:sz w:val="16"/>
                <w:szCs w:val="16"/>
                <w:b w:val="1"/>
                <w:bCs w:val="1"/>
                <w:color w:val="FFFFFF"/>
                <w:w w:val="93"/>
              </w:rPr>
              <w:t>for</w:t>
            </w:r>
          </w:p>
        </w:tc>
        <w:tc>
          <w:tcPr>
            <w:tcW w:w="1700" w:type="dxa"/>
            <w:vAlign w:val="bottom"/>
            <w:shd w:val="clear" w:color="auto" w:fill="BF2115"/>
          </w:tcPr>
          <w:p>
            <w:pPr>
              <w:jc w:val="center"/>
              <w:spacing w:after="0" w:line="159" w:lineRule="exact"/>
              <w:rPr>
                <w:sz w:val="20"/>
                <w:szCs w:val="20"/>
                <w:color w:val="auto"/>
              </w:rPr>
            </w:pPr>
            <w:r>
              <w:rPr>
                <w:rFonts w:ascii="Arial" w:cs="Arial" w:eastAsia="Arial" w:hAnsi="Arial"/>
                <w:sz w:val="16"/>
                <w:szCs w:val="16"/>
                <w:b w:val="1"/>
                <w:bCs w:val="1"/>
                <w:color w:val="FFFFFF"/>
                <w:w w:val="99"/>
              </w:rPr>
              <w:t>Award Value for Non-</w:t>
            </w:r>
          </w:p>
        </w:tc>
        <w:tc>
          <w:tcPr>
            <w:tcW w:w="1640" w:type="dxa"/>
            <w:vAlign w:val="bottom"/>
            <w:shd w:val="clear" w:color="auto" w:fill="BF2115"/>
          </w:tcPr>
          <w:p>
            <w:pPr>
              <w:jc w:val="center"/>
              <w:spacing w:after="0" w:line="159" w:lineRule="exact"/>
              <w:rPr>
                <w:sz w:val="20"/>
                <w:szCs w:val="20"/>
                <w:color w:val="auto"/>
              </w:rPr>
            </w:pPr>
            <w:r>
              <w:rPr>
                <w:rFonts w:ascii="Arial" w:cs="Arial" w:eastAsia="Arial" w:hAnsi="Arial"/>
                <w:sz w:val="16"/>
                <w:szCs w:val="16"/>
                <w:b w:val="1"/>
                <w:bCs w:val="1"/>
                <w:color w:val="FFFFFF"/>
                <w:w w:val="99"/>
              </w:rPr>
              <w:t>Award Adjustments</w:t>
            </w:r>
          </w:p>
        </w:tc>
        <w:tc>
          <w:tcPr>
            <w:tcW w:w="1680" w:type="dxa"/>
            <w:vAlign w:val="bottom"/>
            <w:shd w:val="clear" w:color="auto" w:fill="BF2115"/>
          </w:tcPr>
          <w:p>
            <w:pPr>
              <w:jc w:val="center"/>
              <w:spacing w:after="0" w:line="159" w:lineRule="exact"/>
              <w:rPr>
                <w:sz w:val="20"/>
                <w:szCs w:val="20"/>
                <w:color w:val="auto"/>
              </w:rPr>
            </w:pPr>
            <w:r>
              <w:rPr>
                <w:rFonts w:ascii="Arial" w:cs="Arial" w:eastAsia="Arial" w:hAnsi="Arial"/>
                <w:sz w:val="16"/>
                <w:szCs w:val="16"/>
                <w:b w:val="1"/>
                <w:bCs w:val="1"/>
                <w:color w:val="FFFFFF"/>
              </w:rPr>
              <w:t>Benefits for Non-</w:t>
            </w:r>
          </w:p>
        </w:tc>
        <w:tc>
          <w:tcPr>
            <w:tcW w:w="3320" w:type="dxa"/>
            <w:vAlign w:val="bottom"/>
            <w:gridSpan w:val="2"/>
            <w:shd w:val="clear" w:color="auto" w:fill="BF2115"/>
          </w:tcPr>
          <w:p>
            <w:pPr>
              <w:jc w:val="right"/>
              <w:spacing w:after="0" w:line="159" w:lineRule="exact"/>
              <w:rPr>
                <w:sz w:val="20"/>
                <w:szCs w:val="20"/>
                <w:color w:val="auto"/>
              </w:rPr>
            </w:pPr>
            <w:r>
              <w:rPr>
                <w:rFonts w:ascii="Arial" w:cs="Arial" w:eastAsia="Arial" w:hAnsi="Arial"/>
                <w:sz w:val="16"/>
                <w:szCs w:val="16"/>
                <w:b w:val="1"/>
                <w:bCs w:val="1"/>
                <w:color w:val="FFFFFF"/>
              </w:rPr>
              <w:t>Benefit Adjustments Actually Paid to Non-</w:t>
            </w:r>
          </w:p>
        </w:tc>
        <w:tc>
          <w:tcPr>
            <w:tcW w:w="0" w:type="dxa"/>
            <w:vAlign w:val="bottom"/>
          </w:tcPr>
          <w:p>
            <w:pPr>
              <w:spacing w:after="0"/>
              <w:rPr>
                <w:sz w:val="1"/>
                <w:szCs w:val="1"/>
                <w:color w:val="auto"/>
              </w:rPr>
            </w:pPr>
          </w:p>
        </w:tc>
      </w:tr>
      <w:tr>
        <w:trPr>
          <w:trHeight w:val="188"/>
        </w:trPr>
        <w:tc>
          <w:tcPr>
            <w:tcW w:w="1060" w:type="dxa"/>
            <w:vAlign w:val="bottom"/>
            <w:vMerge w:val="restart"/>
            <w:shd w:val="clear" w:color="auto" w:fill="BF2115"/>
          </w:tcPr>
          <w:p>
            <w:pPr>
              <w:jc w:val="right"/>
              <w:ind w:right="200"/>
              <w:spacing w:after="0"/>
              <w:rPr>
                <w:sz w:val="20"/>
                <w:szCs w:val="20"/>
                <w:color w:val="auto"/>
              </w:rPr>
            </w:pPr>
            <w:r>
              <w:rPr>
                <w:rFonts w:ascii="Arial" w:cs="Arial" w:eastAsia="Arial" w:hAnsi="Arial"/>
                <w:sz w:val="16"/>
                <w:szCs w:val="16"/>
                <w:b w:val="1"/>
                <w:bCs w:val="1"/>
                <w:color w:val="FFFFFF"/>
              </w:rPr>
              <w:t>Year</w:t>
            </w:r>
          </w:p>
        </w:tc>
        <w:tc>
          <w:tcPr>
            <w:tcW w:w="1820" w:type="dxa"/>
            <w:vAlign w:val="bottom"/>
            <w:shd w:val="clear" w:color="auto" w:fill="BF2115"/>
          </w:tcPr>
          <w:p>
            <w:pPr>
              <w:jc w:val="center"/>
              <w:ind w:left="60"/>
              <w:spacing w:after="0"/>
              <w:rPr>
                <w:sz w:val="20"/>
                <w:szCs w:val="20"/>
                <w:color w:val="auto"/>
              </w:rPr>
            </w:pPr>
            <w:r>
              <w:rPr>
                <w:rFonts w:ascii="Arial" w:cs="Arial" w:eastAsia="Arial" w:hAnsi="Arial"/>
                <w:sz w:val="16"/>
                <w:szCs w:val="16"/>
                <w:b w:val="1"/>
                <w:bCs w:val="1"/>
                <w:color w:val="FFFFFF"/>
              </w:rPr>
              <w:t>Non-PEO NEOs</w:t>
            </w:r>
          </w:p>
        </w:tc>
        <w:tc>
          <w:tcPr>
            <w:tcW w:w="17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PEO NEOs</w:t>
            </w:r>
          </w:p>
        </w:tc>
        <w:tc>
          <w:tcPr>
            <w:tcW w:w="1640" w:type="dxa"/>
            <w:vAlign w:val="bottom"/>
            <w:shd w:val="clear" w:color="auto" w:fill="BF2115"/>
          </w:tcPr>
          <w:p>
            <w:pPr>
              <w:jc w:val="center"/>
              <w:spacing w:after="0" w:line="187" w:lineRule="exact"/>
              <w:rPr>
                <w:sz w:val="20"/>
                <w:szCs w:val="20"/>
                <w:color w:val="auto"/>
              </w:rPr>
            </w:pPr>
            <w:r>
              <w:rPr>
                <w:rFonts w:ascii="Arial" w:cs="Arial" w:eastAsia="Arial" w:hAnsi="Arial"/>
                <w:sz w:val="16"/>
                <w:szCs w:val="16"/>
                <w:b w:val="1"/>
                <w:bCs w:val="1"/>
                <w:color w:val="FFFFFF"/>
                <w:w w:val="99"/>
              </w:rPr>
              <w:t>for Non-PEO NEOs</w:t>
            </w:r>
            <w:r>
              <w:rPr>
                <w:rFonts w:ascii="Arial" w:cs="Arial" w:eastAsia="Arial" w:hAnsi="Arial"/>
                <w:sz w:val="20"/>
                <w:szCs w:val="20"/>
                <w:b w:val="1"/>
                <w:bCs w:val="1"/>
                <w:color w:val="FFFFFF"/>
                <w:w w:val="99"/>
                <w:vertAlign w:val="superscript"/>
              </w:rPr>
              <w:t>1</w:t>
            </w:r>
          </w:p>
        </w:tc>
        <w:tc>
          <w:tcPr>
            <w:tcW w:w="168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PEO NEOs</w:t>
            </w:r>
          </w:p>
        </w:tc>
        <w:tc>
          <w:tcPr>
            <w:tcW w:w="1780" w:type="dxa"/>
            <w:vAlign w:val="bottom"/>
            <w:shd w:val="clear" w:color="auto" w:fill="BF2115"/>
          </w:tcPr>
          <w:p>
            <w:pPr>
              <w:jc w:val="center"/>
              <w:ind w:right="60"/>
              <w:spacing w:after="0"/>
              <w:rPr>
                <w:sz w:val="20"/>
                <w:szCs w:val="20"/>
                <w:color w:val="auto"/>
              </w:rPr>
            </w:pPr>
            <w:r>
              <w:rPr>
                <w:rFonts w:ascii="Arial" w:cs="Arial" w:eastAsia="Arial" w:hAnsi="Arial"/>
                <w:sz w:val="16"/>
                <w:szCs w:val="16"/>
                <w:b w:val="1"/>
                <w:bCs w:val="1"/>
                <w:color w:val="FFFFFF"/>
                <w:w w:val="99"/>
              </w:rPr>
              <w:t>for Non PEO-NEOs</w:t>
            </w:r>
          </w:p>
        </w:tc>
        <w:tc>
          <w:tcPr>
            <w:tcW w:w="1540" w:type="dxa"/>
            <w:vAlign w:val="bottom"/>
            <w:shd w:val="clear" w:color="auto" w:fill="BF2115"/>
          </w:tcPr>
          <w:p>
            <w:pPr>
              <w:jc w:val="center"/>
              <w:ind w:right="40"/>
              <w:spacing w:after="0"/>
              <w:rPr>
                <w:sz w:val="20"/>
                <w:szCs w:val="20"/>
                <w:color w:val="auto"/>
              </w:rPr>
            </w:pPr>
            <w:r>
              <w:rPr>
                <w:rFonts w:ascii="Arial" w:cs="Arial" w:eastAsia="Arial" w:hAnsi="Arial"/>
                <w:sz w:val="16"/>
                <w:szCs w:val="16"/>
                <w:b w:val="1"/>
                <w:bCs w:val="1"/>
                <w:color w:val="FFFFFF"/>
              </w:rPr>
              <w:t>PEO NEOs</w:t>
            </w:r>
          </w:p>
        </w:tc>
        <w:tc>
          <w:tcPr>
            <w:tcW w:w="0" w:type="dxa"/>
            <w:vAlign w:val="bottom"/>
          </w:tcPr>
          <w:p>
            <w:pPr>
              <w:spacing w:after="0"/>
              <w:rPr>
                <w:sz w:val="1"/>
                <w:szCs w:val="1"/>
                <w:color w:val="auto"/>
              </w:rPr>
            </w:pPr>
          </w:p>
        </w:tc>
      </w:tr>
      <w:tr>
        <w:trPr>
          <w:trHeight w:val="213"/>
        </w:trPr>
        <w:tc>
          <w:tcPr>
            <w:tcW w:w="1060" w:type="dxa"/>
            <w:vAlign w:val="bottom"/>
            <w:vMerge w:val="continue"/>
            <w:shd w:val="clear" w:color="auto" w:fill="BF2115"/>
          </w:tcPr>
          <w:p>
            <w:pPr>
              <w:spacing w:after="0"/>
              <w:rPr>
                <w:sz w:val="18"/>
                <w:szCs w:val="18"/>
                <w:color w:val="auto"/>
              </w:rPr>
            </w:pPr>
          </w:p>
        </w:tc>
        <w:tc>
          <w:tcPr>
            <w:tcW w:w="1820" w:type="dxa"/>
            <w:vAlign w:val="bottom"/>
            <w:shd w:val="clear" w:color="auto" w:fill="BF2115"/>
          </w:tcPr>
          <w:p>
            <w:pPr>
              <w:jc w:val="center"/>
              <w:ind w:left="60"/>
              <w:spacing w:after="0"/>
              <w:rPr>
                <w:sz w:val="20"/>
                <w:szCs w:val="20"/>
                <w:color w:val="auto"/>
              </w:rPr>
            </w:pPr>
            <w:r>
              <w:rPr>
                <w:rFonts w:ascii="Arial" w:cs="Arial" w:eastAsia="Arial" w:hAnsi="Arial"/>
                <w:sz w:val="16"/>
                <w:szCs w:val="16"/>
                <w:b w:val="1"/>
                <w:bCs w:val="1"/>
                <w:color w:val="FFFFFF"/>
              </w:rPr>
              <w:t>($)</w:t>
            </w:r>
          </w:p>
        </w:tc>
        <w:tc>
          <w:tcPr>
            <w:tcW w:w="17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1"/>
              </w:rPr>
              <w:t>($)</w:t>
            </w:r>
          </w:p>
        </w:tc>
        <w:tc>
          <w:tcPr>
            <w:tcW w:w="16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168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1780" w:type="dxa"/>
            <w:vAlign w:val="bottom"/>
            <w:shd w:val="clear" w:color="auto" w:fill="BF2115"/>
          </w:tcPr>
          <w:p>
            <w:pPr>
              <w:jc w:val="center"/>
              <w:ind w:right="60"/>
              <w:spacing w:after="0"/>
              <w:rPr>
                <w:sz w:val="20"/>
                <w:szCs w:val="20"/>
                <w:color w:val="auto"/>
              </w:rPr>
            </w:pPr>
            <w:r>
              <w:rPr>
                <w:rFonts w:ascii="Arial" w:cs="Arial" w:eastAsia="Arial" w:hAnsi="Arial"/>
                <w:sz w:val="16"/>
                <w:szCs w:val="16"/>
                <w:b w:val="1"/>
                <w:bCs w:val="1"/>
                <w:color w:val="FFFFFF"/>
              </w:rPr>
              <w:t>($)</w:t>
            </w:r>
          </w:p>
        </w:tc>
        <w:tc>
          <w:tcPr>
            <w:tcW w:w="1540" w:type="dxa"/>
            <w:vAlign w:val="bottom"/>
            <w:shd w:val="clear" w:color="auto" w:fill="BF2115"/>
          </w:tcPr>
          <w:p>
            <w:pPr>
              <w:jc w:val="center"/>
              <w:ind w:right="6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20"/>
        </w:trPr>
        <w:tc>
          <w:tcPr>
            <w:tcW w:w="1060" w:type="dxa"/>
            <w:vAlign w:val="bottom"/>
            <w:tcBorders>
              <w:bottom w:val="single" w:sz="8" w:color="DBDBDB"/>
            </w:tcBorders>
            <w:shd w:val="clear" w:color="auto" w:fill="DBDBDB"/>
          </w:tcPr>
          <w:p>
            <w:pPr>
              <w:jc w:val="right"/>
              <w:ind w:right="600"/>
              <w:spacing w:after="0"/>
              <w:rPr>
                <w:sz w:val="20"/>
                <w:szCs w:val="20"/>
                <w:color w:val="auto"/>
              </w:rPr>
            </w:pPr>
            <w:r>
              <w:rPr>
                <w:rFonts w:ascii="Arial" w:cs="Arial" w:eastAsia="Arial" w:hAnsi="Arial"/>
                <w:sz w:val="16"/>
                <w:szCs w:val="16"/>
                <w:color w:val="auto"/>
              </w:rPr>
              <w:t>2025</w:t>
            </w:r>
          </w:p>
        </w:tc>
        <w:tc>
          <w:tcPr>
            <w:tcW w:w="1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3,065,396</w:t>
            </w:r>
          </w:p>
        </w:tc>
        <w:tc>
          <w:tcPr>
            <w:tcW w:w="1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(2,150,179)</w:t>
            </w:r>
          </w:p>
        </w:tc>
        <w:tc>
          <w:tcPr>
            <w:tcW w:w="1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1,668,643</w:t>
            </w:r>
          </w:p>
        </w:tc>
        <w:tc>
          <w:tcPr>
            <w:tcW w:w="1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780" w:type="dxa"/>
            <w:vAlign w:val="bottom"/>
            <w:tcBorders>
              <w:bottom w:val="single" w:sz="8" w:color="DBDBDB"/>
            </w:tcBorders>
            <w:shd w:val="clear" w:color="auto" w:fill="DBDBDB"/>
          </w:tcPr>
          <w:p>
            <w:pPr>
              <w:jc w:val="right"/>
              <w:ind w:right="80"/>
              <w:spacing w:after="0"/>
              <w:rPr>
                <w:sz w:val="20"/>
                <w:szCs w:val="20"/>
                <w:color w:val="auto"/>
              </w:rPr>
            </w:pPr>
            <w:r>
              <w:rPr>
                <w:rFonts w:ascii="Arial" w:cs="Arial" w:eastAsia="Arial" w:hAnsi="Arial"/>
                <w:sz w:val="16"/>
                <w:szCs w:val="16"/>
                <w:color w:val="auto"/>
              </w:rPr>
              <w:t>0</w:t>
            </w:r>
          </w:p>
        </w:tc>
        <w:tc>
          <w:tcPr>
            <w:tcW w:w="15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2,583,860</w:t>
            </w:r>
          </w:p>
        </w:tc>
        <w:tc>
          <w:tcPr>
            <w:tcW w:w="0" w:type="dxa"/>
            <w:vAlign w:val="bottom"/>
          </w:tcPr>
          <w:p>
            <w:pPr>
              <w:spacing w:after="0"/>
              <w:rPr>
                <w:sz w:val="1"/>
                <w:szCs w:val="1"/>
                <w:color w:val="auto"/>
              </w:rPr>
            </w:pPr>
          </w:p>
        </w:tc>
      </w:tr>
      <w:tr>
        <w:trPr>
          <w:trHeight w:val="211"/>
        </w:trPr>
        <w:tc>
          <w:tcPr>
            <w:tcW w:w="1060" w:type="dxa"/>
            <w:vAlign w:val="bottom"/>
          </w:tcPr>
          <w:p>
            <w:pPr>
              <w:jc w:val="right"/>
              <w:ind w:right="600"/>
              <w:spacing w:after="0"/>
              <w:rPr>
                <w:sz w:val="20"/>
                <w:szCs w:val="20"/>
                <w:color w:val="auto"/>
              </w:rPr>
            </w:pPr>
            <w:r>
              <w:rPr>
                <w:rFonts w:ascii="Arial" w:cs="Arial" w:eastAsia="Arial" w:hAnsi="Arial"/>
                <w:sz w:val="16"/>
                <w:szCs w:val="16"/>
                <w:color w:val="auto"/>
              </w:rPr>
              <w:t>2024</w:t>
            </w:r>
          </w:p>
        </w:tc>
        <w:tc>
          <w:tcPr>
            <w:tcW w:w="1820" w:type="dxa"/>
            <w:vAlign w:val="bottom"/>
          </w:tcPr>
          <w:p>
            <w:pPr>
              <w:jc w:val="right"/>
              <w:spacing w:after="0"/>
              <w:rPr>
                <w:sz w:val="20"/>
                <w:szCs w:val="20"/>
                <w:color w:val="auto"/>
              </w:rPr>
            </w:pPr>
            <w:r>
              <w:rPr>
                <w:rFonts w:ascii="Arial" w:cs="Arial" w:eastAsia="Arial" w:hAnsi="Arial"/>
                <w:sz w:val="16"/>
                <w:szCs w:val="16"/>
                <w:color w:val="auto"/>
              </w:rPr>
              <w:t>1,967,920</w:t>
            </w:r>
          </w:p>
        </w:tc>
        <w:tc>
          <w:tcPr>
            <w:tcW w:w="1700" w:type="dxa"/>
            <w:vAlign w:val="bottom"/>
          </w:tcPr>
          <w:p>
            <w:pPr>
              <w:jc w:val="right"/>
              <w:spacing w:after="0"/>
              <w:rPr>
                <w:sz w:val="20"/>
                <w:szCs w:val="20"/>
                <w:color w:val="auto"/>
              </w:rPr>
            </w:pPr>
            <w:r>
              <w:rPr>
                <w:rFonts w:ascii="Arial" w:cs="Arial" w:eastAsia="Arial" w:hAnsi="Arial"/>
                <w:sz w:val="16"/>
                <w:szCs w:val="16"/>
                <w:color w:val="auto"/>
              </w:rPr>
              <w:t>(1,157,034)</w:t>
            </w:r>
          </w:p>
        </w:tc>
        <w:tc>
          <w:tcPr>
            <w:tcW w:w="1640" w:type="dxa"/>
            <w:vAlign w:val="bottom"/>
          </w:tcPr>
          <w:p>
            <w:pPr>
              <w:jc w:val="right"/>
              <w:spacing w:after="0"/>
              <w:rPr>
                <w:sz w:val="20"/>
                <w:szCs w:val="20"/>
                <w:color w:val="auto"/>
              </w:rPr>
            </w:pPr>
            <w:r>
              <w:rPr>
                <w:rFonts w:ascii="Arial" w:cs="Arial" w:eastAsia="Arial" w:hAnsi="Arial"/>
                <w:sz w:val="16"/>
                <w:szCs w:val="16"/>
                <w:color w:val="auto"/>
              </w:rPr>
              <w:t>457,797</w:t>
            </w:r>
          </w:p>
        </w:tc>
        <w:tc>
          <w:tcPr>
            <w:tcW w:w="1680" w:type="dxa"/>
            <w:vAlign w:val="bottom"/>
          </w:tcPr>
          <w:p>
            <w:pPr>
              <w:jc w:val="right"/>
              <w:spacing w:after="0"/>
              <w:rPr>
                <w:sz w:val="20"/>
                <w:szCs w:val="20"/>
                <w:color w:val="auto"/>
              </w:rPr>
            </w:pPr>
            <w:r>
              <w:rPr>
                <w:rFonts w:ascii="Arial" w:cs="Arial" w:eastAsia="Arial" w:hAnsi="Arial"/>
                <w:sz w:val="16"/>
                <w:szCs w:val="16"/>
                <w:color w:val="auto"/>
              </w:rPr>
              <w:t>0</w:t>
            </w:r>
          </w:p>
        </w:tc>
        <w:tc>
          <w:tcPr>
            <w:tcW w:w="178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1540" w:type="dxa"/>
            <w:vAlign w:val="bottom"/>
          </w:tcPr>
          <w:p>
            <w:pPr>
              <w:jc w:val="right"/>
              <w:spacing w:after="0"/>
              <w:rPr>
                <w:sz w:val="20"/>
                <w:szCs w:val="20"/>
                <w:color w:val="auto"/>
              </w:rPr>
            </w:pPr>
            <w:r>
              <w:rPr>
                <w:rFonts w:ascii="Arial" w:cs="Arial" w:eastAsia="Arial" w:hAnsi="Arial"/>
                <w:sz w:val="16"/>
                <w:szCs w:val="16"/>
                <w:color w:val="auto"/>
              </w:rPr>
              <w:t>1,268,683</w:t>
            </w:r>
          </w:p>
        </w:tc>
        <w:tc>
          <w:tcPr>
            <w:tcW w:w="0" w:type="dxa"/>
            <w:vAlign w:val="bottom"/>
          </w:tcPr>
          <w:p>
            <w:pPr>
              <w:spacing w:after="0"/>
              <w:rPr>
                <w:sz w:val="1"/>
                <w:szCs w:val="1"/>
                <w:color w:val="auto"/>
              </w:rPr>
            </w:pPr>
          </w:p>
        </w:tc>
      </w:tr>
      <w:tr>
        <w:trPr>
          <w:trHeight w:val="29"/>
        </w:trPr>
        <w:tc>
          <w:tcPr>
            <w:tcW w:w="10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060" w:type="dxa"/>
            <w:vAlign w:val="bottom"/>
            <w:tcBorders>
              <w:bottom w:val="single" w:sz="8" w:color="DBDBDB"/>
            </w:tcBorders>
            <w:shd w:val="clear" w:color="auto" w:fill="DBDBDB"/>
          </w:tcPr>
          <w:p>
            <w:pPr>
              <w:jc w:val="right"/>
              <w:ind w:right="600"/>
              <w:spacing w:after="0"/>
              <w:rPr>
                <w:sz w:val="20"/>
                <w:szCs w:val="20"/>
                <w:color w:val="auto"/>
              </w:rPr>
            </w:pPr>
            <w:r>
              <w:rPr>
                <w:rFonts w:ascii="Arial" w:cs="Arial" w:eastAsia="Arial" w:hAnsi="Arial"/>
                <w:sz w:val="16"/>
                <w:szCs w:val="16"/>
                <w:color w:val="auto"/>
              </w:rPr>
              <w:t>2023</w:t>
            </w:r>
          </w:p>
        </w:tc>
        <w:tc>
          <w:tcPr>
            <w:tcW w:w="1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1,905,612</w:t>
            </w:r>
          </w:p>
        </w:tc>
        <w:tc>
          <w:tcPr>
            <w:tcW w:w="1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(1,297,243)</w:t>
            </w:r>
          </w:p>
        </w:tc>
        <w:tc>
          <w:tcPr>
            <w:tcW w:w="1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(122,980)</w:t>
            </w:r>
          </w:p>
        </w:tc>
        <w:tc>
          <w:tcPr>
            <w:tcW w:w="1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780" w:type="dxa"/>
            <w:vAlign w:val="bottom"/>
            <w:tcBorders>
              <w:bottom w:val="single" w:sz="8" w:color="DBDBDB"/>
            </w:tcBorders>
            <w:shd w:val="clear" w:color="auto" w:fill="DBDBDB"/>
          </w:tcPr>
          <w:p>
            <w:pPr>
              <w:jc w:val="right"/>
              <w:ind w:right="80"/>
              <w:spacing w:after="0"/>
              <w:rPr>
                <w:sz w:val="20"/>
                <w:szCs w:val="20"/>
                <w:color w:val="auto"/>
              </w:rPr>
            </w:pPr>
            <w:r>
              <w:rPr>
                <w:rFonts w:ascii="Arial" w:cs="Arial" w:eastAsia="Arial" w:hAnsi="Arial"/>
                <w:sz w:val="16"/>
                <w:szCs w:val="16"/>
                <w:color w:val="auto"/>
              </w:rPr>
              <w:t>0</w:t>
            </w:r>
          </w:p>
        </w:tc>
        <w:tc>
          <w:tcPr>
            <w:tcW w:w="15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485,389</w:t>
            </w:r>
          </w:p>
        </w:tc>
        <w:tc>
          <w:tcPr>
            <w:tcW w:w="0" w:type="dxa"/>
            <w:vAlign w:val="bottom"/>
          </w:tcPr>
          <w:p>
            <w:pPr>
              <w:spacing w:after="0"/>
              <w:rPr>
                <w:sz w:val="1"/>
                <w:szCs w:val="1"/>
                <w:color w:val="auto"/>
              </w:rPr>
            </w:pPr>
          </w:p>
        </w:tc>
      </w:tr>
      <w:tr>
        <w:trPr>
          <w:trHeight w:val="211"/>
        </w:trPr>
        <w:tc>
          <w:tcPr>
            <w:tcW w:w="1060" w:type="dxa"/>
            <w:vAlign w:val="bottom"/>
          </w:tcPr>
          <w:p>
            <w:pPr>
              <w:jc w:val="right"/>
              <w:ind w:right="600"/>
              <w:spacing w:after="0"/>
              <w:rPr>
                <w:sz w:val="20"/>
                <w:szCs w:val="20"/>
                <w:color w:val="auto"/>
              </w:rPr>
            </w:pPr>
            <w:r>
              <w:rPr>
                <w:rFonts w:ascii="Arial" w:cs="Arial" w:eastAsia="Arial" w:hAnsi="Arial"/>
                <w:sz w:val="16"/>
                <w:szCs w:val="16"/>
                <w:color w:val="auto"/>
              </w:rPr>
              <w:t>2022</w:t>
            </w:r>
          </w:p>
        </w:tc>
        <w:tc>
          <w:tcPr>
            <w:tcW w:w="1820" w:type="dxa"/>
            <w:vAlign w:val="bottom"/>
          </w:tcPr>
          <w:p>
            <w:pPr>
              <w:jc w:val="right"/>
              <w:spacing w:after="0"/>
              <w:rPr>
                <w:sz w:val="20"/>
                <w:szCs w:val="20"/>
                <w:color w:val="auto"/>
              </w:rPr>
            </w:pPr>
            <w:r>
              <w:rPr>
                <w:rFonts w:ascii="Arial" w:cs="Arial" w:eastAsia="Arial" w:hAnsi="Arial"/>
                <w:sz w:val="16"/>
                <w:szCs w:val="16"/>
                <w:color w:val="auto"/>
              </w:rPr>
              <w:t>2,316,841</w:t>
            </w:r>
          </w:p>
        </w:tc>
        <w:tc>
          <w:tcPr>
            <w:tcW w:w="1700" w:type="dxa"/>
            <w:vAlign w:val="bottom"/>
          </w:tcPr>
          <w:p>
            <w:pPr>
              <w:jc w:val="right"/>
              <w:spacing w:after="0"/>
              <w:rPr>
                <w:sz w:val="20"/>
                <w:szCs w:val="20"/>
                <w:color w:val="auto"/>
              </w:rPr>
            </w:pPr>
            <w:r>
              <w:rPr>
                <w:rFonts w:ascii="Arial" w:cs="Arial" w:eastAsia="Arial" w:hAnsi="Arial"/>
                <w:sz w:val="16"/>
                <w:szCs w:val="16"/>
                <w:color w:val="auto"/>
              </w:rPr>
              <w:t>(1,315,478)</w:t>
            </w:r>
          </w:p>
        </w:tc>
        <w:tc>
          <w:tcPr>
            <w:tcW w:w="1640" w:type="dxa"/>
            <w:vAlign w:val="bottom"/>
          </w:tcPr>
          <w:p>
            <w:pPr>
              <w:jc w:val="right"/>
              <w:spacing w:after="0"/>
              <w:rPr>
                <w:sz w:val="20"/>
                <w:szCs w:val="20"/>
                <w:color w:val="auto"/>
              </w:rPr>
            </w:pPr>
            <w:r>
              <w:rPr>
                <w:rFonts w:ascii="Arial" w:cs="Arial" w:eastAsia="Arial" w:hAnsi="Arial"/>
                <w:sz w:val="16"/>
                <w:szCs w:val="16"/>
                <w:color w:val="auto"/>
              </w:rPr>
              <w:t>1,830,310</w:t>
            </w:r>
          </w:p>
        </w:tc>
        <w:tc>
          <w:tcPr>
            <w:tcW w:w="1680" w:type="dxa"/>
            <w:vAlign w:val="bottom"/>
          </w:tcPr>
          <w:p>
            <w:pPr>
              <w:jc w:val="right"/>
              <w:spacing w:after="0"/>
              <w:rPr>
                <w:sz w:val="20"/>
                <w:szCs w:val="20"/>
                <w:color w:val="auto"/>
              </w:rPr>
            </w:pPr>
            <w:r>
              <w:rPr>
                <w:rFonts w:ascii="Arial" w:cs="Arial" w:eastAsia="Arial" w:hAnsi="Arial"/>
                <w:sz w:val="16"/>
                <w:szCs w:val="16"/>
                <w:color w:val="auto"/>
              </w:rPr>
              <w:t>0</w:t>
            </w:r>
          </w:p>
        </w:tc>
        <w:tc>
          <w:tcPr>
            <w:tcW w:w="178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1540" w:type="dxa"/>
            <w:vAlign w:val="bottom"/>
          </w:tcPr>
          <w:p>
            <w:pPr>
              <w:jc w:val="right"/>
              <w:spacing w:after="0"/>
              <w:rPr>
                <w:sz w:val="20"/>
                <w:szCs w:val="20"/>
                <w:color w:val="auto"/>
              </w:rPr>
            </w:pPr>
            <w:r>
              <w:rPr>
                <w:rFonts w:ascii="Arial" w:cs="Arial" w:eastAsia="Arial" w:hAnsi="Arial"/>
                <w:sz w:val="16"/>
                <w:szCs w:val="16"/>
                <w:color w:val="auto"/>
              </w:rPr>
              <w:t>2,831,673</w:t>
            </w:r>
          </w:p>
        </w:tc>
        <w:tc>
          <w:tcPr>
            <w:tcW w:w="0" w:type="dxa"/>
            <w:vAlign w:val="bottom"/>
          </w:tcPr>
          <w:p>
            <w:pPr>
              <w:spacing w:after="0"/>
              <w:rPr>
                <w:sz w:val="1"/>
                <w:szCs w:val="1"/>
                <w:color w:val="auto"/>
              </w:rPr>
            </w:pPr>
          </w:p>
        </w:tc>
      </w:tr>
      <w:tr>
        <w:trPr>
          <w:trHeight w:val="29"/>
        </w:trPr>
        <w:tc>
          <w:tcPr>
            <w:tcW w:w="10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060" w:type="dxa"/>
            <w:vAlign w:val="bottom"/>
            <w:shd w:val="clear" w:color="auto" w:fill="DBDBDB"/>
          </w:tcPr>
          <w:p>
            <w:pPr>
              <w:jc w:val="right"/>
              <w:ind w:right="600"/>
              <w:spacing w:after="0"/>
              <w:rPr>
                <w:sz w:val="20"/>
                <w:szCs w:val="20"/>
                <w:color w:val="auto"/>
              </w:rPr>
            </w:pPr>
            <w:r>
              <w:rPr>
                <w:rFonts w:ascii="Arial" w:cs="Arial" w:eastAsia="Arial" w:hAnsi="Arial"/>
                <w:sz w:val="16"/>
                <w:szCs w:val="16"/>
                <w:color w:val="auto"/>
              </w:rPr>
              <w:t>2021</w:t>
            </w:r>
          </w:p>
        </w:tc>
        <w:tc>
          <w:tcPr>
            <w:tcW w:w="1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2,244,282</w:t>
            </w: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(1,020,368)</w:t>
            </w: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2,110,094</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780" w:type="dxa"/>
            <w:vAlign w:val="bottom"/>
            <w:shd w:val="clear" w:color="auto" w:fill="DBDBDB"/>
          </w:tcPr>
          <w:p>
            <w:pPr>
              <w:jc w:val="right"/>
              <w:ind w:right="80"/>
              <w:spacing w:after="0"/>
              <w:rPr>
                <w:sz w:val="20"/>
                <w:szCs w:val="20"/>
                <w:color w:val="auto"/>
              </w:rPr>
            </w:pPr>
            <w:r>
              <w:rPr>
                <w:rFonts w:ascii="Arial" w:cs="Arial" w:eastAsia="Arial" w:hAnsi="Arial"/>
                <w:sz w:val="16"/>
                <w:szCs w:val="16"/>
                <w:color w:val="auto"/>
              </w:rPr>
              <w:t>0</w:t>
            </w:r>
          </w:p>
        </w:tc>
        <w:tc>
          <w:tcPr>
            <w:tcW w:w="15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3,334,008</w:t>
            </w:r>
          </w:p>
        </w:tc>
        <w:tc>
          <w:tcPr>
            <w:tcW w:w="0" w:type="dxa"/>
            <w:vAlign w:val="bottom"/>
          </w:tcPr>
          <w:p>
            <w:pPr>
              <w:spacing w:after="0"/>
              <w:rPr>
                <w:sz w:val="1"/>
                <w:szCs w:val="1"/>
                <w:color w:val="auto"/>
              </w:rPr>
            </w:pPr>
          </w:p>
        </w:tc>
      </w:tr>
      <w:tr>
        <w:trPr>
          <w:trHeight w:val="29"/>
        </w:trPr>
        <w:tc>
          <w:tcPr>
            <w:tcW w:w="1060" w:type="dxa"/>
            <w:vAlign w:val="bottom"/>
            <w:shd w:val="clear" w:color="auto" w:fill="DBDBDB"/>
          </w:tcPr>
          <w:p>
            <w:pPr>
              <w:spacing w:after="0"/>
              <w:rPr>
                <w:sz w:val="2"/>
                <w:szCs w:val="2"/>
                <w:color w:val="auto"/>
              </w:rPr>
            </w:pPr>
          </w:p>
        </w:tc>
        <w:tc>
          <w:tcPr>
            <w:tcW w:w="1820" w:type="dxa"/>
            <w:vAlign w:val="bottom"/>
            <w:shd w:val="clear" w:color="auto" w:fill="DBDBDB"/>
          </w:tcPr>
          <w:p>
            <w:pPr>
              <w:spacing w:after="0"/>
              <w:rPr>
                <w:sz w:val="2"/>
                <w:szCs w:val="2"/>
                <w:color w:val="auto"/>
              </w:rPr>
            </w:pPr>
          </w:p>
        </w:tc>
        <w:tc>
          <w:tcPr>
            <w:tcW w:w="1700" w:type="dxa"/>
            <w:vAlign w:val="bottom"/>
            <w:shd w:val="clear" w:color="auto" w:fill="DBDBDB"/>
          </w:tcPr>
          <w:p>
            <w:pPr>
              <w:spacing w:after="0"/>
              <w:rPr>
                <w:sz w:val="2"/>
                <w:szCs w:val="2"/>
                <w:color w:val="auto"/>
              </w:rPr>
            </w:pPr>
          </w:p>
        </w:tc>
        <w:tc>
          <w:tcPr>
            <w:tcW w:w="1640" w:type="dxa"/>
            <w:vAlign w:val="bottom"/>
            <w:shd w:val="clear" w:color="auto" w:fill="DBDBDB"/>
          </w:tcPr>
          <w:p>
            <w:pPr>
              <w:spacing w:after="0"/>
              <w:rPr>
                <w:sz w:val="2"/>
                <w:szCs w:val="2"/>
                <w:color w:val="auto"/>
              </w:rPr>
            </w:pPr>
          </w:p>
        </w:tc>
        <w:tc>
          <w:tcPr>
            <w:tcW w:w="1680" w:type="dxa"/>
            <w:vAlign w:val="bottom"/>
            <w:shd w:val="clear" w:color="auto" w:fill="DBDBDB"/>
          </w:tcPr>
          <w:p>
            <w:pPr>
              <w:spacing w:after="0"/>
              <w:rPr>
                <w:sz w:val="2"/>
                <w:szCs w:val="2"/>
                <w:color w:val="auto"/>
              </w:rPr>
            </w:pPr>
          </w:p>
        </w:tc>
        <w:tc>
          <w:tcPr>
            <w:tcW w:w="1780" w:type="dxa"/>
            <w:vAlign w:val="bottom"/>
            <w:shd w:val="clear" w:color="auto" w:fill="DBDBDB"/>
          </w:tcPr>
          <w:p>
            <w:pPr>
              <w:spacing w:after="0"/>
              <w:rPr>
                <w:sz w:val="2"/>
                <w:szCs w:val="2"/>
                <w:color w:val="auto"/>
              </w:rPr>
            </w:pPr>
          </w:p>
        </w:tc>
        <w:tc>
          <w:tcPr>
            <w:tcW w:w="15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Represents the average of the year-over-year change in the fair value of equity awards to our Non-PEO NEOs as summarized below:</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 w:type="dxa"/>
            <w:vAlign w:val="bottom"/>
            <w:shd w:val="clear" w:color="auto" w:fill="BF2115"/>
          </w:tcPr>
          <w:p>
            <w:pPr>
              <w:spacing w:after="0"/>
              <w:rPr>
                <w:sz w:val="16"/>
                <w:szCs w:val="16"/>
                <w:color w:val="auto"/>
              </w:rPr>
            </w:pPr>
          </w:p>
        </w:tc>
        <w:tc>
          <w:tcPr>
            <w:tcW w:w="2680" w:type="dxa"/>
            <w:vAlign w:val="bottom"/>
            <w:gridSpan w:val="2"/>
            <w:shd w:val="clear" w:color="auto" w:fill="BF2115"/>
          </w:tcPr>
          <w:p>
            <w:pPr>
              <w:jc w:val="right"/>
              <w:spacing w:after="0"/>
              <w:rPr>
                <w:sz w:val="20"/>
                <w:szCs w:val="20"/>
                <w:color w:val="auto"/>
              </w:rPr>
            </w:pPr>
            <w:r>
              <w:rPr>
                <w:rFonts w:ascii="Arial" w:cs="Arial" w:eastAsia="Arial" w:hAnsi="Arial"/>
                <w:sz w:val="16"/>
                <w:szCs w:val="16"/>
                <w:b w:val="1"/>
                <w:bCs w:val="1"/>
                <w:color w:val="FFFFFF"/>
              </w:rPr>
              <w:t>Average Year- Average Year over</w:t>
            </w:r>
          </w:p>
        </w:tc>
        <w:tc>
          <w:tcPr>
            <w:tcW w:w="126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rPr>
              <w:t>Average Fair</w:t>
            </w:r>
          </w:p>
        </w:tc>
        <w:tc>
          <w:tcPr>
            <w:tcW w:w="164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Average Year over</w:t>
            </w:r>
          </w:p>
        </w:tc>
        <w:tc>
          <w:tcPr>
            <w:tcW w:w="15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Average Fair Value</w:t>
            </w:r>
          </w:p>
        </w:tc>
        <w:tc>
          <w:tcPr>
            <w:tcW w:w="1640" w:type="dxa"/>
            <w:vAlign w:val="bottom"/>
            <w:shd w:val="clear" w:color="auto" w:fill="BF2115"/>
          </w:tcPr>
          <w:p>
            <w:pPr>
              <w:jc w:val="center"/>
              <w:ind w:right="40"/>
              <w:spacing w:after="0"/>
              <w:rPr>
                <w:sz w:val="20"/>
                <w:szCs w:val="20"/>
                <w:color w:val="auto"/>
              </w:rPr>
            </w:pPr>
            <w:r>
              <w:rPr>
                <w:rFonts w:ascii="Arial" w:cs="Arial" w:eastAsia="Arial" w:hAnsi="Arial"/>
                <w:sz w:val="16"/>
                <w:szCs w:val="16"/>
                <w:b w:val="1"/>
                <w:bCs w:val="1"/>
                <w:color w:val="FFFFFF"/>
                <w:w w:val="98"/>
              </w:rPr>
              <w:t>Average Value of</w:t>
            </w:r>
          </w:p>
        </w:tc>
        <w:tc>
          <w:tcPr>
            <w:tcW w:w="1360" w:type="dxa"/>
            <w:vAlign w:val="bottom"/>
            <w:shd w:val="clear" w:color="auto" w:fill="BF2115"/>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BF2115"/>
          </w:tcPr>
          <w:p>
            <w:pPr>
              <w:spacing w:after="0"/>
              <w:rPr>
                <w:sz w:val="13"/>
                <w:szCs w:val="13"/>
                <w:color w:val="auto"/>
              </w:rPr>
            </w:pP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End Fair</w:t>
            </w:r>
          </w:p>
        </w:tc>
        <w:tc>
          <w:tcPr>
            <w:tcW w:w="14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7"/>
              </w:rPr>
              <w:t>Year Change in</w:t>
            </w:r>
          </w:p>
        </w:tc>
        <w:tc>
          <w:tcPr>
            <w:tcW w:w="1260" w:type="dxa"/>
            <w:vAlign w:val="bottom"/>
            <w:vMerge w:val="continue"/>
            <w:shd w:val="clear" w:color="auto" w:fill="BF2115"/>
          </w:tcPr>
          <w:p>
            <w:pPr>
              <w:spacing w:after="0"/>
              <w:rPr>
                <w:sz w:val="13"/>
                <w:szCs w:val="13"/>
                <w:color w:val="auto"/>
              </w:rPr>
            </w:pPr>
          </w:p>
        </w:tc>
        <w:tc>
          <w:tcPr>
            <w:tcW w:w="1640" w:type="dxa"/>
            <w:vAlign w:val="bottom"/>
            <w:vMerge w:val="continue"/>
            <w:shd w:val="clear" w:color="auto" w:fill="BF2115"/>
          </w:tcPr>
          <w:p>
            <w:pPr>
              <w:spacing w:after="0"/>
              <w:rPr>
                <w:sz w:val="13"/>
                <w:szCs w:val="13"/>
                <w:color w:val="auto"/>
              </w:rPr>
            </w:pPr>
          </w:p>
        </w:tc>
        <w:tc>
          <w:tcPr>
            <w:tcW w:w="15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rPr>
              <w:t>at the End of the</w:t>
            </w:r>
          </w:p>
        </w:tc>
        <w:tc>
          <w:tcPr>
            <w:tcW w:w="1640" w:type="dxa"/>
            <w:vAlign w:val="bottom"/>
            <w:shd w:val="clear" w:color="auto" w:fill="BF2115"/>
          </w:tcPr>
          <w:p>
            <w:pPr>
              <w:jc w:val="center"/>
              <w:ind w:right="40"/>
              <w:spacing w:after="0" w:line="160" w:lineRule="exact"/>
              <w:rPr>
                <w:sz w:val="20"/>
                <w:szCs w:val="20"/>
                <w:color w:val="auto"/>
              </w:rPr>
            </w:pPr>
            <w:r>
              <w:rPr>
                <w:rFonts w:ascii="Arial" w:cs="Arial" w:eastAsia="Arial" w:hAnsi="Arial"/>
                <w:sz w:val="16"/>
                <w:szCs w:val="16"/>
                <w:b w:val="1"/>
                <w:bCs w:val="1"/>
                <w:color w:val="FFFFFF"/>
                <w:w w:val="99"/>
              </w:rPr>
              <w:t>Dividends or other</w:t>
            </w:r>
          </w:p>
        </w:tc>
        <w:tc>
          <w:tcPr>
            <w:tcW w:w="1360" w:type="dxa"/>
            <w:vAlign w:val="bottom"/>
            <w:shd w:val="clear" w:color="auto" w:fill="BF2115"/>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BF2115"/>
          </w:tcPr>
          <w:p>
            <w:pPr>
              <w:spacing w:after="0"/>
              <w:rPr>
                <w:sz w:val="13"/>
                <w:szCs w:val="13"/>
                <w:color w:val="auto"/>
              </w:rPr>
            </w:pP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Value of</w:t>
            </w:r>
          </w:p>
        </w:tc>
        <w:tc>
          <w:tcPr>
            <w:tcW w:w="14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7"/>
              </w:rPr>
              <w:t>Fair Value of</w:t>
            </w: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7"/>
              </w:rPr>
              <w:t>Value as of</w:t>
            </w:r>
          </w:p>
        </w:tc>
        <w:tc>
          <w:tcPr>
            <w:tcW w:w="164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Year Change in Fair</w:t>
            </w:r>
          </w:p>
        </w:tc>
        <w:tc>
          <w:tcPr>
            <w:tcW w:w="15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Prior Year of</w:t>
            </w:r>
          </w:p>
        </w:tc>
        <w:tc>
          <w:tcPr>
            <w:tcW w:w="1640" w:type="dxa"/>
            <w:vAlign w:val="bottom"/>
            <w:shd w:val="clear" w:color="auto" w:fill="BF2115"/>
          </w:tcPr>
          <w:p>
            <w:pPr>
              <w:jc w:val="center"/>
              <w:ind w:right="40"/>
              <w:spacing w:after="0" w:line="160" w:lineRule="exact"/>
              <w:rPr>
                <w:sz w:val="20"/>
                <w:szCs w:val="20"/>
                <w:color w:val="auto"/>
              </w:rPr>
            </w:pPr>
            <w:r>
              <w:rPr>
                <w:rFonts w:ascii="Arial" w:cs="Arial" w:eastAsia="Arial" w:hAnsi="Arial"/>
                <w:sz w:val="16"/>
                <w:szCs w:val="16"/>
                <w:b w:val="1"/>
                <w:bCs w:val="1"/>
                <w:color w:val="FFFFFF"/>
              </w:rPr>
              <w:t>Earnings Paid on</w:t>
            </w:r>
          </w:p>
        </w:tc>
        <w:tc>
          <w:tcPr>
            <w:tcW w:w="1360" w:type="dxa"/>
            <w:vAlign w:val="bottom"/>
            <w:shd w:val="clear" w:color="auto" w:fill="BF2115"/>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BF2115"/>
          </w:tcPr>
          <w:p>
            <w:pPr>
              <w:spacing w:after="0"/>
              <w:rPr>
                <w:sz w:val="13"/>
                <w:szCs w:val="13"/>
                <w:color w:val="auto"/>
              </w:rPr>
            </w:pP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Unvested</w:t>
            </w:r>
          </w:p>
        </w:tc>
        <w:tc>
          <w:tcPr>
            <w:tcW w:w="14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Outstanding</w:t>
            </w: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7"/>
              </w:rPr>
              <w:t>Vesting Date of</w:t>
            </w:r>
          </w:p>
        </w:tc>
        <w:tc>
          <w:tcPr>
            <w:tcW w:w="164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rPr>
              <w:t>Value of Equity</w:t>
            </w:r>
          </w:p>
        </w:tc>
        <w:tc>
          <w:tcPr>
            <w:tcW w:w="15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Equity Awards that</w:t>
            </w:r>
          </w:p>
        </w:tc>
        <w:tc>
          <w:tcPr>
            <w:tcW w:w="1640" w:type="dxa"/>
            <w:vAlign w:val="bottom"/>
            <w:shd w:val="clear" w:color="auto" w:fill="BF2115"/>
          </w:tcPr>
          <w:p>
            <w:pPr>
              <w:jc w:val="center"/>
              <w:ind w:right="40"/>
              <w:spacing w:after="0" w:line="160" w:lineRule="exact"/>
              <w:rPr>
                <w:sz w:val="20"/>
                <w:szCs w:val="20"/>
                <w:color w:val="auto"/>
              </w:rPr>
            </w:pPr>
            <w:r>
              <w:rPr>
                <w:rFonts w:ascii="Arial" w:cs="Arial" w:eastAsia="Arial" w:hAnsi="Arial"/>
                <w:sz w:val="16"/>
                <w:szCs w:val="16"/>
                <w:b w:val="1"/>
                <w:bCs w:val="1"/>
                <w:color w:val="FFFFFF"/>
                <w:w w:val="99"/>
              </w:rPr>
              <w:t>Equity Awards not</w:t>
            </w:r>
          </w:p>
        </w:tc>
        <w:tc>
          <w:tcPr>
            <w:tcW w:w="1360" w:type="dxa"/>
            <w:vAlign w:val="bottom"/>
            <w:shd w:val="clear" w:color="auto" w:fill="BF2115"/>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BF2115"/>
          </w:tcPr>
          <w:p>
            <w:pPr>
              <w:spacing w:after="0"/>
              <w:rPr>
                <w:sz w:val="13"/>
                <w:szCs w:val="13"/>
                <w:color w:val="auto"/>
              </w:rPr>
            </w:pP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rPr>
              <w:t>Equity</w:t>
            </w:r>
          </w:p>
        </w:tc>
        <w:tc>
          <w:tcPr>
            <w:tcW w:w="14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rPr>
              <w:t>Unvested Equity</w:t>
            </w: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8"/>
              </w:rPr>
              <w:t>Equity Awards</w:t>
            </w:r>
          </w:p>
        </w:tc>
        <w:tc>
          <w:tcPr>
            <w:tcW w:w="164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Awards Granted in</w:t>
            </w:r>
          </w:p>
        </w:tc>
        <w:tc>
          <w:tcPr>
            <w:tcW w:w="15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Failed to Meet</w:t>
            </w:r>
          </w:p>
        </w:tc>
        <w:tc>
          <w:tcPr>
            <w:tcW w:w="1640" w:type="dxa"/>
            <w:vAlign w:val="bottom"/>
            <w:shd w:val="clear" w:color="auto" w:fill="BF2115"/>
          </w:tcPr>
          <w:p>
            <w:pPr>
              <w:jc w:val="center"/>
              <w:ind w:right="40"/>
              <w:spacing w:after="0" w:line="160" w:lineRule="exact"/>
              <w:rPr>
                <w:sz w:val="20"/>
                <w:szCs w:val="20"/>
                <w:color w:val="auto"/>
              </w:rPr>
            </w:pPr>
            <w:r>
              <w:rPr>
                <w:rFonts w:ascii="Arial" w:cs="Arial" w:eastAsia="Arial" w:hAnsi="Arial"/>
                <w:sz w:val="16"/>
                <w:szCs w:val="16"/>
                <w:b w:val="1"/>
                <w:bCs w:val="1"/>
                <w:color w:val="FFFFFF"/>
                <w:w w:val="98"/>
              </w:rPr>
              <w:t>Otherwise</w:t>
            </w:r>
          </w:p>
        </w:tc>
        <w:tc>
          <w:tcPr>
            <w:tcW w:w="1360" w:type="dxa"/>
            <w:vAlign w:val="bottom"/>
            <w:vMerge w:val="restart"/>
            <w:shd w:val="clear" w:color="auto" w:fill="BF2115"/>
          </w:tcPr>
          <w:p>
            <w:pPr>
              <w:jc w:val="right"/>
              <w:ind w:right="120"/>
              <w:spacing w:after="0"/>
              <w:rPr>
                <w:sz w:val="20"/>
                <w:szCs w:val="20"/>
                <w:color w:val="auto"/>
              </w:rPr>
            </w:pPr>
            <w:r>
              <w:rPr>
                <w:rFonts w:ascii="Arial" w:cs="Arial" w:eastAsia="Arial" w:hAnsi="Arial"/>
                <w:sz w:val="16"/>
                <w:szCs w:val="16"/>
                <w:b w:val="1"/>
                <w:bCs w:val="1"/>
                <w:color w:val="FFFFFF"/>
              </w:rPr>
              <w:t>Average Total</w:t>
            </w:r>
          </w:p>
        </w:tc>
        <w:tc>
          <w:tcPr>
            <w:tcW w:w="0" w:type="dxa"/>
            <w:vAlign w:val="bottom"/>
          </w:tcPr>
          <w:p>
            <w:pPr>
              <w:spacing w:after="0"/>
              <w:rPr>
                <w:sz w:val="1"/>
                <w:szCs w:val="1"/>
                <w:color w:val="auto"/>
              </w:rPr>
            </w:pPr>
          </w:p>
        </w:tc>
      </w:tr>
      <w:tr>
        <w:trPr>
          <w:trHeight w:val="160"/>
        </w:trPr>
        <w:tc>
          <w:tcPr>
            <w:tcW w:w="760" w:type="dxa"/>
            <w:vAlign w:val="bottom"/>
            <w:shd w:val="clear" w:color="auto" w:fill="BF2115"/>
          </w:tcPr>
          <w:p>
            <w:pPr>
              <w:spacing w:after="0"/>
              <w:rPr>
                <w:sz w:val="13"/>
                <w:szCs w:val="13"/>
                <w:color w:val="auto"/>
              </w:rPr>
            </w:pP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rPr>
              <w:t>Awards</w:t>
            </w:r>
          </w:p>
        </w:tc>
        <w:tc>
          <w:tcPr>
            <w:tcW w:w="14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8"/>
              </w:rPr>
              <w:t>Awards Granted</w:t>
            </w: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Granted and</w:t>
            </w:r>
          </w:p>
        </w:tc>
        <w:tc>
          <w:tcPr>
            <w:tcW w:w="164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8"/>
              </w:rPr>
              <w:t>Prior Years that</w:t>
            </w:r>
          </w:p>
        </w:tc>
        <w:tc>
          <w:tcPr>
            <w:tcW w:w="15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rPr>
              <w:t>Vesting Conditions</w:t>
            </w:r>
          </w:p>
        </w:tc>
        <w:tc>
          <w:tcPr>
            <w:tcW w:w="1640" w:type="dxa"/>
            <w:vAlign w:val="bottom"/>
            <w:shd w:val="clear" w:color="auto" w:fill="BF2115"/>
          </w:tcPr>
          <w:p>
            <w:pPr>
              <w:jc w:val="center"/>
              <w:ind w:right="40"/>
              <w:spacing w:after="0" w:line="160" w:lineRule="exact"/>
              <w:rPr>
                <w:sz w:val="20"/>
                <w:szCs w:val="20"/>
                <w:color w:val="auto"/>
              </w:rPr>
            </w:pPr>
            <w:r>
              <w:rPr>
                <w:rFonts w:ascii="Arial" w:cs="Arial" w:eastAsia="Arial" w:hAnsi="Arial"/>
                <w:sz w:val="16"/>
                <w:szCs w:val="16"/>
                <w:b w:val="1"/>
                <w:bCs w:val="1"/>
                <w:color w:val="FFFFFF"/>
                <w:w w:val="99"/>
              </w:rPr>
              <w:t>Reflected in Fair</w:t>
            </w:r>
          </w:p>
        </w:tc>
        <w:tc>
          <w:tcPr>
            <w:tcW w:w="1360" w:type="dxa"/>
            <w:vAlign w:val="bottom"/>
            <w:vMerge w:val="continue"/>
            <w:shd w:val="clear" w:color="auto" w:fill="BF2115"/>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vMerge w:val="restart"/>
            <w:shd w:val="clear" w:color="auto" w:fill="BF2115"/>
          </w:tcPr>
          <w:p>
            <w:pPr>
              <w:jc w:val="right"/>
              <w:ind w:right="80"/>
              <w:spacing w:after="0"/>
              <w:rPr>
                <w:sz w:val="20"/>
                <w:szCs w:val="20"/>
                <w:color w:val="auto"/>
              </w:rPr>
            </w:pPr>
            <w:r>
              <w:rPr>
                <w:rFonts w:ascii="Arial" w:cs="Arial" w:eastAsia="Arial" w:hAnsi="Arial"/>
                <w:sz w:val="16"/>
                <w:szCs w:val="16"/>
                <w:b w:val="1"/>
                <w:bCs w:val="1"/>
                <w:color w:val="FFFFFF"/>
              </w:rPr>
              <w:t>Year</w:t>
            </w: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Granted in</w:t>
            </w:r>
          </w:p>
        </w:tc>
        <w:tc>
          <w:tcPr>
            <w:tcW w:w="14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7"/>
              </w:rPr>
              <w:t>in Prior Years</w:t>
            </w: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8"/>
              </w:rPr>
              <w:t>Vested in the</w:t>
            </w:r>
          </w:p>
        </w:tc>
        <w:tc>
          <w:tcPr>
            <w:tcW w:w="164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8"/>
              </w:rPr>
              <w:t>Vested in the Year</w:t>
            </w:r>
          </w:p>
        </w:tc>
        <w:tc>
          <w:tcPr>
            <w:tcW w:w="15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7"/>
              </w:rPr>
              <w:t>in the Year</w:t>
            </w:r>
          </w:p>
        </w:tc>
        <w:tc>
          <w:tcPr>
            <w:tcW w:w="1640" w:type="dxa"/>
            <w:vAlign w:val="bottom"/>
            <w:shd w:val="clear" w:color="auto" w:fill="BF2115"/>
          </w:tcPr>
          <w:p>
            <w:pPr>
              <w:jc w:val="center"/>
              <w:ind w:right="40"/>
              <w:spacing w:after="0" w:line="160" w:lineRule="exact"/>
              <w:rPr>
                <w:sz w:val="20"/>
                <w:szCs w:val="20"/>
                <w:color w:val="auto"/>
              </w:rPr>
            </w:pPr>
            <w:r>
              <w:rPr>
                <w:rFonts w:ascii="Arial" w:cs="Arial" w:eastAsia="Arial" w:hAnsi="Arial"/>
                <w:sz w:val="16"/>
                <w:szCs w:val="16"/>
                <w:b w:val="1"/>
                <w:bCs w:val="1"/>
                <w:color w:val="FFFFFF"/>
                <w:w w:val="98"/>
              </w:rPr>
              <w:t>Value or Total</w:t>
            </w:r>
          </w:p>
        </w:tc>
        <w:tc>
          <w:tcPr>
            <w:tcW w:w="1360" w:type="dxa"/>
            <w:vAlign w:val="bottom"/>
            <w:shd w:val="clear" w:color="auto" w:fill="BF2115"/>
          </w:tcPr>
          <w:p>
            <w:pPr>
              <w:jc w:val="right"/>
              <w:ind w:right="140"/>
              <w:spacing w:after="0" w:line="160" w:lineRule="exact"/>
              <w:rPr>
                <w:sz w:val="20"/>
                <w:szCs w:val="20"/>
                <w:color w:val="auto"/>
              </w:rPr>
            </w:pPr>
            <w:r>
              <w:rPr>
                <w:rFonts w:ascii="Arial" w:cs="Arial" w:eastAsia="Arial" w:hAnsi="Arial"/>
                <w:sz w:val="16"/>
                <w:szCs w:val="16"/>
                <w:b w:val="1"/>
                <w:bCs w:val="1"/>
                <w:color w:val="FFFFFF"/>
              </w:rPr>
              <w:t>Equity Award</w:t>
            </w:r>
          </w:p>
        </w:tc>
        <w:tc>
          <w:tcPr>
            <w:tcW w:w="0" w:type="dxa"/>
            <w:vAlign w:val="bottom"/>
          </w:tcPr>
          <w:p>
            <w:pPr>
              <w:spacing w:after="0"/>
              <w:rPr>
                <w:sz w:val="1"/>
                <w:szCs w:val="1"/>
                <w:color w:val="auto"/>
              </w:rPr>
            </w:pPr>
          </w:p>
        </w:tc>
      </w:tr>
      <w:tr>
        <w:trPr>
          <w:trHeight w:val="213"/>
        </w:trPr>
        <w:tc>
          <w:tcPr>
            <w:tcW w:w="760" w:type="dxa"/>
            <w:vAlign w:val="bottom"/>
            <w:vMerge w:val="continue"/>
            <w:shd w:val="clear" w:color="auto" w:fill="BF2115"/>
          </w:tcPr>
          <w:p>
            <w:pPr>
              <w:spacing w:after="0"/>
              <w:rPr>
                <w:sz w:val="18"/>
                <w:szCs w:val="18"/>
                <w:color w:val="auto"/>
              </w:rPr>
            </w:pPr>
          </w:p>
        </w:tc>
        <w:tc>
          <w:tcPr>
            <w:tcW w:w="12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the Year ($)</w:t>
            </w:r>
          </w:p>
        </w:tc>
        <w:tc>
          <w:tcPr>
            <w:tcW w:w="14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1"/>
              </w:rPr>
              <w:t>($)</w:t>
            </w:r>
          </w:p>
        </w:tc>
        <w:tc>
          <w:tcPr>
            <w:tcW w:w="12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Year ($)</w:t>
            </w:r>
          </w:p>
        </w:tc>
        <w:tc>
          <w:tcPr>
            <w:tcW w:w="16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15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3000" w:type="dxa"/>
            <w:vAlign w:val="bottom"/>
            <w:gridSpan w:val="2"/>
            <w:shd w:val="clear" w:color="auto" w:fill="BF2115"/>
          </w:tcPr>
          <w:p>
            <w:pPr>
              <w:jc w:val="right"/>
              <w:ind w:right="40"/>
              <w:spacing w:after="0"/>
              <w:rPr>
                <w:sz w:val="20"/>
                <w:szCs w:val="20"/>
                <w:color w:val="auto"/>
              </w:rPr>
            </w:pPr>
            <w:r>
              <w:rPr>
                <w:rFonts w:ascii="Arial" w:cs="Arial" w:eastAsia="Arial" w:hAnsi="Arial"/>
                <w:sz w:val="16"/>
                <w:szCs w:val="16"/>
                <w:b w:val="1"/>
                <w:bCs w:val="1"/>
                <w:color w:val="FFFFFF"/>
              </w:rPr>
              <w:t>Compensation ($)   Adjustments ($)</w:t>
            </w:r>
          </w:p>
        </w:tc>
        <w:tc>
          <w:tcPr>
            <w:tcW w:w="0" w:type="dxa"/>
            <w:vAlign w:val="bottom"/>
          </w:tcPr>
          <w:p>
            <w:pPr>
              <w:spacing w:after="0"/>
              <w:rPr>
                <w:sz w:val="1"/>
                <w:szCs w:val="1"/>
                <w:color w:val="auto"/>
              </w:rPr>
            </w:pPr>
          </w:p>
        </w:tc>
      </w:tr>
      <w:tr>
        <w:trPr>
          <w:trHeight w:val="220"/>
        </w:trPr>
        <w:tc>
          <w:tcPr>
            <w:tcW w:w="760" w:type="dxa"/>
            <w:vAlign w:val="bottom"/>
            <w:tcBorders>
              <w:bottom w:val="single" w:sz="8" w:color="DBDBDB"/>
            </w:tcBorders>
            <w:shd w:val="clear" w:color="auto" w:fill="DBDBDB"/>
          </w:tcPr>
          <w:p>
            <w:pPr>
              <w:jc w:val="right"/>
              <w:ind w:right="300"/>
              <w:spacing w:after="0"/>
              <w:rPr>
                <w:sz w:val="20"/>
                <w:szCs w:val="20"/>
                <w:color w:val="auto"/>
              </w:rPr>
            </w:pPr>
            <w:r>
              <w:rPr>
                <w:rFonts w:ascii="Arial" w:cs="Arial" w:eastAsia="Arial" w:hAnsi="Arial"/>
                <w:sz w:val="16"/>
                <w:szCs w:val="16"/>
                <w:color w:val="auto"/>
              </w:rPr>
              <w:t>2025</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1,867,596</w:t>
            </w:r>
          </w:p>
        </w:tc>
        <w:tc>
          <w:tcPr>
            <w:tcW w:w="1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(210,831)</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7,797</w:t>
            </w:r>
          </w:p>
        </w:tc>
        <w:tc>
          <w:tcPr>
            <w:tcW w:w="15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40" w:type="dxa"/>
            <w:vAlign w:val="bottom"/>
            <w:tcBorders>
              <w:bottom w:val="single" w:sz="8" w:color="DBDBDB"/>
            </w:tcBorders>
            <w:shd w:val="clear" w:color="auto" w:fill="DBDBDB"/>
          </w:tcPr>
          <w:p>
            <w:pPr>
              <w:jc w:val="right"/>
              <w:ind w:right="40"/>
              <w:spacing w:after="0"/>
              <w:rPr>
                <w:sz w:val="20"/>
                <w:szCs w:val="20"/>
                <w:color w:val="auto"/>
              </w:rPr>
            </w:pPr>
            <w:r>
              <w:rPr>
                <w:rFonts w:ascii="Arial" w:cs="Arial" w:eastAsia="Arial" w:hAnsi="Arial"/>
                <w:sz w:val="16"/>
                <w:szCs w:val="16"/>
                <w:color w:val="auto"/>
              </w:rPr>
              <w:t>4,081</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1,668,643</w:t>
            </w:r>
          </w:p>
        </w:tc>
        <w:tc>
          <w:tcPr>
            <w:tcW w:w="0" w:type="dxa"/>
            <w:vAlign w:val="bottom"/>
          </w:tcPr>
          <w:p>
            <w:pPr>
              <w:spacing w:after="0"/>
              <w:rPr>
                <w:sz w:val="1"/>
                <w:szCs w:val="1"/>
                <w:color w:val="auto"/>
              </w:rPr>
            </w:pPr>
          </w:p>
        </w:tc>
      </w:tr>
      <w:tr>
        <w:trPr>
          <w:trHeight w:val="211"/>
        </w:trPr>
        <w:tc>
          <w:tcPr>
            <w:tcW w:w="760" w:type="dxa"/>
            <w:vAlign w:val="bottom"/>
          </w:tcPr>
          <w:p>
            <w:pPr>
              <w:jc w:val="right"/>
              <w:ind w:right="300"/>
              <w:spacing w:after="0"/>
              <w:rPr>
                <w:sz w:val="20"/>
                <w:szCs w:val="20"/>
                <w:color w:val="auto"/>
              </w:rPr>
            </w:pPr>
            <w:r>
              <w:rPr>
                <w:rFonts w:ascii="Arial" w:cs="Arial" w:eastAsia="Arial" w:hAnsi="Arial"/>
                <w:sz w:val="16"/>
                <w:szCs w:val="16"/>
                <w:color w:val="auto"/>
              </w:rPr>
              <w:t>2024</w:t>
            </w:r>
          </w:p>
        </w:tc>
        <w:tc>
          <w:tcPr>
            <w:tcW w:w="1260" w:type="dxa"/>
            <w:vAlign w:val="bottom"/>
          </w:tcPr>
          <w:p>
            <w:pPr>
              <w:jc w:val="right"/>
              <w:spacing w:after="0"/>
              <w:rPr>
                <w:sz w:val="20"/>
                <w:szCs w:val="20"/>
                <w:color w:val="auto"/>
              </w:rPr>
            </w:pPr>
            <w:r>
              <w:rPr>
                <w:rFonts w:ascii="Arial" w:cs="Arial" w:eastAsia="Arial" w:hAnsi="Arial"/>
                <w:sz w:val="16"/>
                <w:szCs w:val="16"/>
                <w:color w:val="auto"/>
              </w:rPr>
              <w:t>426,285</w:t>
            </w:r>
          </w:p>
        </w:tc>
        <w:tc>
          <w:tcPr>
            <w:tcW w:w="1420" w:type="dxa"/>
            <w:vAlign w:val="bottom"/>
          </w:tcPr>
          <w:p>
            <w:pPr>
              <w:jc w:val="right"/>
              <w:spacing w:after="0"/>
              <w:rPr>
                <w:sz w:val="20"/>
                <w:szCs w:val="20"/>
                <w:color w:val="auto"/>
              </w:rPr>
            </w:pPr>
            <w:r>
              <w:rPr>
                <w:rFonts w:ascii="Arial" w:cs="Arial" w:eastAsia="Arial" w:hAnsi="Arial"/>
                <w:sz w:val="16"/>
                <w:szCs w:val="16"/>
                <w:color w:val="auto"/>
              </w:rPr>
              <w:t>(2,349)</w:t>
            </w:r>
          </w:p>
        </w:tc>
        <w:tc>
          <w:tcPr>
            <w:tcW w:w="1260" w:type="dxa"/>
            <w:vAlign w:val="bottom"/>
          </w:tcPr>
          <w:p>
            <w:pPr>
              <w:jc w:val="right"/>
              <w:spacing w:after="0"/>
              <w:rPr>
                <w:sz w:val="20"/>
                <w:szCs w:val="20"/>
                <w:color w:val="auto"/>
              </w:rPr>
            </w:pPr>
            <w:r>
              <w:rPr>
                <w:rFonts w:ascii="Arial" w:cs="Arial" w:eastAsia="Arial" w:hAnsi="Arial"/>
                <w:sz w:val="16"/>
                <w:szCs w:val="16"/>
                <w:color w:val="auto"/>
              </w:rPr>
              <w:t>0</w:t>
            </w:r>
          </w:p>
        </w:tc>
        <w:tc>
          <w:tcPr>
            <w:tcW w:w="1640" w:type="dxa"/>
            <w:vAlign w:val="bottom"/>
          </w:tcPr>
          <w:p>
            <w:pPr>
              <w:jc w:val="right"/>
              <w:spacing w:after="0"/>
              <w:rPr>
                <w:sz w:val="20"/>
                <w:szCs w:val="20"/>
                <w:color w:val="auto"/>
              </w:rPr>
            </w:pPr>
            <w:r>
              <w:rPr>
                <w:rFonts w:ascii="Arial" w:cs="Arial" w:eastAsia="Arial" w:hAnsi="Arial"/>
                <w:sz w:val="16"/>
                <w:szCs w:val="16"/>
                <w:color w:val="auto"/>
              </w:rPr>
              <w:t>22,961</w:t>
            </w:r>
          </w:p>
        </w:tc>
        <w:tc>
          <w:tcPr>
            <w:tcW w:w="1520" w:type="dxa"/>
            <w:vAlign w:val="bottom"/>
          </w:tcPr>
          <w:p>
            <w:pPr>
              <w:jc w:val="right"/>
              <w:spacing w:after="0"/>
              <w:rPr>
                <w:sz w:val="20"/>
                <w:szCs w:val="20"/>
                <w:color w:val="auto"/>
              </w:rPr>
            </w:pPr>
            <w:r>
              <w:rPr>
                <w:rFonts w:ascii="Arial" w:cs="Arial" w:eastAsia="Arial" w:hAnsi="Arial"/>
                <w:sz w:val="16"/>
                <w:szCs w:val="16"/>
                <w:color w:val="auto"/>
              </w:rPr>
              <w:t>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10,900</w:t>
            </w:r>
          </w:p>
        </w:tc>
        <w:tc>
          <w:tcPr>
            <w:tcW w:w="1360" w:type="dxa"/>
            <w:vAlign w:val="bottom"/>
          </w:tcPr>
          <w:p>
            <w:pPr>
              <w:jc w:val="right"/>
              <w:spacing w:after="0"/>
              <w:rPr>
                <w:sz w:val="20"/>
                <w:szCs w:val="20"/>
                <w:color w:val="auto"/>
              </w:rPr>
            </w:pPr>
            <w:r>
              <w:rPr>
                <w:rFonts w:ascii="Arial" w:cs="Arial" w:eastAsia="Arial" w:hAnsi="Arial"/>
                <w:sz w:val="16"/>
                <w:szCs w:val="16"/>
                <w:color w:val="auto"/>
              </w:rPr>
              <w:t>457,797</w:t>
            </w: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60" w:type="dxa"/>
            <w:vAlign w:val="bottom"/>
            <w:tcBorders>
              <w:bottom w:val="single" w:sz="8" w:color="DBDBDB"/>
            </w:tcBorders>
            <w:shd w:val="clear" w:color="auto" w:fill="DBDBDB"/>
          </w:tcPr>
          <w:p>
            <w:pPr>
              <w:jc w:val="right"/>
              <w:ind w:right="300"/>
              <w:spacing w:after="0"/>
              <w:rPr>
                <w:sz w:val="20"/>
                <w:szCs w:val="20"/>
                <w:color w:val="auto"/>
              </w:rPr>
            </w:pPr>
            <w:r>
              <w:rPr>
                <w:rFonts w:ascii="Arial" w:cs="Arial" w:eastAsia="Arial" w:hAnsi="Arial"/>
                <w:sz w:val="16"/>
                <w:szCs w:val="16"/>
                <w:color w:val="auto"/>
              </w:rPr>
              <w:t>2023</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466,643</w:t>
            </w:r>
          </w:p>
        </w:tc>
        <w:tc>
          <w:tcPr>
            <w:tcW w:w="1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(327,514)</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(120,273)</w:t>
            </w:r>
          </w:p>
        </w:tc>
        <w:tc>
          <w:tcPr>
            <w:tcW w:w="15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(144,551)</w:t>
            </w:r>
          </w:p>
        </w:tc>
        <w:tc>
          <w:tcPr>
            <w:tcW w:w="1640" w:type="dxa"/>
            <w:vAlign w:val="bottom"/>
            <w:tcBorders>
              <w:bottom w:val="single" w:sz="8" w:color="DBDBDB"/>
            </w:tcBorders>
            <w:shd w:val="clear" w:color="auto" w:fill="DBDBDB"/>
          </w:tcPr>
          <w:p>
            <w:pPr>
              <w:jc w:val="right"/>
              <w:ind w:right="40"/>
              <w:spacing w:after="0"/>
              <w:rPr>
                <w:sz w:val="20"/>
                <w:szCs w:val="20"/>
                <w:color w:val="auto"/>
              </w:rPr>
            </w:pPr>
            <w:r>
              <w:rPr>
                <w:rFonts w:ascii="Arial" w:cs="Arial" w:eastAsia="Arial" w:hAnsi="Arial"/>
                <w:sz w:val="16"/>
                <w:szCs w:val="16"/>
                <w:color w:val="auto"/>
              </w:rPr>
              <w:t>2,716</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(122,980)</w:t>
            </w:r>
          </w:p>
        </w:tc>
        <w:tc>
          <w:tcPr>
            <w:tcW w:w="0" w:type="dxa"/>
            <w:vAlign w:val="bottom"/>
          </w:tcPr>
          <w:p>
            <w:pPr>
              <w:spacing w:after="0"/>
              <w:rPr>
                <w:sz w:val="1"/>
                <w:szCs w:val="1"/>
                <w:color w:val="auto"/>
              </w:rPr>
            </w:pPr>
          </w:p>
        </w:tc>
      </w:tr>
      <w:tr>
        <w:trPr>
          <w:trHeight w:val="211"/>
        </w:trPr>
        <w:tc>
          <w:tcPr>
            <w:tcW w:w="760" w:type="dxa"/>
            <w:vAlign w:val="bottom"/>
          </w:tcPr>
          <w:p>
            <w:pPr>
              <w:jc w:val="right"/>
              <w:ind w:right="300"/>
              <w:spacing w:after="0"/>
              <w:rPr>
                <w:sz w:val="20"/>
                <w:szCs w:val="20"/>
                <w:color w:val="auto"/>
              </w:rPr>
            </w:pPr>
            <w:r>
              <w:rPr>
                <w:rFonts w:ascii="Arial" w:cs="Arial" w:eastAsia="Arial" w:hAnsi="Arial"/>
                <w:sz w:val="16"/>
                <w:szCs w:val="16"/>
                <w:color w:val="auto"/>
              </w:rPr>
              <w:t>2022</w:t>
            </w:r>
          </w:p>
        </w:tc>
        <w:tc>
          <w:tcPr>
            <w:tcW w:w="1260" w:type="dxa"/>
            <w:vAlign w:val="bottom"/>
          </w:tcPr>
          <w:p>
            <w:pPr>
              <w:jc w:val="right"/>
              <w:spacing w:after="0"/>
              <w:rPr>
                <w:sz w:val="20"/>
                <w:szCs w:val="20"/>
                <w:color w:val="auto"/>
              </w:rPr>
            </w:pPr>
            <w:r>
              <w:rPr>
                <w:rFonts w:ascii="Arial" w:cs="Arial" w:eastAsia="Arial" w:hAnsi="Arial"/>
                <w:sz w:val="16"/>
                <w:szCs w:val="16"/>
                <w:color w:val="auto"/>
              </w:rPr>
              <w:t>1,533,967</w:t>
            </w:r>
          </w:p>
        </w:tc>
        <w:tc>
          <w:tcPr>
            <w:tcW w:w="1420" w:type="dxa"/>
            <w:vAlign w:val="bottom"/>
          </w:tcPr>
          <w:p>
            <w:pPr>
              <w:jc w:val="right"/>
              <w:spacing w:after="0"/>
              <w:rPr>
                <w:sz w:val="20"/>
                <w:szCs w:val="20"/>
                <w:color w:val="auto"/>
              </w:rPr>
            </w:pPr>
            <w:r>
              <w:rPr>
                <w:rFonts w:ascii="Arial" w:cs="Arial" w:eastAsia="Arial" w:hAnsi="Arial"/>
                <w:sz w:val="16"/>
                <w:szCs w:val="16"/>
                <w:color w:val="auto"/>
              </w:rPr>
              <w:t>329,900</w:t>
            </w:r>
          </w:p>
        </w:tc>
        <w:tc>
          <w:tcPr>
            <w:tcW w:w="1260" w:type="dxa"/>
            <w:vAlign w:val="bottom"/>
          </w:tcPr>
          <w:p>
            <w:pPr>
              <w:jc w:val="right"/>
              <w:spacing w:after="0"/>
              <w:rPr>
                <w:sz w:val="20"/>
                <w:szCs w:val="20"/>
                <w:color w:val="auto"/>
              </w:rPr>
            </w:pPr>
            <w:r>
              <w:rPr>
                <w:rFonts w:ascii="Arial" w:cs="Arial" w:eastAsia="Arial" w:hAnsi="Arial"/>
                <w:sz w:val="16"/>
                <w:szCs w:val="16"/>
                <w:color w:val="auto"/>
              </w:rPr>
              <w:t>0</w:t>
            </w:r>
          </w:p>
        </w:tc>
        <w:tc>
          <w:tcPr>
            <w:tcW w:w="1640" w:type="dxa"/>
            <w:vAlign w:val="bottom"/>
          </w:tcPr>
          <w:p>
            <w:pPr>
              <w:jc w:val="right"/>
              <w:spacing w:after="0"/>
              <w:rPr>
                <w:sz w:val="20"/>
                <w:szCs w:val="20"/>
                <w:color w:val="auto"/>
              </w:rPr>
            </w:pPr>
            <w:r>
              <w:rPr>
                <w:rFonts w:ascii="Arial" w:cs="Arial" w:eastAsia="Arial" w:hAnsi="Arial"/>
                <w:sz w:val="16"/>
                <w:szCs w:val="16"/>
                <w:color w:val="auto"/>
              </w:rPr>
              <w:t>(38,169)</w:t>
            </w:r>
          </w:p>
        </w:tc>
        <w:tc>
          <w:tcPr>
            <w:tcW w:w="1520" w:type="dxa"/>
            <w:vAlign w:val="bottom"/>
          </w:tcPr>
          <w:p>
            <w:pPr>
              <w:jc w:val="right"/>
              <w:spacing w:after="0"/>
              <w:rPr>
                <w:sz w:val="20"/>
                <w:szCs w:val="20"/>
                <w:color w:val="auto"/>
              </w:rPr>
            </w:pPr>
            <w:r>
              <w:rPr>
                <w:rFonts w:ascii="Arial" w:cs="Arial" w:eastAsia="Arial" w:hAnsi="Arial"/>
                <w:sz w:val="16"/>
                <w:szCs w:val="16"/>
                <w:color w:val="auto"/>
              </w:rPr>
              <w:t>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5,885</w:t>
            </w:r>
          </w:p>
        </w:tc>
        <w:tc>
          <w:tcPr>
            <w:tcW w:w="1360" w:type="dxa"/>
            <w:vAlign w:val="bottom"/>
          </w:tcPr>
          <w:p>
            <w:pPr>
              <w:jc w:val="right"/>
              <w:spacing w:after="0"/>
              <w:rPr>
                <w:sz w:val="20"/>
                <w:szCs w:val="20"/>
                <w:color w:val="auto"/>
              </w:rPr>
            </w:pPr>
            <w:r>
              <w:rPr>
                <w:rFonts w:ascii="Arial" w:cs="Arial" w:eastAsia="Arial" w:hAnsi="Arial"/>
                <w:sz w:val="16"/>
                <w:szCs w:val="16"/>
                <w:color w:val="auto"/>
              </w:rPr>
              <w:t>1,831,583</w:t>
            </w: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760" w:type="dxa"/>
            <w:vAlign w:val="bottom"/>
            <w:shd w:val="clear" w:color="auto" w:fill="DBDBDB"/>
          </w:tcPr>
          <w:p>
            <w:pPr>
              <w:jc w:val="right"/>
              <w:ind w:right="300"/>
              <w:spacing w:after="0"/>
              <w:rPr>
                <w:sz w:val="20"/>
                <w:szCs w:val="20"/>
                <w:color w:val="auto"/>
              </w:rPr>
            </w:pPr>
            <w:r>
              <w:rPr>
                <w:rFonts w:ascii="Arial" w:cs="Arial" w:eastAsia="Arial" w:hAnsi="Arial"/>
                <w:sz w:val="16"/>
                <w:szCs w:val="16"/>
                <w:color w:val="auto"/>
              </w:rPr>
              <w:t>2021</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1,369,547</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434,551</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304,589</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40" w:type="dxa"/>
            <w:vAlign w:val="bottom"/>
            <w:shd w:val="clear" w:color="auto" w:fill="DBDBDB"/>
          </w:tcPr>
          <w:p>
            <w:pPr>
              <w:jc w:val="right"/>
              <w:ind w:right="40"/>
              <w:spacing w:after="0"/>
              <w:rPr>
                <w:sz w:val="20"/>
                <w:szCs w:val="20"/>
                <w:color w:val="auto"/>
              </w:rPr>
            </w:pPr>
            <w:r>
              <w:rPr>
                <w:rFonts w:ascii="Arial" w:cs="Arial" w:eastAsia="Arial" w:hAnsi="Arial"/>
                <w:sz w:val="16"/>
                <w:szCs w:val="16"/>
                <w:color w:val="auto"/>
              </w:rPr>
              <w:t>1,407</w:t>
            </w: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2,110,094</w:t>
            </w:r>
          </w:p>
        </w:tc>
        <w:tc>
          <w:tcPr>
            <w:tcW w:w="0" w:type="dxa"/>
            <w:vAlign w:val="bottom"/>
          </w:tcPr>
          <w:p>
            <w:pPr>
              <w:spacing w:after="0"/>
              <w:rPr>
                <w:sz w:val="1"/>
                <w:szCs w:val="1"/>
                <w:color w:val="auto"/>
              </w:rPr>
            </w:pPr>
          </w:p>
        </w:tc>
      </w:tr>
      <w:tr>
        <w:trPr>
          <w:trHeight w:val="29"/>
        </w:trPr>
        <w:tc>
          <w:tcPr>
            <w:tcW w:w="760" w:type="dxa"/>
            <w:vAlign w:val="bottom"/>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1420" w:type="dxa"/>
            <w:vAlign w:val="bottom"/>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1640" w:type="dxa"/>
            <w:vAlign w:val="bottom"/>
            <w:shd w:val="clear" w:color="auto" w:fill="DBDBDB"/>
          </w:tcPr>
          <w:p>
            <w:pPr>
              <w:spacing w:after="0"/>
              <w:rPr>
                <w:sz w:val="2"/>
                <w:szCs w:val="2"/>
                <w:color w:val="auto"/>
              </w:rPr>
            </w:pPr>
          </w:p>
        </w:tc>
        <w:tc>
          <w:tcPr>
            <w:tcW w:w="1520" w:type="dxa"/>
            <w:vAlign w:val="bottom"/>
            <w:shd w:val="clear" w:color="auto" w:fill="DBDBDB"/>
          </w:tcPr>
          <w:p>
            <w:pPr>
              <w:spacing w:after="0"/>
              <w:rPr>
                <w:sz w:val="2"/>
                <w:szCs w:val="2"/>
                <w:color w:val="auto"/>
              </w:rPr>
            </w:pPr>
          </w:p>
        </w:tc>
        <w:tc>
          <w:tcPr>
            <w:tcW w:w="1640" w:type="dxa"/>
            <w:vAlign w:val="bottom"/>
            <w:shd w:val="clear" w:color="auto" w:fill="DBDBDB"/>
          </w:tcPr>
          <w:p>
            <w:pPr>
              <w:spacing w:after="0"/>
              <w:rPr>
                <w:sz w:val="2"/>
                <w:szCs w:val="2"/>
                <w:color w:val="auto"/>
              </w:rPr>
            </w:pPr>
          </w:p>
        </w:tc>
        <w:tc>
          <w:tcPr>
            <w:tcW w:w="136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 the table above, the equity values are computed in accordance with the methodologies used for financial reporting purposes, reflecting updated economic assumptions as of the valuation dates.</w:t>
      </w:r>
    </w:p>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color w:val="auto"/>
        </w:rPr>
        <w:t xml:space="preserve">Company-Selected Measure and Other Financial Performance Measures. </w:t>
      </w:r>
      <w:r>
        <w:rPr>
          <w:rFonts w:ascii="Arial" w:cs="Arial" w:eastAsia="Arial" w:hAnsi="Arial"/>
          <w:sz w:val="18"/>
          <w:szCs w:val="18"/>
          <w:color w:val="auto"/>
        </w:rPr>
        <w:t>The following are the most important financial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measures used to link NEO CAP to company performance for the most recently completed fiscal year.</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2829560" cy="152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829560" cy="15240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diluted EPS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 and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2829560" cy="152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829560" cy="152400"/>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Working capital as a percent of sales</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plus after-tax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2829560" cy="152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829560" cy="152400"/>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Return on invested capital</w:t>
      </w:r>
    </w:p>
    <w:p>
      <w:pPr>
        <w:spacing w:after="0" w:line="35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Relationship of Compensation Actually Paid and Performance Measures. </w:t>
      </w:r>
      <w:r>
        <w:rPr>
          <w:rFonts w:ascii="Arial" w:cs="Arial" w:eastAsia="Arial" w:hAnsi="Arial"/>
          <w:sz w:val="18"/>
          <w:szCs w:val="18"/>
          <w:color w:val="auto"/>
        </w:rPr>
        <w:t>The following charts describe the relationship of CAP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measures listed in the PvP Table above. Generally, CAP has low correlation with the financial measures for the years shown in the charts below. We place significant emphasis on equity compensation and at least two-thirds of our executive compensation is tied to TTC performance and the market value of our common stock. Due to the sensitivity of CAP to stock price changes, the timing of the grants and the changes in stock price thereafter significantly influence the Compensation Actually Paid each year, as determined under Item 402(v)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color w:val="auto"/>
        </w:rPr>
        <w:t>CAP vs. TTC 3-Year Cumulative TSR vs. Peer 3-Year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5354955" cy="30499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354955" cy="3049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 vs.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5439410" cy="33553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439410" cy="3355340"/>
                    </a:xfrm>
                    <a:prstGeom prst="rect">
                      <a:avLst/>
                    </a:prstGeom>
                    <a:noFill/>
                  </pic:spPr>
                </pic:pic>
              </a:graphicData>
            </a:graphic>
          </wp:anchor>
        </w:drawing>
      </w:r>
    </w:p>
    <w:p>
      <w:pPr>
        <w:sectPr>
          <w:pgSz w:w="11900" w:h="16838" w:orient="portrait"/>
          <w:cols w:equalWidth="0" w:num="1">
            <w:col w:w="10139"/>
          </w:cols>
          <w:pgMar w:left="320" w:top="10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00"/>
        <w:spacing w:after="0"/>
        <w:rPr>
          <w:sz w:val="20"/>
          <w:szCs w:val="20"/>
          <w:color w:val="auto"/>
        </w:rPr>
      </w:pPr>
      <w:r>
        <w:rPr>
          <w:rFonts w:ascii="Arial" w:cs="Arial" w:eastAsia="Arial" w:hAnsi="Arial"/>
          <w:sz w:val="21"/>
          <w:szCs w:val="2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095" w:right="1440"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CAP vs. Adjusted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5507355" cy="3321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507355" cy="3321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4399"/>
        <w:spacing w:after="0"/>
        <w:rPr>
          <w:sz w:val="20"/>
          <w:szCs w:val="20"/>
          <w:color w:val="auto"/>
        </w:rPr>
      </w:pPr>
      <w:r>
        <w:rPr>
          <w:rFonts w:ascii="Arial" w:cs="Arial" w:eastAsia="Arial" w:hAnsi="Arial"/>
          <w:sz w:val="21"/>
          <w:szCs w:val="2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095" w:right="1440" w:bottom="1440" w:gutter="0" w:footer="0" w:header="0"/>
        </w:sectPr>
      </w:pPr>
    </w:p>
    <w:bookmarkStart w:id="74" w:name="page75"/>
    <w:bookmarkEnd w:id="74"/>
    <w:p>
      <w:pPr>
        <w:spacing w:after="0"/>
        <w:rPr>
          <w:sz w:val="20"/>
          <w:szCs w:val="20"/>
          <w:color w:val="auto"/>
        </w:rPr>
      </w:pPr>
      <w:r>
        <w:rPr>
          <w:rFonts w:ascii="Arial" w:cs="Arial" w:eastAsia="Arial" w:hAnsi="Arial"/>
          <w:sz w:val="20"/>
          <w:szCs w:val="20"/>
          <w:b w:val="1"/>
          <w:bCs w:val="1"/>
          <w:color w:val="C00000"/>
        </w:rPr>
        <w:t>Potential Payments Upon Termination or Change In Control</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Overview. </w:t>
      </w:r>
      <w:r>
        <w:rPr>
          <w:rFonts w:ascii="Arial" w:cs="Arial" w:eastAsia="Arial" w:hAnsi="Arial"/>
          <w:sz w:val="17"/>
          <w:szCs w:val="17"/>
          <w:color w:val="auto"/>
        </w:rPr>
        <w:t>The following discussion describes the payments and benefits to which our NEOs are entitled in various termination of employment</w:t>
      </w:r>
    </w:p>
    <w:p>
      <w:pPr>
        <w:spacing w:after="0" w:line="23"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and change in control situations. The intent of this discussion is to describe those payments and benefits for which the amount, vesting or time of payment is altered by the termination of employment or change in control situation. Therefore, this discussion does not describe all</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payments and benefits an NEO may receive following a termination or change in control, such as the following accrued, vested or non-forfeitable compensation and benefits:</w:t>
      </w:r>
    </w:p>
    <w:p>
      <w:pPr>
        <w:spacing w:after="0" w:line="5" w:lineRule="exact"/>
        <w:rPr>
          <w:sz w:val="20"/>
          <w:szCs w:val="20"/>
          <w:color w:val="auto"/>
        </w:rPr>
      </w:pPr>
    </w:p>
    <w:p>
      <w:pPr>
        <w:ind w:left="640" w:hanging="313"/>
        <w:spacing w:after="0" w:line="262" w:lineRule="auto"/>
        <w:tabs>
          <w:tab w:leader="none" w:pos="6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Payment of individual contributions to our Deferred Plan and Deferred Plan for Officers in accordance with prior distribution elections, as described under “Nonqualified Deferred Compensation for Fiscal 2025”;</w:t>
      </w:r>
    </w:p>
    <w:p>
      <w:pPr>
        <w:spacing w:after="0" w:line="1" w:lineRule="exact"/>
        <w:rPr>
          <w:rFonts w:ascii="Arial" w:cs="Arial" w:eastAsia="Arial" w:hAnsi="Arial"/>
          <w:sz w:val="18"/>
          <w:szCs w:val="18"/>
          <w:color w:val="auto"/>
        </w:rPr>
      </w:pPr>
    </w:p>
    <w:p>
      <w:pPr>
        <w:ind w:left="640" w:hanging="313"/>
        <w:spacing w:after="0" w:line="246" w:lineRule="auto"/>
        <w:tabs>
          <w:tab w:leader="none" w:pos="6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Payment of Company contributions on behalf of the NEO under our Supplemental Benefit Plan, as described under “Nonqualified Deferred Compensation for Fiscal 2025”;</w:t>
      </w:r>
    </w:p>
    <w:p>
      <w:pPr>
        <w:spacing w:after="0" w:line="15" w:lineRule="exact"/>
        <w:rPr>
          <w:rFonts w:ascii="Arial" w:cs="Arial" w:eastAsia="Arial" w:hAnsi="Arial"/>
          <w:sz w:val="18"/>
          <w:szCs w:val="18"/>
          <w:color w:val="auto"/>
        </w:rPr>
      </w:pPr>
    </w:p>
    <w:p>
      <w:pPr>
        <w:ind w:left="640" w:hanging="313"/>
        <w:spacing w:after="0" w:line="255" w:lineRule="auto"/>
        <w:tabs>
          <w:tab w:leader="none" w:pos="6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Payment of individual contributions and vested Company investment fund contributions on behalf of the NEO under our Retirement Plan, as described under “Health, Welfare and Retirement Benefits and All Other Compensation—Retirement Benefits”;</w:t>
      </w:r>
    </w:p>
    <w:p>
      <w:pPr>
        <w:ind w:left="640" w:right="20" w:hanging="313"/>
        <w:spacing w:after="0" w:line="262" w:lineRule="auto"/>
        <w:tabs>
          <w:tab w:leader="none" w:pos="6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Payment of annual cash incentive awards if employed on the last day of the fiscal year and if threshold levels are met and at the percentage of the target achieved, as described under “Annual Cash Incentives”;</w:t>
      </w:r>
    </w:p>
    <w:p>
      <w:pPr>
        <w:spacing w:after="0" w:line="1" w:lineRule="exact"/>
        <w:rPr>
          <w:rFonts w:ascii="Arial" w:cs="Arial" w:eastAsia="Arial" w:hAnsi="Arial"/>
          <w:sz w:val="18"/>
          <w:szCs w:val="18"/>
          <w:color w:val="auto"/>
        </w:rPr>
      </w:pPr>
    </w:p>
    <w:p>
      <w:pPr>
        <w:ind w:left="640" w:hanging="313"/>
        <w:spacing w:after="0" w:line="246" w:lineRule="auto"/>
        <w:tabs>
          <w:tab w:leader="none" w:pos="6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Payout for performance share awards if employed on the last day of the performance period and if threshold levels are met and at the percentage of the target achieved, as described under “Long-Term Incentives—Performance Share Awards”;</w:t>
      </w:r>
    </w:p>
    <w:p>
      <w:pPr>
        <w:spacing w:after="0" w:line="15" w:lineRule="exact"/>
        <w:rPr>
          <w:rFonts w:ascii="Arial" w:cs="Arial" w:eastAsia="Arial" w:hAnsi="Arial"/>
          <w:sz w:val="18"/>
          <w:szCs w:val="18"/>
          <w:color w:val="auto"/>
        </w:rPr>
      </w:pPr>
    </w:p>
    <w:p>
      <w:pPr>
        <w:ind w:left="640" w:hanging="313"/>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Exercise of stock options that had vested prior to the date of termination; and</w:t>
      </w:r>
    </w:p>
    <w:p>
      <w:pPr>
        <w:spacing w:after="0" w:line="46" w:lineRule="exact"/>
        <w:rPr>
          <w:rFonts w:ascii="Arial" w:cs="Arial" w:eastAsia="Arial" w:hAnsi="Arial"/>
          <w:sz w:val="18"/>
          <w:szCs w:val="18"/>
          <w:color w:val="auto"/>
        </w:rPr>
      </w:pPr>
    </w:p>
    <w:p>
      <w:pPr>
        <w:ind w:left="640" w:hanging="313"/>
        <w:spacing w:after="0" w:line="246" w:lineRule="auto"/>
        <w:tabs>
          <w:tab w:leader="none" w:pos="6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Payouts under, and continuation of, health and welfare benefits under plans generally applicable to our U.S.-based office salaried employees.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None of our executive officers have any employment or severance agreements or arrangements other than as provided for in our CIC policy</w:t>
      </w:r>
    </w:p>
    <w:p>
      <w:pPr>
        <w:spacing w:after="0" w:line="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and other than certain change in control provisions in our equity plans. Accordingly, our NEOs do not have the right to cash severance or additional benefits in connection with a termination of employment except in connection with a change in control of our Company, as described</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under "Potential Payments Upon Termination or Change in Control—Change in Control". Each of our executive officers is a party to our standard confidentiality, invention and non-compete agreement.</w:t>
      </w:r>
    </w:p>
    <w:p>
      <w:pPr>
        <w:spacing w:after="0" w:line="57"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color w:val="auto"/>
        </w:rPr>
        <w:t xml:space="preserve">Voluntary Resignation and Retirement. </w:t>
      </w:r>
      <w:r>
        <w:rPr>
          <w:rFonts w:ascii="Arial" w:cs="Arial" w:eastAsia="Arial" w:hAnsi="Arial"/>
          <w:sz w:val="18"/>
          <w:szCs w:val="18"/>
          <w:color w:val="auto"/>
        </w:rPr>
        <w:t>In the event of an NEO's voluntary resignation or retirement, we would not be obligated to pay or</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any additional payments or benefits, unless the NEO meets the criteria for "retirement" in connection with his or her voluntary</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resignation. For purposes of our compensation arrangements, "retirement" generally means the voluntary termination of employment at or after the age of 55 and with a number of years of service that, when added together with the NEO's age, equals at least 65.</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If an NEO meets the criteria for "retirement" in connection with his or her voluntary resignation, the NEO generally would be entitled to or, in</w:t>
      </w:r>
    </w:p>
    <w:p>
      <w:pPr>
        <w:spacing w:after="0" w:line="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case of annual cash incentive awards and performance share awards, may receive upon approval by the Compensation &amp; Human Resources Committee, the following additional payments and benefits:</w:t>
      </w:r>
    </w:p>
    <w:p>
      <w:pPr>
        <w:spacing w:after="0" w:line="21" w:lineRule="exact"/>
        <w:rPr>
          <w:sz w:val="20"/>
          <w:szCs w:val="20"/>
          <w:color w:val="auto"/>
        </w:rPr>
      </w:pPr>
    </w:p>
    <w:p>
      <w:pPr>
        <w:ind w:left="640" w:hanging="313"/>
        <w:spacing w:after="0" w:line="246" w:lineRule="auto"/>
        <w:tabs>
          <w:tab w:leader="none" w:pos="6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Extended vesting and exercise period of four additional years (or the remaining term of the option, whichever is shorter) after the retirement date for all outstanding stock options held on the retirement date;</w:t>
      </w:r>
    </w:p>
    <w:p>
      <w:pPr>
        <w:spacing w:after="0" w:line="15" w:lineRule="exact"/>
        <w:rPr>
          <w:rFonts w:ascii="Arial" w:cs="Arial" w:eastAsia="Arial" w:hAnsi="Arial"/>
          <w:sz w:val="18"/>
          <w:szCs w:val="18"/>
          <w:color w:val="auto"/>
        </w:rPr>
      </w:pPr>
    </w:p>
    <w:p>
      <w:pPr>
        <w:jc w:val="both"/>
        <w:ind w:left="640" w:hanging="313"/>
        <w:spacing w:after="0" w:line="236" w:lineRule="auto"/>
        <w:tabs>
          <w:tab w:leader="none" w:pos="6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Extended perquisites consisting of reimbursement for amounts incurred for: (i) one additional year of financial planning expenses; (ii) one additional executive physical; (iii) twelve additional months, or through the end of the lease term, whichever is shorter, of lease payments for a Company-leased automobile; and (iv) certain Company products for personal use at no cost for five years following the NEO’s retirement; provided, however, that the NEO is responsible for payment of applicable taxes attributed to the value of such products;</w:t>
      </w:r>
    </w:p>
    <w:p>
      <w:pPr>
        <w:spacing w:after="0" w:line="9" w:lineRule="exact"/>
        <w:rPr>
          <w:rFonts w:ascii="Arial" w:cs="Arial" w:eastAsia="Arial" w:hAnsi="Arial"/>
          <w:sz w:val="18"/>
          <w:szCs w:val="18"/>
          <w:color w:val="auto"/>
        </w:rPr>
      </w:pPr>
    </w:p>
    <w:p>
      <w:pPr>
        <w:jc w:val="both"/>
        <w:ind w:left="640" w:hanging="313"/>
        <w:spacing w:after="0" w:line="237" w:lineRule="auto"/>
        <w:tabs>
          <w:tab w:leader="none" w:pos="6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Prorated payment of an outstanding annual cash incentive award if the NEO retires prior to the date payment is made in settlement of the annual cash incentive award, which is typically in early December, but only: (i) if threshold levels are met and at the percentage of the target achieved; and (ii) in an amount that is proportionate to the portion of the fiscal year performance period that was completed as of the retirement date; and</w:t>
      </w:r>
    </w:p>
    <w:p>
      <w:pPr>
        <w:spacing w:after="0" w:line="22" w:lineRule="exact"/>
        <w:rPr>
          <w:rFonts w:ascii="Arial" w:cs="Arial" w:eastAsia="Arial" w:hAnsi="Arial"/>
          <w:sz w:val="18"/>
          <w:szCs w:val="18"/>
          <w:color w:val="auto"/>
        </w:rPr>
      </w:pPr>
    </w:p>
    <w:p>
      <w:pPr>
        <w:jc w:val="both"/>
        <w:ind w:left="640" w:hanging="313"/>
        <w:spacing w:after="0" w:line="233" w:lineRule="auto"/>
        <w:tabs>
          <w:tab w:leader="none" w:pos="6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Prorated payment of outstanding performance share awards if the NEO retires after completion of at least one fiscal year of our current three-fiscal year performance period, but only: (i) if threshold levels are met and at the percentage of the target achieved; and</w:t>
      </w:r>
    </w:p>
    <w:p>
      <w:pPr>
        <w:spacing w:after="0" w:line="1" w:lineRule="exact"/>
        <w:rPr>
          <w:rFonts w:ascii="Arial" w:cs="Arial" w:eastAsia="Arial" w:hAnsi="Arial"/>
          <w:sz w:val="18"/>
          <w:szCs w:val="18"/>
          <w:color w:val="auto"/>
        </w:rPr>
      </w:pPr>
    </w:p>
    <w:p>
      <w:pPr>
        <w:ind w:left="900" w:hanging="253"/>
        <w:spacing w:after="0" w:line="232"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 an amount that is proportionate to the portion of the performance period based on the number of months or years that the NEO</w:t>
      </w:r>
    </w:p>
    <w:p>
      <w:pPr>
        <w:ind w:left="640"/>
        <w:spacing w:after="0"/>
        <w:rPr>
          <w:sz w:val="20"/>
          <w:szCs w:val="20"/>
          <w:color w:val="auto"/>
        </w:rPr>
      </w:pPr>
      <w:r>
        <w:rPr>
          <w:rFonts w:ascii="Arial" w:cs="Arial" w:eastAsia="Arial" w:hAnsi="Arial"/>
          <w:sz w:val="18"/>
          <w:szCs w:val="18"/>
          <w:color w:val="auto"/>
        </w:rPr>
        <w:t>was employed or performed services during the performance period as of the NEO’s retirement date.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color w:val="auto"/>
        </w:rPr>
        <w:t>Any such payment for any prorated annual cash incentive or performance share awards would be made at the same time payments are made</w:t>
      </w:r>
    </w:p>
    <w:p>
      <w:pPr>
        <w:spacing w:after="0" w:line="2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to our other executive officers after the certification of performance achieved by the Compensation &amp; Human Resources Committee at the meeting following the completion of the applicable performance period.</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Disability or Death. </w:t>
      </w:r>
      <w:r>
        <w:rPr>
          <w:rFonts w:ascii="Arial" w:cs="Arial" w:eastAsia="Arial" w:hAnsi="Arial"/>
          <w:sz w:val="17"/>
          <w:szCs w:val="17"/>
          <w:color w:val="auto"/>
        </w:rPr>
        <w:t>In the event of a termination as the result of the disability or death of an NEO, the NEO, or his or her beneficiary, would be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entitled to or, in the case of annual cash incentive awards and performance share awards, may receive upon approval by the Compensation &amp;</w:t>
      </w:r>
    </w:p>
    <w:p>
      <w:pPr>
        <w:spacing w:after="0"/>
        <w:rPr>
          <w:sz w:val="20"/>
          <w:szCs w:val="20"/>
          <w:color w:val="auto"/>
        </w:rPr>
      </w:pPr>
      <w:r>
        <w:rPr>
          <w:rFonts w:ascii="Arial" w:cs="Arial" w:eastAsia="Arial" w:hAnsi="Arial"/>
          <w:sz w:val="18"/>
          <w:szCs w:val="18"/>
          <w:color w:val="auto"/>
        </w:rPr>
        <w:t>Human Resources Committee, the following additional payments and benefits:</w:t>
      </w:r>
    </w:p>
    <w:p>
      <w:pPr>
        <w:spacing w:after="0" w:line="31" w:lineRule="exact"/>
        <w:rPr>
          <w:sz w:val="20"/>
          <w:szCs w:val="20"/>
          <w:color w:val="auto"/>
        </w:rPr>
      </w:pPr>
    </w:p>
    <w:p>
      <w:pPr>
        <w:ind w:left="640" w:hanging="313"/>
        <w:spacing w:after="0" w:line="255" w:lineRule="auto"/>
        <w:tabs>
          <w:tab w:leader="none" w:pos="6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Immediate vesting of all outstanding stock options held as of the termination date and stock options may be exercised for a period of up to one year (or the remaining term of the option, whichever is shorter) after the termination date;</w:t>
      </w:r>
    </w:p>
    <w:p>
      <w:pPr>
        <w:jc w:val="both"/>
        <w:ind w:left="640" w:hanging="313"/>
        <w:spacing w:after="0" w:line="237" w:lineRule="auto"/>
        <w:tabs>
          <w:tab w:leader="none" w:pos="6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Prorated payment of an outstanding annual cash incentive award if the termination of the NEO is prior to the date payment is made in settlement of the annual cash incentive award, but only: (i) if threshold levels are met and at the percentage of the target achieved; and (ii) in an amount that is proportionate to the portion of the fiscal year performance period that was completed as of the termination date; and</w:t>
      </w:r>
    </w:p>
    <w:p>
      <w:pPr>
        <w:spacing w:after="0" w:line="23" w:lineRule="exact"/>
        <w:rPr>
          <w:rFonts w:ascii="Arial" w:cs="Arial" w:eastAsia="Arial" w:hAnsi="Arial"/>
          <w:sz w:val="18"/>
          <w:szCs w:val="18"/>
          <w:color w:val="auto"/>
        </w:rPr>
      </w:pPr>
    </w:p>
    <w:p>
      <w:pPr>
        <w:jc w:val="both"/>
        <w:ind w:left="640" w:hanging="313"/>
        <w:spacing w:after="0" w:line="237" w:lineRule="auto"/>
        <w:tabs>
          <w:tab w:leader="none" w:pos="6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Prorated payment of outstanding performance share awards if the NEO was employed for at least one fiscal year of our current three-fiscal year performance period, but only: (i) if threshold levels are met and at the percentage of the target achieved; and (ii) in an amount that is proportionate to the portion of the performance period based on the number of months or years that the NEO was employed or performed services during the performance period as of the NEO’s termination date.</w:t>
      </w:r>
    </w:p>
    <w:p>
      <w:pPr>
        <w:spacing w:after="0" w:line="76"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Any such payment for any prorated annual cash incentive or performance share awards would be made at the same time payments are made to our other executive officers after the certification of performance achieved by the Compensation &amp; Human Resources Committee at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meeting following the completion of the applicable performance period.</w:t>
      </w:r>
    </w:p>
    <w:p>
      <w:pPr>
        <w:spacing w:after="0" w:line="69"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color w:val="auto"/>
        </w:rPr>
        <w:t xml:space="preserve">Involuntary Termination by TTC. </w:t>
      </w:r>
      <w:r>
        <w:rPr>
          <w:rFonts w:ascii="Arial" w:cs="Arial" w:eastAsia="Arial" w:hAnsi="Arial"/>
          <w:sz w:val="18"/>
          <w:szCs w:val="18"/>
          <w:color w:val="auto"/>
        </w:rPr>
        <w:t>Since our NEOs do not have employment or severance agreements or arrangements other than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for in our CIC policy, we would not be obligated to provide any additional payments or benefits to our NEOs in the event of an</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involuntary termination of employment by us. Any negotiated separation arrangement typically requires that the NEO sign a release and waiver of claims and comply with confidentiality and non-compete restrictions.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Termination by TTC for Cause. </w:t>
      </w:r>
      <w:r>
        <w:rPr>
          <w:rFonts w:ascii="Arial" w:cs="Arial" w:eastAsia="Arial" w:hAnsi="Arial"/>
          <w:sz w:val="18"/>
          <w:szCs w:val="18"/>
          <w:color w:val="auto"/>
        </w:rPr>
        <w:t>In the event of a termination of an NEO's employment by us for cause, we would not be obligated to provide</w:t>
      </w:r>
    </w:p>
    <w:p>
      <w:pPr>
        <w:spacing w:after="0" w:line="1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any additional payments or benefits to the executive. In addition, we may have certain clawback rights, as described below under "Clawback Provisions."</w:t>
      </w:r>
    </w:p>
    <w:p>
      <w:pPr>
        <w:spacing w:after="0" w:line="59" w:lineRule="exact"/>
        <w:rPr>
          <w:sz w:val="20"/>
          <w:szCs w:val="20"/>
          <w:color w:val="auto"/>
        </w:rPr>
      </w:pPr>
    </w:p>
    <w:p>
      <w:pPr>
        <w:spacing w:after="0" w:line="234" w:lineRule="auto"/>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We have a CIC policy generally applicable to our executive officers. Our CIC policy incorporates a "double trigger"</w:t>
      </w:r>
      <w:r>
        <w:rPr>
          <w:rFonts w:ascii="Arial" w:cs="Arial" w:eastAsia="Arial" w:hAnsi="Arial"/>
          <w:sz w:val="18"/>
          <w:szCs w:val="18"/>
          <w:b w:val="1"/>
          <w:bCs w:val="1"/>
          <w:color w:val="auto"/>
        </w:rPr>
        <w:t xml:space="preserve"> </w:t>
      </w:r>
      <w:r>
        <w:rPr>
          <w:rFonts w:ascii="Arial" w:cs="Arial" w:eastAsia="Arial" w:hAnsi="Arial"/>
          <w:sz w:val="18"/>
          <w:szCs w:val="18"/>
          <w:color w:val="auto"/>
        </w:rPr>
        <w:t>mechanism and provides for a cash severance payment and certain other benefits if within three years after a change in control the NEO's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employment is terminated by us without just cause or the NEO terminates his or her employment for good reason, or if such termination occurs</w:t>
      </w:r>
    </w:p>
    <w:p>
      <w:pPr>
        <w:spacing w:after="0" w:line="5"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at the request of a third party who had taken steps reasonably calculated to effect the change in control. The payments and benefits the NEO would be entitled to receive include:</w:t>
      </w:r>
    </w:p>
    <w:p>
      <w:pPr>
        <w:spacing w:after="0" w:line="21" w:lineRule="exact"/>
        <w:rPr>
          <w:sz w:val="20"/>
          <w:szCs w:val="20"/>
          <w:color w:val="auto"/>
        </w:rPr>
      </w:pPr>
    </w:p>
    <w:p>
      <w:pPr>
        <w:ind w:left="640" w:hanging="313"/>
        <w:spacing w:after="0" w:line="255" w:lineRule="auto"/>
        <w:tabs>
          <w:tab w:leader="none" w:pos="63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lump sum cash severance payment equal to two times (or three times for the CEO) the sum of the NEO’s then current annual base salary and target annual cash incentive award;</w:t>
      </w:r>
    </w:p>
    <w:p>
      <w:pPr>
        <w:jc w:val="both"/>
        <w:ind w:left="640" w:hanging="313"/>
        <w:spacing w:after="0" w:line="247" w:lineRule="auto"/>
        <w:tabs>
          <w:tab w:leader="none" w:pos="63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lump sum cash payment in an amount equal to the NEO’s pro-rated target annual cash incentive award for the fiscal year in which the termination date occurs, reduced by any amounts paid under the terms of the applicable equity compensation policy for the same period of time;</w:t>
      </w:r>
    </w:p>
    <w:p>
      <w:pPr>
        <w:spacing w:after="0" w:line="1" w:lineRule="exact"/>
        <w:rPr>
          <w:rFonts w:ascii="Arial" w:cs="Arial" w:eastAsia="Arial" w:hAnsi="Arial"/>
          <w:sz w:val="18"/>
          <w:szCs w:val="18"/>
          <w:color w:val="auto"/>
        </w:rPr>
      </w:pPr>
    </w:p>
    <w:p>
      <w:pPr>
        <w:jc w:val="both"/>
        <w:ind w:left="640" w:right="20" w:hanging="313"/>
        <w:spacing w:after="0" w:line="247" w:lineRule="auto"/>
        <w:tabs>
          <w:tab w:leader="none" w:pos="635" w:val="left"/>
        </w:tabs>
        <w:numPr>
          <w:ilvl w:val="0"/>
          <w:numId w:val="75"/>
        </w:numPr>
        <w:rPr>
          <w:rFonts w:ascii="Arial" w:cs="Arial" w:eastAsia="Arial" w:hAnsi="Arial"/>
          <w:sz w:val="18"/>
          <w:szCs w:val="18"/>
          <w:color w:val="auto"/>
        </w:rPr>
      </w:pPr>
      <w:r>
        <w:rPr>
          <w:rFonts w:ascii="Arial" w:cs="Arial" w:eastAsia="Arial" w:hAnsi="Arial"/>
          <w:sz w:val="18"/>
          <w:szCs w:val="18"/>
          <w:color w:val="auto"/>
        </w:rPr>
        <w:t>eligibility for continuation coverage under our medical, dental and other group health plans for a period of three years following the termination date and reimbursement for any costs incurred in securing such continuation coverage that are in excess of costs that would have been incurred by the NEO immediately prior to his or her termination date to obtain such coverage; and</w:t>
      </w:r>
    </w:p>
    <w:p>
      <w:pPr>
        <w:spacing w:after="0" w:line="1" w:lineRule="exact"/>
        <w:rPr>
          <w:rFonts w:ascii="Arial" w:cs="Arial" w:eastAsia="Arial" w:hAnsi="Arial"/>
          <w:sz w:val="18"/>
          <w:szCs w:val="18"/>
          <w:color w:val="auto"/>
        </w:rPr>
      </w:pPr>
    </w:p>
    <w:p>
      <w:pPr>
        <w:ind w:left="640" w:hanging="313"/>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two years of outplacement services.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Our CIC policy does not provide a "gross-up" for 280G excise tax and, as a condition to the payment of any severance payment, the NEO</w:t>
      </w:r>
    </w:p>
    <w:p>
      <w:pPr>
        <w:spacing w:after="0" w:line="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must execute a release of claims against us. If a change in control, as generally defined below, has not occurred, our Board may terminate our CIC policy after two years' advance notice of such termination.</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our CIC policy, our 2022 Plan provides that if we experience a change in control, as generally defined below, and if outstanding awards are continued, assumed, or substituted, whether or not there is a qualifying termination of employment:</w:t>
      </w:r>
    </w:p>
    <w:p>
      <w:pPr>
        <w:ind w:left="640" w:hanging="313"/>
        <w:spacing w:after="0" w:line="262" w:lineRule="auto"/>
        <w:tabs>
          <w:tab w:leader="none" w:pos="6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stock options immediately vest, become exercisable in full and remain exercisable for their remaining term following the change in control;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6" w:name="page77"/>
    <w:bookmarkEnd w:id="76"/>
    <w:p>
      <w:pPr>
        <w:jc w:val="both"/>
        <w:ind w:left="640" w:hanging="313"/>
        <w:spacing w:after="0" w:line="239"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outstanding annual cash incentive awards for performance periods in progress at the time of the change in control immediately vest and become immediately payable in cash based on the greater of: (i) achievement at target; or (ii) actual achievement through the date of the change in control;</w:t>
      </w:r>
    </w:p>
    <w:p>
      <w:pPr>
        <w:spacing w:after="0" w:line="22" w:lineRule="exact"/>
        <w:rPr>
          <w:rFonts w:ascii="Arial" w:cs="Arial" w:eastAsia="Arial" w:hAnsi="Arial"/>
          <w:sz w:val="18"/>
          <w:szCs w:val="18"/>
          <w:color w:val="auto"/>
        </w:rPr>
      </w:pPr>
    </w:p>
    <w:p>
      <w:pPr>
        <w:jc w:val="both"/>
        <w:ind w:left="640" w:hanging="313"/>
        <w:spacing w:after="0" w:line="239"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outstanding performance share awards for performance periods in progress at the time of the change in control immediately vest and become payable in shares of our common stock, at the greater of: (i) target; or (ii) actual achievement of performance goals through the date of the change in control; and</w:t>
      </w:r>
    </w:p>
    <w:p>
      <w:pPr>
        <w:spacing w:after="0" w:line="22" w:lineRule="exact"/>
        <w:rPr>
          <w:rFonts w:ascii="Arial" w:cs="Arial" w:eastAsia="Arial" w:hAnsi="Arial"/>
          <w:sz w:val="18"/>
          <w:szCs w:val="18"/>
          <w:color w:val="auto"/>
        </w:rPr>
      </w:pPr>
    </w:p>
    <w:p>
      <w:pPr>
        <w:jc w:val="both"/>
        <w:ind w:left="640" w:hanging="313"/>
        <w:spacing w:after="0" w:line="239"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outstanding shares of restricted stock and restricted stock unit awards with vesting based solely on the participant’s continued service immediately vest and become non-forfeitable or issuable, as the case may be, and shall be settled in cash or shares of our common stock.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If outstanding equity based awards are not continued, assumed or substituted:</w:t>
      </w:r>
    </w:p>
    <w:p>
      <w:pPr>
        <w:spacing w:after="0" w:line="47" w:lineRule="exact"/>
        <w:rPr>
          <w:sz w:val="20"/>
          <w:szCs w:val="20"/>
          <w:color w:val="auto"/>
        </w:rPr>
      </w:pPr>
    </w:p>
    <w:p>
      <w:pPr>
        <w:jc w:val="both"/>
        <w:ind w:left="640" w:hanging="313"/>
        <w:spacing w:after="0" w:line="233" w:lineRule="auto"/>
        <w:tabs>
          <w:tab w:leader="none" w:pos="6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stock options immediately vest and become exercisable and the Compensation &amp; Human Resources Committee shall: (i) give the participant a reasonable opportunity to exercise the option prior to the change in control; and (ii) pay the participant in cash for each unexercised option, the excess, if any, between the option exercise price and the per share consideration payable to stockholders, provided the participant shall receive payment of the fair market value of any contingent or delayed consideration on the basis of the Committee’s good faith estimate of the present value of the probable future value of such consideration;</w:t>
      </w:r>
    </w:p>
    <w:p>
      <w:pPr>
        <w:spacing w:after="0" w:line="22" w:lineRule="exact"/>
        <w:rPr>
          <w:rFonts w:ascii="Arial" w:cs="Arial" w:eastAsia="Arial" w:hAnsi="Arial"/>
          <w:sz w:val="18"/>
          <w:szCs w:val="18"/>
          <w:color w:val="auto"/>
        </w:rPr>
      </w:pPr>
    </w:p>
    <w:p>
      <w:pPr>
        <w:jc w:val="both"/>
        <w:ind w:left="640" w:hanging="313"/>
        <w:spacing w:after="0" w:line="233" w:lineRule="auto"/>
        <w:tabs>
          <w:tab w:leader="none" w:pos="6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restricted stock awards and restricted stock unit awards with vesting based solely on the participant’s continued service will immediately vest and be settled in cash or shares of our common stock, provided, if payment is to be made in shares of our common stock, the participant will receive the excess, if any, between the consideration received by stockholders of our Company for shares of our Company in connection with the change in control and the purchase price, if any, of the restricted stock or restricted stock unit award, multiplied by the number of shares subject to such award; and</w:t>
      </w:r>
    </w:p>
    <w:p>
      <w:pPr>
        <w:spacing w:after="0" w:line="22" w:lineRule="exact"/>
        <w:rPr>
          <w:rFonts w:ascii="Arial" w:cs="Arial" w:eastAsia="Arial" w:hAnsi="Arial"/>
          <w:sz w:val="18"/>
          <w:szCs w:val="18"/>
          <w:color w:val="auto"/>
        </w:rPr>
      </w:pPr>
    </w:p>
    <w:p>
      <w:pPr>
        <w:jc w:val="both"/>
        <w:ind w:left="640" w:hanging="313"/>
        <w:spacing w:after="0" w:line="236" w:lineRule="auto"/>
        <w:tabs>
          <w:tab w:leader="none" w:pos="6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outstanding performance share awards for performance periods in progress at the time of the change in control will immediately vest and become payable in shares of our common stock, at the greater of (i) target, or (ii) actual achievement of performance goals through the date of the change in control, provided, for the payment to be made in shares of our common stock, the participant will receive the consideration received by stockholders of our Company for shares of our Company in connection with the change in control.</w:t>
      </w:r>
    </w:p>
    <w:p>
      <w:pPr>
        <w:spacing w:after="0" w:line="6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Alternatively, the Compensation &amp; Human Resources Committee may elect to terminate such options, restricted stock awards, restricted stock unit awards or performance share awards in exchange for a cash payment for each option, restricted stock, restricted stock unit or</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performance share award in an amount equal to the excess, if any, between the consideration received by stockholders of our Company for shares of our Company in connection with the change in control and the exercise or purchase price, if any, of the option, restricted stock,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 award or performance share award, multiplied by the number of shares subject to such option or award.</w:t>
      </w:r>
    </w:p>
    <w:p>
      <w:pPr>
        <w:spacing w:after="0" w:line="8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2022 Plan does not provide a "gross-up" for 280G excise tax, but does provide for a reduction of payments if such payments would result in lower higher after-tax income taking into consideration the 280G excise tax.</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our CIC policy and the 2022 Plan, and subject to limited exceptions, a "change in control" occurs if:</w:t>
      </w:r>
    </w:p>
    <w:p>
      <w:pPr>
        <w:spacing w:after="0" w:line="47" w:lineRule="exact"/>
        <w:rPr>
          <w:sz w:val="20"/>
          <w:szCs w:val="20"/>
          <w:color w:val="auto"/>
        </w:rPr>
      </w:pPr>
    </w:p>
    <w:p>
      <w:pPr>
        <w:ind w:left="640" w:hanging="313"/>
        <w:spacing w:after="0" w:line="246" w:lineRule="auto"/>
        <w:tabs>
          <w:tab w:leader="none" w:pos="6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another person becomes the beneficial owner of 20% of our then-outstanding common stock or the combined voting power of our then-outstanding voting stock;</w:t>
      </w:r>
    </w:p>
    <w:p>
      <w:pPr>
        <w:spacing w:after="0" w:line="15" w:lineRule="exact"/>
        <w:rPr>
          <w:rFonts w:ascii="Arial" w:cs="Arial" w:eastAsia="Arial" w:hAnsi="Arial"/>
          <w:sz w:val="18"/>
          <w:szCs w:val="18"/>
          <w:color w:val="auto"/>
        </w:rPr>
      </w:pPr>
    </w:p>
    <w:p>
      <w:pPr>
        <w:ind w:left="640" w:hanging="313"/>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majority of our Board becomes comprised of persons other than those for whom election proxies have been solicited by our Board;</w:t>
      </w:r>
    </w:p>
    <w:p>
      <w:pPr>
        <w:spacing w:after="0" w:line="46" w:lineRule="exact"/>
        <w:rPr>
          <w:rFonts w:ascii="Arial" w:cs="Arial" w:eastAsia="Arial" w:hAnsi="Arial"/>
          <w:sz w:val="18"/>
          <w:szCs w:val="18"/>
          <w:color w:val="auto"/>
        </w:rPr>
      </w:pPr>
    </w:p>
    <w:p>
      <w:pPr>
        <w:jc w:val="both"/>
        <w:ind w:left="640" w:hanging="313"/>
        <w:spacing w:after="0" w:line="237" w:lineRule="auto"/>
        <w:tabs>
          <w:tab w:leader="none" w:pos="6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completion of certain business combinations, including a reorganization, merger, consolidation, the sale of all or substantially all of our assets or the acquisition by us of assets or stock of another entity, where the stockholders before the business combination fail to beneficially own and have voting power for more than 50% of our Company or the resulting company after the business combination; or</w:t>
      </w:r>
    </w:p>
    <w:p>
      <w:pPr>
        <w:spacing w:after="0" w:line="9" w:lineRule="exact"/>
        <w:rPr>
          <w:rFonts w:ascii="Arial" w:cs="Arial" w:eastAsia="Arial" w:hAnsi="Arial"/>
          <w:sz w:val="18"/>
          <w:szCs w:val="18"/>
          <w:color w:val="auto"/>
        </w:rPr>
      </w:pPr>
    </w:p>
    <w:p>
      <w:pPr>
        <w:ind w:left="640" w:hanging="313"/>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stockholders approve a complete liquidation or dissolution of our Company.</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Additionally, under our nonqualified deferred compensation and retirement plans, upon the occurrence of a change in control, we must transfer</w:t>
      </w:r>
    </w:p>
    <w:p>
      <w:pPr>
        <w:spacing w:after="0" w:line="2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cash or property to a "rabbi" trust for the benefit of plan participants in an amount sufficient to cause the trust to be funded at a level equal to the present value of all accumulated or accrued benefits then payable to or on behalf of plan participants.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Potential Payments Upon Termination or Change In Control. </w:t>
      </w:r>
      <w:r>
        <w:rPr>
          <w:rFonts w:ascii="Arial" w:cs="Arial" w:eastAsia="Arial" w:hAnsi="Arial"/>
          <w:sz w:val="18"/>
          <w:szCs w:val="18"/>
          <w:color w:val="auto"/>
        </w:rPr>
        <w:t>The following table quantifies the payments and benefits for which the</w:t>
      </w:r>
    </w:p>
    <w:p>
      <w:pPr>
        <w:spacing w:after="0" w:line="1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amount, vesting or time of payment is altered by each of the foregoing termination of employment or change in control situations. For purposes of quantifying payments and benefits, amounts are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calculated: (i) for each NEO as if the termination or change in control occurred on October 31, 2025, the last day of our 2025 fiscal year; and</w:t>
      </w:r>
    </w:p>
    <w:p>
      <w:pPr>
        <w:spacing w:after="0" w:line="9" w:lineRule="exact"/>
        <w:rPr>
          <w:sz w:val="20"/>
          <w:szCs w:val="20"/>
          <w:color w:val="auto"/>
        </w:rPr>
      </w:pPr>
    </w:p>
    <w:p>
      <w:pPr>
        <w:ind w:firstLine="7"/>
        <w:spacing w:after="0" w:line="234" w:lineRule="auto"/>
        <w:tabs>
          <w:tab w:leader="none" w:pos="263" w:val="left"/>
        </w:tabs>
        <w:numPr>
          <w:ilvl w:val="0"/>
          <w:numId w:val="80"/>
        </w:numPr>
        <w:rPr>
          <w:rFonts w:ascii="Arial" w:cs="Arial" w:eastAsia="Arial" w:hAnsi="Arial"/>
          <w:sz w:val="18"/>
          <w:szCs w:val="18"/>
          <w:color w:val="auto"/>
        </w:rPr>
      </w:pPr>
      <w:r>
        <w:rPr>
          <w:rFonts w:ascii="Arial" w:cs="Arial" w:eastAsia="Arial" w:hAnsi="Arial"/>
          <w:sz w:val="18"/>
          <w:szCs w:val="18"/>
          <w:color w:val="auto"/>
        </w:rPr>
        <w:t>using a per share value of $74.73, which represents the closing price of our common stock, on October 31, 2025. Material assumptions used in calculating the estimated payments and benefits are described in footnotes to the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8" w:name="page79"/>
    <w:bookmarkEnd w:id="78"/>
    <w:tbl>
      <w:tblPr>
        <w:tblLayout w:type="fixed"/>
        <w:tblInd w:w="240" w:type="dxa"/>
        <w:tblCellMar>
          <w:top w:w="0" w:type="dxa"/>
          <w:left w:w="0" w:type="dxa"/>
          <w:bottom w:w="0" w:type="dxa"/>
          <w:right w:w="0" w:type="dxa"/>
        </w:tblCellMar>
      </w:tblPr>
      <w:tr>
        <w:trPr>
          <w:trHeight w:val="191"/>
        </w:trPr>
        <w:tc>
          <w:tcPr>
            <w:tcW w:w="3160" w:type="dxa"/>
            <w:vAlign w:val="bottom"/>
            <w:shd w:val="clear" w:color="auto" w:fill="BF2115"/>
          </w:tcPr>
          <w:p>
            <w:pPr>
              <w:spacing w:after="0"/>
              <w:rPr>
                <w:sz w:val="16"/>
                <w:szCs w:val="16"/>
                <w:color w:val="auto"/>
              </w:rPr>
            </w:pPr>
          </w:p>
        </w:tc>
        <w:tc>
          <w:tcPr>
            <w:tcW w:w="900" w:type="dxa"/>
            <w:vAlign w:val="bottom"/>
            <w:shd w:val="clear" w:color="auto" w:fill="BF2115"/>
          </w:tcPr>
          <w:p>
            <w:pPr>
              <w:spacing w:after="0"/>
              <w:rPr>
                <w:sz w:val="16"/>
                <w:szCs w:val="16"/>
                <w:color w:val="auto"/>
              </w:rPr>
            </w:pPr>
          </w:p>
        </w:tc>
        <w:tc>
          <w:tcPr>
            <w:tcW w:w="60" w:type="dxa"/>
            <w:vAlign w:val="bottom"/>
            <w:shd w:val="clear" w:color="auto" w:fill="BF2115"/>
          </w:tcPr>
          <w:p>
            <w:pPr>
              <w:spacing w:after="0"/>
              <w:rPr>
                <w:sz w:val="16"/>
                <w:szCs w:val="16"/>
                <w:color w:val="auto"/>
              </w:rPr>
            </w:pPr>
          </w:p>
        </w:tc>
        <w:tc>
          <w:tcPr>
            <w:tcW w:w="280" w:type="dxa"/>
            <w:vAlign w:val="bottom"/>
            <w:shd w:val="clear" w:color="auto" w:fill="BF2115"/>
          </w:tcPr>
          <w:p>
            <w:pPr>
              <w:spacing w:after="0"/>
              <w:rPr>
                <w:sz w:val="16"/>
                <w:szCs w:val="16"/>
                <w:color w:val="auto"/>
              </w:rPr>
            </w:pPr>
          </w:p>
        </w:tc>
        <w:tc>
          <w:tcPr>
            <w:tcW w:w="840" w:type="dxa"/>
            <w:vAlign w:val="bottom"/>
            <w:shd w:val="clear" w:color="auto" w:fill="BF2115"/>
          </w:tcPr>
          <w:p>
            <w:pPr>
              <w:spacing w:after="0"/>
              <w:rPr>
                <w:sz w:val="16"/>
                <w:szCs w:val="16"/>
                <w:color w:val="auto"/>
              </w:rPr>
            </w:pPr>
          </w:p>
        </w:tc>
        <w:tc>
          <w:tcPr>
            <w:tcW w:w="380" w:type="dxa"/>
            <w:vAlign w:val="bottom"/>
            <w:shd w:val="clear" w:color="auto" w:fill="BF2115"/>
          </w:tcPr>
          <w:p>
            <w:pPr>
              <w:spacing w:after="0"/>
              <w:rPr>
                <w:sz w:val="16"/>
                <w:szCs w:val="16"/>
                <w:color w:val="auto"/>
              </w:rPr>
            </w:pPr>
          </w:p>
        </w:tc>
        <w:tc>
          <w:tcPr>
            <w:tcW w:w="680" w:type="dxa"/>
            <w:vAlign w:val="bottom"/>
            <w:shd w:val="clear" w:color="auto" w:fill="BF2115"/>
          </w:tcPr>
          <w:p>
            <w:pPr>
              <w:spacing w:after="0"/>
              <w:rPr>
                <w:sz w:val="16"/>
                <w:szCs w:val="16"/>
                <w:color w:val="auto"/>
              </w:rPr>
            </w:pPr>
          </w:p>
        </w:tc>
        <w:tc>
          <w:tcPr>
            <w:tcW w:w="360" w:type="dxa"/>
            <w:vAlign w:val="bottom"/>
            <w:shd w:val="clear" w:color="auto" w:fill="BF2115"/>
          </w:tcPr>
          <w:p>
            <w:pPr>
              <w:spacing w:after="0"/>
              <w:rPr>
                <w:sz w:val="16"/>
                <w:szCs w:val="16"/>
                <w:color w:val="auto"/>
              </w:rPr>
            </w:pPr>
          </w:p>
        </w:tc>
        <w:tc>
          <w:tcPr>
            <w:tcW w:w="660" w:type="dxa"/>
            <w:vAlign w:val="bottom"/>
            <w:shd w:val="clear" w:color="auto" w:fill="BF2115"/>
          </w:tcPr>
          <w:p>
            <w:pPr>
              <w:spacing w:after="0"/>
              <w:rPr>
                <w:sz w:val="16"/>
                <w:szCs w:val="16"/>
                <w:color w:val="auto"/>
              </w:rPr>
            </w:pPr>
          </w:p>
        </w:tc>
        <w:tc>
          <w:tcPr>
            <w:tcW w:w="480" w:type="dxa"/>
            <w:vAlign w:val="bottom"/>
            <w:shd w:val="clear" w:color="auto" w:fill="BF2115"/>
          </w:tcPr>
          <w:p>
            <w:pPr>
              <w:spacing w:after="0"/>
              <w:rPr>
                <w:sz w:val="16"/>
                <w:szCs w:val="16"/>
                <w:color w:val="auto"/>
              </w:rPr>
            </w:pPr>
          </w:p>
        </w:tc>
        <w:tc>
          <w:tcPr>
            <w:tcW w:w="2580" w:type="dxa"/>
            <w:vAlign w:val="bottom"/>
            <w:gridSpan w:val="3"/>
            <w:shd w:val="clear" w:color="auto" w:fill="BF2115"/>
          </w:tcPr>
          <w:p>
            <w:pPr>
              <w:jc w:val="right"/>
              <w:ind w:right="498"/>
              <w:spacing w:after="0"/>
              <w:rPr>
                <w:sz w:val="20"/>
                <w:szCs w:val="20"/>
                <w:color w:val="auto"/>
              </w:rPr>
            </w:pPr>
            <w:r>
              <w:rPr>
                <w:rFonts w:ascii="Arial" w:cs="Arial" w:eastAsia="Arial" w:hAnsi="Arial"/>
                <w:sz w:val="12"/>
                <w:szCs w:val="12"/>
                <w:b w:val="1"/>
                <w:bCs w:val="1"/>
                <w:color w:val="FFFFFF"/>
              </w:rPr>
              <w:t>Change in Control</w:t>
            </w:r>
          </w:p>
        </w:tc>
        <w:tc>
          <w:tcPr>
            <w:tcW w:w="380" w:type="dxa"/>
            <w:vAlign w:val="bottom"/>
            <w:shd w:val="clear" w:color="auto" w:fill="BF2115"/>
          </w:tcPr>
          <w:p>
            <w:pPr>
              <w:spacing w:after="0"/>
              <w:rPr>
                <w:sz w:val="16"/>
                <w:szCs w:val="16"/>
                <w:color w:val="auto"/>
              </w:rPr>
            </w:pPr>
          </w:p>
        </w:tc>
      </w:tr>
      <w:tr>
        <w:trPr>
          <w:trHeight w:val="205"/>
        </w:trPr>
        <w:tc>
          <w:tcPr>
            <w:tcW w:w="3160" w:type="dxa"/>
            <w:vAlign w:val="bottom"/>
            <w:shd w:val="clear" w:color="auto" w:fill="BF2115"/>
          </w:tcPr>
          <w:p>
            <w:pPr>
              <w:spacing w:after="0"/>
              <w:rPr>
                <w:sz w:val="17"/>
                <w:szCs w:val="17"/>
                <w:color w:val="auto"/>
              </w:rPr>
            </w:pPr>
          </w:p>
        </w:tc>
        <w:tc>
          <w:tcPr>
            <w:tcW w:w="900" w:type="dxa"/>
            <w:vAlign w:val="bottom"/>
            <w:shd w:val="clear" w:color="auto" w:fill="BF2115"/>
          </w:tcPr>
          <w:p>
            <w:pPr>
              <w:spacing w:after="0"/>
              <w:rPr>
                <w:sz w:val="17"/>
                <w:szCs w:val="17"/>
                <w:color w:val="auto"/>
              </w:rPr>
            </w:pPr>
          </w:p>
        </w:tc>
        <w:tc>
          <w:tcPr>
            <w:tcW w:w="60" w:type="dxa"/>
            <w:vAlign w:val="bottom"/>
            <w:shd w:val="clear" w:color="auto" w:fill="BF2115"/>
          </w:tcPr>
          <w:p>
            <w:pPr>
              <w:spacing w:after="0"/>
              <w:rPr>
                <w:sz w:val="17"/>
                <w:szCs w:val="17"/>
                <w:color w:val="auto"/>
              </w:rPr>
            </w:pPr>
          </w:p>
        </w:tc>
        <w:tc>
          <w:tcPr>
            <w:tcW w:w="280" w:type="dxa"/>
            <w:vAlign w:val="bottom"/>
            <w:shd w:val="clear" w:color="auto" w:fill="BF2115"/>
          </w:tcPr>
          <w:p>
            <w:pPr>
              <w:spacing w:after="0"/>
              <w:rPr>
                <w:sz w:val="17"/>
                <w:szCs w:val="17"/>
                <w:color w:val="auto"/>
              </w:rPr>
            </w:pPr>
          </w:p>
        </w:tc>
        <w:tc>
          <w:tcPr>
            <w:tcW w:w="840" w:type="dxa"/>
            <w:vAlign w:val="bottom"/>
            <w:shd w:val="clear" w:color="auto" w:fill="BF2115"/>
          </w:tcPr>
          <w:p>
            <w:pPr>
              <w:spacing w:after="0"/>
              <w:rPr>
                <w:sz w:val="17"/>
                <w:szCs w:val="17"/>
                <w:color w:val="auto"/>
              </w:rPr>
            </w:pPr>
          </w:p>
        </w:tc>
        <w:tc>
          <w:tcPr>
            <w:tcW w:w="380" w:type="dxa"/>
            <w:vAlign w:val="bottom"/>
            <w:shd w:val="clear" w:color="auto" w:fill="BF2115"/>
          </w:tcPr>
          <w:p>
            <w:pPr>
              <w:spacing w:after="0"/>
              <w:rPr>
                <w:sz w:val="17"/>
                <w:szCs w:val="17"/>
                <w:color w:val="auto"/>
              </w:rPr>
            </w:pPr>
          </w:p>
        </w:tc>
        <w:tc>
          <w:tcPr>
            <w:tcW w:w="680" w:type="dxa"/>
            <w:vAlign w:val="bottom"/>
            <w:shd w:val="clear" w:color="auto" w:fill="BF2115"/>
          </w:tcPr>
          <w:p>
            <w:pPr>
              <w:spacing w:after="0"/>
              <w:rPr>
                <w:sz w:val="17"/>
                <w:szCs w:val="17"/>
                <w:color w:val="auto"/>
              </w:rPr>
            </w:pPr>
          </w:p>
        </w:tc>
        <w:tc>
          <w:tcPr>
            <w:tcW w:w="360" w:type="dxa"/>
            <w:vAlign w:val="bottom"/>
            <w:shd w:val="clear" w:color="auto" w:fill="BF2115"/>
          </w:tcPr>
          <w:p>
            <w:pPr>
              <w:spacing w:after="0"/>
              <w:rPr>
                <w:sz w:val="17"/>
                <w:szCs w:val="17"/>
                <w:color w:val="auto"/>
              </w:rPr>
            </w:pPr>
          </w:p>
        </w:tc>
        <w:tc>
          <w:tcPr>
            <w:tcW w:w="660" w:type="dxa"/>
            <w:vAlign w:val="bottom"/>
            <w:shd w:val="clear" w:color="auto" w:fill="BF2115"/>
          </w:tcPr>
          <w:p>
            <w:pPr>
              <w:spacing w:after="0"/>
              <w:rPr>
                <w:sz w:val="17"/>
                <w:szCs w:val="17"/>
                <w:color w:val="auto"/>
              </w:rPr>
            </w:pPr>
          </w:p>
        </w:tc>
        <w:tc>
          <w:tcPr>
            <w:tcW w:w="480" w:type="dxa"/>
            <w:vAlign w:val="bottom"/>
            <w:shd w:val="clear" w:color="auto" w:fill="BF2115"/>
          </w:tcPr>
          <w:p>
            <w:pPr>
              <w:spacing w:after="0"/>
              <w:rPr>
                <w:sz w:val="17"/>
                <w:szCs w:val="17"/>
                <w:color w:val="auto"/>
              </w:rPr>
            </w:pPr>
          </w:p>
        </w:tc>
        <w:tc>
          <w:tcPr>
            <w:tcW w:w="1020" w:type="dxa"/>
            <w:vAlign w:val="bottom"/>
            <w:shd w:val="clear" w:color="auto" w:fill="BF2115"/>
          </w:tcPr>
          <w:p>
            <w:pPr>
              <w:spacing w:after="0"/>
              <w:rPr>
                <w:sz w:val="17"/>
                <w:szCs w:val="17"/>
                <w:color w:val="auto"/>
              </w:rPr>
            </w:pPr>
          </w:p>
        </w:tc>
        <w:tc>
          <w:tcPr>
            <w:tcW w:w="380" w:type="dxa"/>
            <w:vAlign w:val="bottom"/>
            <w:shd w:val="clear" w:color="auto" w:fill="BF2115"/>
          </w:tcPr>
          <w:p>
            <w:pPr>
              <w:spacing w:after="0"/>
              <w:rPr>
                <w:sz w:val="17"/>
                <w:szCs w:val="17"/>
                <w:color w:val="auto"/>
              </w:rPr>
            </w:pPr>
          </w:p>
        </w:tc>
        <w:tc>
          <w:tcPr>
            <w:tcW w:w="156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Termination Without</w:t>
            </w:r>
          </w:p>
        </w:tc>
      </w:tr>
      <w:tr>
        <w:trPr>
          <w:trHeight w:val="147"/>
        </w:trPr>
        <w:tc>
          <w:tcPr>
            <w:tcW w:w="3160" w:type="dxa"/>
            <w:vAlign w:val="bottom"/>
            <w:shd w:val="clear" w:color="auto" w:fill="BF2115"/>
          </w:tcPr>
          <w:p>
            <w:pPr>
              <w:spacing w:after="0"/>
              <w:rPr>
                <w:sz w:val="12"/>
                <w:szCs w:val="12"/>
                <w:color w:val="auto"/>
              </w:rPr>
            </w:pPr>
          </w:p>
        </w:tc>
        <w:tc>
          <w:tcPr>
            <w:tcW w:w="960" w:type="dxa"/>
            <w:vAlign w:val="bottom"/>
            <w:gridSpan w:val="2"/>
            <w:shd w:val="clear" w:color="auto" w:fill="BF2115"/>
          </w:tcPr>
          <w:p>
            <w:pPr>
              <w:jc w:val="center"/>
              <w:ind w:left="238"/>
              <w:spacing w:after="0"/>
              <w:rPr>
                <w:sz w:val="20"/>
                <w:szCs w:val="20"/>
                <w:color w:val="auto"/>
              </w:rPr>
            </w:pPr>
            <w:r>
              <w:rPr>
                <w:rFonts w:ascii="Arial" w:cs="Arial" w:eastAsia="Arial" w:hAnsi="Arial"/>
                <w:sz w:val="12"/>
                <w:szCs w:val="12"/>
                <w:b w:val="1"/>
                <w:bCs w:val="1"/>
                <w:color w:val="FFFFFF"/>
              </w:rPr>
              <w:t>Voluntary</w:t>
            </w:r>
          </w:p>
        </w:tc>
        <w:tc>
          <w:tcPr>
            <w:tcW w:w="280" w:type="dxa"/>
            <w:vAlign w:val="bottom"/>
            <w:shd w:val="clear" w:color="auto" w:fill="BF2115"/>
          </w:tcPr>
          <w:p>
            <w:pPr>
              <w:spacing w:after="0"/>
              <w:rPr>
                <w:sz w:val="12"/>
                <w:szCs w:val="12"/>
                <w:color w:val="auto"/>
              </w:rPr>
            </w:pPr>
          </w:p>
        </w:tc>
        <w:tc>
          <w:tcPr>
            <w:tcW w:w="840" w:type="dxa"/>
            <w:vAlign w:val="bottom"/>
            <w:shd w:val="clear" w:color="auto" w:fill="BF2115"/>
          </w:tcPr>
          <w:p>
            <w:pPr>
              <w:spacing w:after="0"/>
              <w:rPr>
                <w:sz w:val="12"/>
                <w:szCs w:val="12"/>
                <w:color w:val="auto"/>
              </w:rPr>
            </w:pPr>
          </w:p>
        </w:tc>
        <w:tc>
          <w:tcPr>
            <w:tcW w:w="380" w:type="dxa"/>
            <w:vAlign w:val="bottom"/>
            <w:shd w:val="clear" w:color="auto" w:fill="BF2115"/>
          </w:tcPr>
          <w:p>
            <w:pPr>
              <w:spacing w:after="0"/>
              <w:rPr>
                <w:sz w:val="12"/>
                <w:szCs w:val="12"/>
                <w:color w:val="auto"/>
              </w:rPr>
            </w:pPr>
          </w:p>
        </w:tc>
        <w:tc>
          <w:tcPr>
            <w:tcW w:w="104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Involuntary</w:t>
            </w:r>
          </w:p>
        </w:tc>
        <w:tc>
          <w:tcPr>
            <w:tcW w:w="114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Termination</w:t>
            </w:r>
          </w:p>
        </w:tc>
        <w:tc>
          <w:tcPr>
            <w:tcW w:w="1020" w:type="dxa"/>
            <w:vAlign w:val="bottom"/>
            <w:shd w:val="clear" w:color="auto" w:fill="BF2115"/>
          </w:tcPr>
          <w:p>
            <w:pPr>
              <w:spacing w:after="0"/>
              <w:rPr>
                <w:sz w:val="12"/>
                <w:szCs w:val="12"/>
                <w:color w:val="auto"/>
              </w:rPr>
            </w:pPr>
          </w:p>
        </w:tc>
        <w:tc>
          <w:tcPr>
            <w:tcW w:w="380" w:type="dxa"/>
            <w:vAlign w:val="bottom"/>
            <w:shd w:val="clear" w:color="auto" w:fill="BF2115"/>
          </w:tcPr>
          <w:p>
            <w:pPr>
              <w:spacing w:after="0"/>
              <w:rPr>
                <w:sz w:val="12"/>
                <w:szCs w:val="12"/>
                <w:color w:val="auto"/>
              </w:rPr>
            </w:pPr>
          </w:p>
        </w:tc>
        <w:tc>
          <w:tcPr>
            <w:tcW w:w="156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Cause by TTC or by</w:t>
            </w:r>
          </w:p>
        </w:tc>
      </w:tr>
      <w:tr>
        <w:trPr>
          <w:trHeight w:val="160"/>
        </w:trPr>
        <w:tc>
          <w:tcPr>
            <w:tcW w:w="3160" w:type="dxa"/>
            <w:vAlign w:val="bottom"/>
            <w:shd w:val="clear" w:color="auto" w:fill="BF2115"/>
          </w:tcPr>
          <w:p>
            <w:pPr>
              <w:spacing w:after="0"/>
              <w:rPr>
                <w:sz w:val="13"/>
                <w:szCs w:val="13"/>
                <w:color w:val="auto"/>
              </w:rPr>
            </w:pPr>
          </w:p>
        </w:tc>
        <w:tc>
          <w:tcPr>
            <w:tcW w:w="1240" w:type="dxa"/>
            <w:vAlign w:val="bottom"/>
            <w:gridSpan w:val="3"/>
            <w:shd w:val="clear" w:color="auto" w:fill="BF2115"/>
          </w:tcPr>
          <w:p>
            <w:pPr>
              <w:jc w:val="center"/>
              <w:spacing w:after="0"/>
              <w:rPr>
                <w:sz w:val="20"/>
                <w:szCs w:val="20"/>
                <w:color w:val="auto"/>
              </w:rPr>
            </w:pPr>
            <w:r>
              <w:rPr>
                <w:rFonts w:ascii="Arial" w:cs="Arial" w:eastAsia="Arial" w:hAnsi="Arial"/>
                <w:sz w:val="12"/>
                <w:szCs w:val="12"/>
                <w:b w:val="1"/>
                <w:bCs w:val="1"/>
                <w:color w:val="FFFFFF"/>
              </w:rPr>
              <w:t>Resignation /</w:t>
            </w:r>
          </w:p>
        </w:tc>
        <w:tc>
          <w:tcPr>
            <w:tcW w:w="122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Disability or</w:t>
            </w:r>
          </w:p>
        </w:tc>
        <w:tc>
          <w:tcPr>
            <w:tcW w:w="104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Termination by</w:t>
            </w:r>
          </w:p>
        </w:tc>
        <w:tc>
          <w:tcPr>
            <w:tcW w:w="114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by TTC for</w:t>
            </w:r>
          </w:p>
        </w:tc>
        <w:tc>
          <w:tcPr>
            <w:tcW w:w="140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No Termination</w:t>
            </w:r>
          </w:p>
        </w:tc>
        <w:tc>
          <w:tcPr>
            <w:tcW w:w="156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Executive for Good</w:t>
            </w:r>
          </w:p>
        </w:tc>
      </w:tr>
      <w:tr>
        <w:trPr>
          <w:trHeight w:val="160"/>
        </w:trPr>
        <w:tc>
          <w:tcPr>
            <w:tcW w:w="3160" w:type="dxa"/>
            <w:vAlign w:val="bottom"/>
            <w:shd w:val="clear" w:color="auto" w:fill="BF2115"/>
          </w:tcPr>
          <w:p>
            <w:pPr>
              <w:spacing w:after="0"/>
              <w:rPr>
                <w:sz w:val="13"/>
                <w:szCs w:val="13"/>
                <w:color w:val="auto"/>
              </w:rPr>
            </w:pPr>
          </w:p>
        </w:tc>
        <w:tc>
          <w:tcPr>
            <w:tcW w:w="1240" w:type="dxa"/>
            <w:vAlign w:val="bottom"/>
            <w:gridSpan w:val="3"/>
            <w:shd w:val="clear" w:color="auto" w:fill="BF2115"/>
          </w:tcPr>
          <w:p>
            <w:pPr>
              <w:jc w:val="center"/>
              <w:spacing w:after="0" w:line="160" w:lineRule="exact"/>
              <w:rPr>
                <w:sz w:val="20"/>
                <w:szCs w:val="20"/>
                <w:color w:val="auto"/>
              </w:rPr>
            </w:pPr>
            <w:r>
              <w:rPr>
                <w:rFonts w:ascii="Arial" w:cs="Arial" w:eastAsia="Arial" w:hAnsi="Arial"/>
                <w:sz w:val="12"/>
                <w:szCs w:val="12"/>
                <w:b w:val="1"/>
                <w:bCs w:val="1"/>
                <w:color w:val="FFFFFF"/>
                <w:w w:val="97"/>
              </w:rPr>
              <w:t>Retirement</w:t>
            </w:r>
            <w:r>
              <w:rPr>
                <w:rFonts w:ascii="Arial" w:cs="Arial" w:eastAsia="Arial" w:hAnsi="Arial"/>
                <w:sz w:val="16"/>
                <w:szCs w:val="16"/>
                <w:b w:val="1"/>
                <w:bCs w:val="1"/>
                <w:color w:val="FFFFFF"/>
                <w:w w:val="97"/>
                <w:vertAlign w:val="superscript"/>
              </w:rPr>
              <w:t>(1)</w:t>
            </w:r>
          </w:p>
        </w:tc>
        <w:tc>
          <w:tcPr>
            <w:tcW w:w="840" w:type="dxa"/>
            <w:vAlign w:val="bottom"/>
            <w:shd w:val="clear" w:color="auto" w:fill="BF2115"/>
          </w:tcPr>
          <w:p>
            <w:pPr>
              <w:jc w:val="center"/>
              <w:ind w:left="318"/>
              <w:spacing w:after="0"/>
              <w:rPr>
                <w:sz w:val="20"/>
                <w:szCs w:val="20"/>
                <w:color w:val="auto"/>
              </w:rPr>
            </w:pPr>
            <w:r>
              <w:rPr>
                <w:rFonts w:ascii="Arial" w:cs="Arial" w:eastAsia="Arial" w:hAnsi="Arial"/>
                <w:sz w:val="12"/>
                <w:szCs w:val="12"/>
                <w:b w:val="1"/>
                <w:bCs w:val="1"/>
                <w:color w:val="FFFFFF"/>
              </w:rPr>
              <w:t>Death</w:t>
            </w:r>
          </w:p>
        </w:tc>
        <w:tc>
          <w:tcPr>
            <w:tcW w:w="380" w:type="dxa"/>
            <w:vAlign w:val="bottom"/>
            <w:shd w:val="clear" w:color="auto" w:fill="BF2115"/>
          </w:tcPr>
          <w:p>
            <w:pPr>
              <w:spacing w:after="0"/>
              <w:rPr>
                <w:sz w:val="13"/>
                <w:szCs w:val="13"/>
                <w:color w:val="auto"/>
              </w:rPr>
            </w:pPr>
          </w:p>
        </w:tc>
        <w:tc>
          <w:tcPr>
            <w:tcW w:w="104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TTC</w:t>
            </w:r>
          </w:p>
        </w:tc>
        <w:tc>
          <w:tcPr>
            <w:tcW w:w="114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Cause</w:t>
            </w:r>
          </w:p>
        </w:tc>
        <w:tc>
          <w:tcPr>
            <w:tcW w:w="1020" w:type="dxa"/>
            <w:vAlign w:val="bottom"/>
            <w:shd w:val="clear" w:color="auto" w:fill="BF2115"/>
          </w:tcPr>
          <w:p>
            <w:pPr>
              <w:jc w:val="center"/>
              <w:ind w:left="318"/>
              <w:spacing w:after="0"/>
              <w:rPr>
                <w:sz w:val="20"/>
                <w:szCs w:val="20"/>
                <w:color w:val="auto"/>
              </w:rPr>
            </w:pPr>
            <w:r>
              <w:rPr>
                <w:rFonts w:ascii="Arial" w:cs="Arial" w:eastAsia="Arial" w:hAnsi="Arial"/>
                <w:sz w:val="12"/>
                <w:szCs w:val="12"/>
                <w:b w:val="1"/>
                <w:bCs w:val="1"/>
                <w:color w:val="FFFFFF"/>
                <w:w w:val="97"/>
              </w:rPr>
              <w:t>Event</w:t>
            </w:r>
          </w:p>
        </w:tc>
        <w:tc>
          <w:tcPr>
            <w:tcW w:w="380" w:type="dxa"/>
            <w:vAlign w:val="bottom"/>
            <w:shd w:val="clear" w:color="auto" w:fill="BF2115"/>
          </w:tcPr>
          <w:p>
            <w:pPr>
              <w:spacing w:after="0"/>
              <w:rPr>
                <w:sz w:val="13"/>
                <w:szCs w:val="13"/>
                <w:color w:val="auto"/>
              </w:rPr>
            </w:pPr>
          </w:p>
        </w:tc>
        <w:tc>
          <w:tcPr>
            <w:tcW w:w="1180" w:type="dxa"/>
            <w:vAlign w:val="bottom"/>
            <w:shd w:val="clear" w:color="auto" w:fill="BF2115"/>
          </w:tcPr>
          <w:p>
            <w:pPr>
              <w:jc w:val="center"/>
              <w:ind w:left="318"/>
              <w:spacing w:after="0"/>
              <w:rPr>
                <w:sz w:val="20"/>
                <w:szCs w:val="20"/>
                <w:color w:val="auto"/>
              </w:rPr>
            </w:pPr>
            <w:r>
              <w:rPr>
                <w:rFonts w:ascii="Arial" w:cs="Arial" w:eastAsia="Arial" w:hAnsi="Arial"/>
                <w:sz w:val="12"/>
                <w:szCs w:val="12"/>
                <w:b w:val="1"/>
                <w:bCs w:val="1"/>
                <w:color w:val="FFFFFF"/>
              </w:rPr>
              <w:t>Reason</w:t>
            </w:r>
          </w:p>
        </w:tc>
        <w:tc>
          <w:tcPr>
            <w:tcW w:w="380" w:type="dxa"/>
            <w:vAlign w:val="bottom"/>
            <w:shd w:val="clear" w:color="auto" w:fill="BF2115"/>
          </w:tcPr>
          <w:p>
            <w:pPr>
              <w:spacing w:after="0"/>
              <w:rPr>
                <w:sz w:val="13"/>
                <w:szCs w:val="13"/>
                <w:color w:val="auto"/>
              </w:rPr>
            </w:pPr>
          </w:p>
        </w:tc>
      </w:tr>
      <w:tr>
        <w:trPr>
          <w:trHeight w:val="171"/>
        </w:trPr>
        <w:tc>
          <w:tcPr>
            <w:tcW w:w="3160" w:type="dxa"/>
            <w:vAlign w:val="bottom"/>
            <w:tcBorders>
              <w:bottom w:val="single" w:sz="8" w:color="BF2115"/>
            </w:tcBorders>
            <w:shd w:val="clear" w:color="auto" w:fill="BF2115"/>
          </w:tcPr>
          <w:p>
            <w:pPr>
              <w:ind w:left="20"/>
              <w:spacing w:after="0"/>
              <w:rPr>
                <w:sz w:val="20"/>
                <w:szCs w:val="20"/>
                <w:color w:val="auto"/>
              </w:rPr>
            </w:pPr>
            <w:r>
              <w:rPr>
                <w:rFonts w:ascii="Arial" w:cs="Arial" w:eastAsia="Arial" w:hAnsi="Arial"/>
                <w:sz w:val="12"/>
                <w:szCs w:val="12"/>
                <w:b w:val="1"/>
                <w:bCs w:val="1"/>
                <w:color w:val="FFFFFF"/>
              </w:rPr>
              <w:t>Name/Payment Type</w:t>
            </w:r>
          </w:p>
        </w:tc>
        <w:tc>
          <w:tcPr>
            <w:tcW w:w="900" w:type="dxa"/>
            <w:vAlign w:val="bottom"/>
            <w:tcBorders>
              <w:bottom w:val="single" w:sz="8" w:color="BF2115"/>
            </w:tcBorders>
            <w:shd w:val="clear" w:color="auto" w:fill="BF2115"/>
          </w:tcPr>
          <w:p>
            <w:pPr>
              <w:jc w:val="center"/>
              <w:ind w:left="298"/>
              <w:spacing w:after="0"/>
              <w:rPr>
                <w:sz w:val="20"/>
                <w:szCs w:val="20"/>
                <w:color w:val="auto"/>
              </w:rPr>
            </w:pPr>
            <w:r>
              <w:rPr>
                <w:rFonts w:ascii="Arial" w:cs="Arial" w:eastAsia="Arial" w:hAnsi="Arial"/>
                <w:sz w:val="12"/>
                <w:szCs w:val="12"/>
                <w:b w:val="1"/>
                <w:bCs w:val="1"/>
                <w:color w:val="FFFFFF"/>
                <w:w w:val="95"/>
              </w:rPr>
              <w:t>($)</w:t>
            </w:r>
          </w:p>
        </w:tc>
        <w:tc>
          <w:tcPr>
            <w:tcW w:w="60" w:type="dxa"/>
            <w:vAlign w:val="bottom"/>
            <w:tcBorders>
              <w:bottom w:val="single" w:sz="8" w:color="BF2115"/>
            </w:tcBorders>
            <w:shd w:val="clear" w:color="auto" w:fill="BF2115"/>
          </w:tcPr>
          <w:p>
            <w:pPr>
              <w:spacing w:after="0"/>
              <w:rPr>
                <w:sz w:val="14"/>
                <w:szCs w:val="14"/>
                <w:color w:val="auto"/>
              </w:rPr>
            </w:pPr>
          </w:p>
        </w:tc>
        <w:tc>
          <w:tcPr>
            <w:tcW w:w="280" w:type="dxa"/>
            <w:vAlign w:val="bottom"/>
            <w:tcBorders>
              <w:bottom w:val="single" w:sz="8" w:color="BF2115"/>
            </w:tcBorders>
            <w:shd w:val="clear" w:color="auto" w:fill="BF2115"/>
          </w:tcPr>
          <w:p>
            <w:pPr>
              <w:spacing w:after="0"/>
              <w:rPr>
                <w:sz w:val="14"/>
                <w:szCs w:val="14"/>
                <w:color w:val="auto"/>
              </w:rPr>
            </w:pPr>
          </w:p>
        </w:tc>
        <w:tc>
          <w:tcPr>
            <w:tcW w:w="840" w:type="dxa"/>
            <w:vAlign w:val="bottom"/>
            <w:tcBorders>
              <w:bottom w:val="single" w:sz="8" w:color="BF2115"/>
            </w:tcBorders>
            <w:shd w:val="clear" w:color="auto" w:fill="BF2115"/>
          </w:tcPr>
          <w:p>
            <w:pPr>
              <w:jc w:val="center"/>
              <w:ind w:left="318"/>
              <w:spacing w:after="0"/>
              <w:rPr>
                <w:sz w:val="20"/>
                <w:szCs w:val="20"/>
                <w:color w:val="auto"/>
              </w:rPr>
            </w:pPr>
            <w:r>
              <w:rPr>
                <w:rFonts w:ascii="Arial" w:cs="Arial" w:eastAsia="Arial" w:hAnsi="Arial"/>
                <w:sz w:val="12"/>
                <w:szCs w:val="12"/>
                <w:b w:val="1"/>
                <w:bCs w:val="1"/>
                <w:color w:val="FFFFFF"/>
                <w:w w:val="95"/>
              </w:rPr>
              <w:t>($)</w:t>
            </w:r>
          </w:p>
        </w:tc>
        <w:tc>
          <w:tcPr>
            <w:tcW w:w="380" w:type="dxa"/>
            <w:vAlign w:val="bottom"/>
            <w:tcBorders>
              <w:bottom w:val="single" w:sz="8" w:color="BF2115"/>
            </w:tcBorders>
            <w:shd w:val="clear" w:color="auto" w:fill="BF2115"/>
          </w:tcPr>
          <w:p>
            <w:pPr>
              <w:spacing w:after="0"/>
              <w:rPr>
                <w:sz w:val="14"/>
                <w:szCs w:val="14"/>
                <w:color w:val="auto"/>
              </w:rPr>
            </w:pPr>
          </w:p>
        </w:tc>
        <w:tc>
          <w:tcPr>
            <w:tcW w:w="680" w:type="dxa"/>
            <w:vAlign w:val="bottom"/>
            <w:tcBorders>
              <w:bottom w:val="single" w:sz="8" w:color="BF2115"/>
            </w:tcBorders>
            <w:shd w:val="clear" w:color="auto" w:fill="BF2115"/>
          </w:tcPr>
          <w:p>
            <w:pPr>
              <w:jc w:val="center"/>
              <w:ind w:left="298"/>
              <w:spacing w:after="0"/>
              <w:rPr>
                <w:sz w:val="20"/>
                <w:szCs w:val="20"/>
                <w:color w:val="auto"/>
              </w:rPr>
            </w:pPr>
            <w:r>
              <w:rPr>
                <w:rFonts w:ascii="Arial" w:cs="Arial" w:eastAsia="Arial" w:hAnsi="Arial"/>
                <w:sz w:val="12"/>
                <w:szCs w:val="12"/>
                <w:b w:val="1"/>
                <w:bCs w:val="1"/>
                <w:color w:val="FFFFFF"/>
              </w:rPr>
              <w:t>($)</w:t>
            </w:r>
          </w:p>
        </w:tc>
        <w:tc>
          <w:tcPr>
            <w:tcW w:w="360" w:type="dxa"/>
            <w:vAlign w:val="bottom"/>
            <w:tcBorders>
              <w:bottom w:val="single" w:sz="8" w:color="BF2115"/>
            </w:tcBorders>
            <w:shd w:val="clear" w:color="auto" w:fill="BF2115"/>
          </w:tcPr>
          <w:p>
            <w:pPr>
              <w:spacing w:after="0"/>
              <w:rPr>
                <w:sz w:val="14"/>
                <w:szCs w:val="14"/>
                <w:color w:val="auto"/>
              </w:rPr>
            </w:pPr>
          </w:p>
        </w:tc>
        <w:tc>
          <w:tcPr>
            <w:tcW w:w="660" w:type="dxa"/>
            <w:vAlign w:val="bottom"/>
            <w:tcBorders>
              <w:bottom w:val="single" w:sz="8" w:color="BF2115"/>
            </w:tcBorders>
            <w:shd w:val="clear" w:color="auto" w:fill="BF2115"/>
          </w:tcPr>
          <w:p>
            <w:pPr>
              <w:jc w:val="right"/>
              <w:spacing w:after="0"/>
              <w:rPr>
                <w:sz w:val="20"/>
                <w:szCs w:val="20"/>
                <w:color w:val="auto"/>
              </w:rPr>
            </w:pPr>
            <w:r>
              <w:rPr>
                <w:rFonts w:ascii="Arial" w:cs="Arial" w:eastAsia="Arial" w:hAnsi="Arial"/>
                <w:sz w:val="12"/>
                <w:szCs w:val="12"/>
                <w:b w:val="1"/>
                <w:bCs w:val="1"/>
                <w:color w:val="FFFFFF"/>
              </w:rPr>
              <w:t>($)</w:t>
            </w:r>
          </w:p>
        </w:tc>
        <w:tc>
          <w:tcPr>
            <w:tcW w:w="480" w:type="dxa"/>
            <w:vAlign w:val="bottom"/>
            <w:tcBorders>
              <w:bottom w:val="single" w:sz="8" w:color="BF2115"/>
            </w:tcBorders>
            <w:shd w:val="clear" w:color="auto" w:fill="BF2115"/>
          </w:tcPr>
          <w:p>
            <w:pPr>
              <w:spacing w:after="0"/>
              <w:rPr>
                <w:sz w:val="14"/>
                <w:szCs w:val="14"/>
                <w:color w:val="auto"/>
              </w:rPr>
            </w:pPr>
          </w:p>
        </w:tc>
        <w:tc>
          <w:tcPr>
            <w:tcW w:w="1020" w:type="dxa"/>
            <w:vAlign w:val="bottom"/>
            <w:tcBorders>
              <w:bottom w:val="single" w:sz="8" w:color="BF2115"/>
            </w:tcBorders>
            <w:shd w:val="clear" w:color="auto" w:fill="BF2115"/>
          </w:tcPr>
          <w:p>
            <w:pPr>
              <w:jc w:val="center"/>
              <w:ind w:left="318"/>
              <w:spacing w:after="0"/>
              <w:rPr>
                <w:sz w:val="20"/>
                <w:szCs w:val="20"/>
                <w:color w:val="auto"/>
              </w:rPr>
            </w:pPr>
            <w:r>
              <w:rPr>
                <w:rFonts w:ascii="Arial" w:cs="Arial" w:eastAsia="Arial" w:hAnsi="Arial"/>
                <w:sz w:val="12"/>
                <w:szCs w:val="12"/>
                <w:b w:val="1"/>
                <w:bCs w:val="1"/>
                <w:color w:val="FFFFFF"/>
              </w:rPr>
              <w:t>($)</w:t>
            </w:r>
          </w:p>
        </w:tc>
        <w:tc>
          <w:tcPr>
            <w:tcW w:w="380" w:type="dxa"/>
            <w:vAlign w:val="bottom"/>
            <w:tcBorders>
              <w:bottom w:val="single" w:sz="8" w:color="BF2115"/>
            </w:tcBorders>
            <w:shd w:val="clear" w:color="auto" w:fill="BF2115"/>
          </w:tcPr>
          <w:p>
            <w:pPr>
              <w:spacing w:after="0"/>
              <w:rPr>
                <w:sz w:val="14"/>
                <w:szCs w:val="14"/>
                <w:color w:val="auto"/>
              </w:rPr>
            </w:pPr>
          </w:p>
        </w:tc>
        <w:tc>
          <w:tcPr>
            <w:tcW w:w="1180" w:type="dxa"/>
            <w:vAlign w:val="bottom"/>
            <w:tcBorders>
              <w:bottom w:val="single" w:sz="8" w:color="BF2115"/>
            </w:tcBorders>
            <w:shd w:val="clear" w:color="auto" w:fill="BF2115"/>
          </w:tcPr>
          <w:p>
            <w:pPr>
              <w:jc w:val="center"/>
              <w:ind w:left="318"/>
              <w:spacing w:after="0"/>
              <w:rPr>
                <w:sz w:val="20"/>
                <w:szCs w:val="20"/>
                <w:color w:val="auto"/>
              </w:rPr>
            </w:pPr>
            <w:r>
              <w:rPr>
                <w:rFonts w:ascii="Arial" w:cs="Arial" w:eastAsia="Arial" w:hAnsi="Arial"/>
                <w:sz w:val="12"/>
                <w:szCs w:val="12"/>
                <w:b w:val="1"/>
                <w:bCs w:val="1"/>
                <w:color w:val="FFFFFF"/>
              </w:rPr>
              <w:t>($)</w:t>
            </w:r>
          </w:p>
        </w:tc>
        <w:tc>
          <w:tcPr>
            <w:tcW w:w="380" w:type="dxa"/>
            <w:vAlign w:val="bottom"/>
            <w:tcBorders>
              <w:bottom w:val="single" w:sz="8" w:color="BF2115"/>
            </w:tcBorders>
            <w:shd w:val="clear" w:color="auto" w:fill="BF2115"/>
          </w:tcPr>
          <w:p>
            <w:pPr>
              <w:spacing w:after="0"/>
              <w:rPr>
                <w:sz w:val="14"/>
                <w:szCs w:val="14"/>
                <w:color w:val="auto"/>
              </w:rPr>
            </w:pPr>
          </w:p>
        </w:tc>
      </w:tr>
      <w:tr>
        <w:trPr>
          <w:trHeight w:val="173"/>
        </w:trPr>
        <w:tc>
          <w:tcPr>
            <w:tcW w:w="3160" w:type="dxa"/>
            <w:vAlign w:val="bottom"/>
          </w:tcPr>
          <w:p>
            <w:pPr>
              <w:ind w:left="20"/>
              <w:spacing w:after="0"/>
              <w:rPr>
                <w:sz w:val="20"/>
                <w:szCs w:val="20"/>
                <w:color w:val="auto"/>
              </w:rPr>
            </w:pPr>
            <w:r>
              <w:rPr>
                <w:rFonts w:ascii="Arial" w:cs="Arial" w:eastAsia="Arial" w:hAnsi="Arial"/>
                <w:sz w:val="12"/>
                <w:szCs w:val="12"/>
                <w:color w:val="auto"/>
              </w:rPr>
              <w:t>Richard M. Olson</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62"/>
        </w:trPr>
        <w:tc>
          <w:tcPr>
            <w:tcW w:w="3160" w:type="dxa"/>
            <w:vAlign w:val="bottom"/>
          </w:tcPr>
          <w:p>
            <w:pPr>
              <w:ind w:left="220"/>
              <w:spacing w:after="0"/>
              <w:rPr>
                <w:sz w:val="20"/>
                <w:szCs w:val="20"/>
                <w:color w:val="auto"/>
              </w:rPr>
            </w:pPr>
            <w:r>
              <w:rPr>
                <w:rFonts w:ascii="Arial" w:cs="Arial" w:eastAsia="Arial" w:hAnsi="Arial"/>
                <w:sz w:val="12"/>
                <w:szCs w:val="12"/>
                <w:color w:val="auto"/>
              </w:rPr>
              <w:t>Cash Severance Payment</w:t>
            </w:r>
            <w:r>
              <w:rPr>
                <w:rFonts w:ascii="Arial" w:cs="Arial" w:eastAsia="Arial" w:hAnsi="Arial"/>
                <w:sz w:val="16"/>
                <w:szCs w:val="16"/>
                <w:color w:val="auto"/>
                <w:vertAlign w:val="superscript"/>
              </w:rPr>
              <w:t>2</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8,487,000</w:t>
            </w:r>
          </w:p>
        </w:tc>
        <w:tc>
          <w:tcPr>
            <w:tcW w:w="380" w:type="dxa"/>
            <w:vAlign w:val="bottom"/>
          </w:tcPr>
          <w:p>
            <w:pPr>
              <w:spacing w:after="0"/>
              <w:rPr>
                <w:sz w:val="22"/>
                <w:szCs w:val="22"/>
                <w:color w:val="auto"/>
              </w:rPr>
            </w:pPr>
          </w:p>
        </w:tc>
      </w:tr>
      <w:tr>
        <w:trPr>
          <w:trHeight w:val="200"/>
        </w:trPr>
        <w:tc>
          <w:tcPr>
            <w:tcW w:w="3160" w:type="dxa"/>
            <w:vAlign w:val="bottom"/>
          </w:tcPr>
          <w:p>
            <w:pPr>
              <w:ind w:left="220"/>
              <w:spacing w:after="0"/>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16"/>
                <w:szCs w:val="16"/>
                <w:color w:val="auto"/>
                <w:vertAlign w:val="superscript"/>
              </w:rPr>
              <w:t>3</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7"/>
                <w:szCs w:val="17"/>
                <w:color w:val="auto"/>
              </w:rPr>
            </w:pPr>
          </w:p>
        </w:tc>
      </w:tr>
      <w:tr>
        <w:trPr>
          <w:trHeight w:val="165"/>
        </w:trPr>
        <w:tc>
          <w:tcPr>
            <w:tcW w:w="3160" w:type="dxa"/>
            <w:vAlign w:val="bottom"/>
          </w:tcPr>
          <w:p>
            <w:pPr>
              <w:ind w:left="220"/>
              <w:spacing w:after="0"/>
              <w:rPr>
                <w:sz w:val="20"/>
                <w:szCs w:val="20"/>
                <w:color w:val="auto"/>
              </w:rPr>
            </w:pPr>
            <w:r>
              <w:rPr>
                <w:rFonts w:ascii="Arial" w:cs="Arial" w:eastAsia="Arial" w:hAnsi="Arial"/>
                <w:sz w:val="12"/>
                <w:szCs w:val="12"/>
                <w:color w:val="auto"/>
              </w:rPr>
              <w:t>Performance Share Award Payouts</w:t>
            </w:r>
          </w:p>
        </w:tc>
        <w:tc>
          <w:tcPr>
            <w:tcW w:w="900" w:type="dxa"/>
            <w:vAlign w:val="bottom"/>
          </w:tcPr>
          <w:p>
            <w:pPr>
              <w:jc w:val="right"/>
              <w:spacing w:after="0"/>
              <w:rPr>
                <w:sz w:val="20"/>
                <w:szCs w:val="20"/>
                <w:color w:val="auto"/>
              </w:rPr>
            </w:pPr>
            <w:r>
              <w:rPr>
                <w:rFonts w:ascii="Arial" w:cs="Arial" w:eastAsia="Arial" w:hAnsi="Arial"/>
                <w:sz w:val="12"/>
                <w:szCs w:val="12"/>
                <w:color w:val="auto"/>
              </w:rPr>
              <w:t>820,012</w:t>
            </w:r>
          </w:p>
        </w:tc>
        <w:tc>
          <w:tcPr>
            <w:tcW w:w="60" w:type="dxa"/>
            <w:vAlign w:val="bottom"/>
          </w:tcPr>
          <w:p>
            <w:pPr>
              <w:spacing w:after="0"/>
              <w:rPr>
                <w:sz w:val="14"/>
                <w:szCs w:val="14"/>
                <w:color w:val="auto"/>
              </w:rPr>
            </w:pPr>
          </w:p>
        </w:tc>
        <w:tc>
          <w:tcPr>
            <w:tcW w:w="280" w:type="dxa"/>
            <w:vAlign w:val="bottom"/>
          </w:tcPr>
          <w:p>
            <w:pPr>
              <w:jc w:val="right"/>
              <w:ind w:right="18"/>
              <w:spacing w:after="0"/>
              <w:rPr>
                <w:sz w:val="20"/>
                <w:szCs w:val="20"/>
                <w:color w:val="auto"/>
              </w:rPr>
            </w:pPr>
            <w:r>
              <w:rPr>
                <w:rFonts w:ascii="Arial" w:cs="Arial" w:eastAsia="Arial" w:hAnsi="Arial"/>
                <w:sz w:val="12"/>
                <w:szCs w:val="12"/>
                <w:color w:val="auto"/>
              </w:rPr>
              <w:t>(4)</w:t>
            </w:r>
          </w:p>
        </w:tc>
        <w:tc>
          <w:tcPr>
            <w:tcW w:w="840" w:type="dxa"/>
            <w:vAlign w:val="bottom"/>
          </w:tcPr>
          <w:p>
            <w:pPr>
              <w:jc w:val="right"/>
              <w:spacing w:after="0"/>
              <w:rPr>
                <w:sz w:val="20"/>
                <w:szCs w:val="20"/>
                <w:color w:val="auto"/>
              </w:rPr>
            </w:pPr>
            <w:r>
              <w:rPr>
                <w:rFonts w:ascii="Arial" w:cs="Arial" w:eastAsia="Arial" w:hAnsi="Arial"/>
                <w:sz w:val="12"/>
                <w:szCs w:val="12"/>
                <w:color w:val="auto"/>
              </w:rPr>
              <w:t>820,012</w:t>
            </w:r>
          </w:p>
        </w:tc>
        <w:tc>
          <w:tcPr>
            <w:tcW w:w="380" w:type="dxa"/>
            <w:vAlign w:val="bottom"/>
          </w:tcPr>
          <w:p>
            <w:pPr>
              <w:jc w:val="right"/>
              <w:ind w:right="58"/>
              <w:spacing w:after="0"/>
              <w:rPr>
                <w:sz w:val="20"/>
                <w:szCs w:val="20"/>
                <w:color w:val="auto"/>
              </w:rPr>
            </w:pPr>
            <w:r>
              <w:rPr>
                <w:rFonts w:ascii="Arial" w:cs="Arial" w:eastAsia="Arial" w:hAnsi="Arial"/>
                <w:sz w:val="12"/>
                <w:szCs w:val="12"/>
                <w:color w:val="auto"/>
              </w:rPr>
              <w:t>(4)</w:t>
            </w: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2,629,151</w:t>
            </w:r>
          </w:p>
        </w:tc>
        <w:tc>
          <w:tcPr>
            <w:tcW w:w="380" w:type="dxa"/>
            <w:vAlign w:val="bottom"/>
          </w:tcPr>
          <w:p>
            <w:pPr>
              <w:jc w:val="right"/>
              <w:ind w:right="58"/>
              <w:spacing w:after="0"/>
              <w:rPr>
                <w:sz w:val="20"/>
                <w:szCs w:val="20"/>
                <w:color w:val="auto"/>
              </w:rPr>
            </w:pPr>
            <w:r>
              <w:rPr>
                <w:rFonts w:ascii="Arial" w:cs="Arial" w:eastAsia="Arial" w:hAnsi="Arial"/>
                <w:sz w:val="12"/>
                <w:szCs w:val="12"/>
                <w:color w:val="auto"/>
              </w:rPr>
              <w:t>(5)</w:t>
            </w:r>
          </w:p>
        </w:tc>
        <w:tc>
          <w:tcPr>
            <w:tcW w:w="1180" w:type="dxa"/>
            <w:vAlign w:val="bottom"/>
          </w:tcPr>
          <w:p>
            <w:pPr>
              <w:jc w:val="right"/>
              <w:spacing w:after="0"/>
              <w:rPr>
                <w:sz w:val="20"/>
                <w:szCs w:val="20"/>
                <w:color w:val="auto"/>
              </w:rPr>
            </w:pPr>
            <w:r>
              <w:rPr>
                <w:rFonts w:ascii="Arial" w:cs="Arial" w:eastAsia="Arial" w:hAnsi="Arial"/>
                <w:sz w:val="12"/>
                <w:szCs w:val="12"/>
                <w:color w:val="auto"/>
              </w:rPr>
              <w:t>2,629,151</w:t>
            </w:r>
          </w:p>
        </w:tc>
        <w:tc>
          <w:tcPr>
            <w:tcW w:w="380" w:type="dxa"/>
            <w:vAlign w:val="bottom"/>
          </w:tcPr>
          <w:p>
            <w:pPr>
              <w:jc w:val="right"/>
              <w:ind w:right="38"/>
              <w:spacing w:after="0"/>
              <w:rPr>
                <w:sz w:val="20"/>
                <w:szCs w:val="20"/>
                <w:color w:val="auto"/>
              </w:rPr>
            </w:pPr>
            <w:r>
              <w:rPr>
                <w:rFonts w:ascii="Arial" w:cs="Arial" w:eastAsia="Arial" w:hAnsi="Arial"/>
                <w:sz w:val="12"/>
                <w:szCs w:val="12"/>
                <w:color w:val="auto"/>
              </w:rPr>
              <w:t>(5)</w:t>
            </w:r>
          </w:p>
        </w:tc>
      </w:tr>
      <w:tr>
        <w:trPr>
          <w:trHeight w:val="262"/>
        </w:trPr>
        <w:tc>
          <w:tcPr>
            <w:tcW w:w="3160" w:type="dxa"/>
            <w:vAlign w:val="bottom"/>
          </w:tcPr>
          <w:p>
            <w:pPr>
              <w:ind w:left="220"/>
              <w:spacing w:after="0"/>
              <w:rPr>
                <w:sz w:val="20"/>
                <w:szCs w:val="20"/>
                <w:color w:val="auto"/>
              </w:rPr>
            </w:pPr>
            <w:r>
              <w:rPr>
                <w:rFonts w:ascii="Arial" w:cs="Arial" w:eastAsia="Arial" w:hAnsi="Arial"/>
                <w:sz w:val="12"/>
                <w:szCs w:val="12"/>
                <w:color w:val="auto"/>
              </w:rPr>
              <w:t>Welfare Plan Benefits</w:t>
            </w:r>
            <w:r>
              <w:rPr>
                <w:rFonts w:ascii="Arial" w:cs="Arial" w:eastAsia="Arial" w:hAnsi="Arial"/>
                <w:sz w:val="16"/>
                <w:szCs w:val="16"/>
                <w:color w:val="auto"/>
                <w:vertAlign w:val="superscript"/>
              </w:rPr>
              <w:t>6</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56,902</w:t>
            </w:r>
          </w:p>
        </w:tc>
        <w:tc>
          <w:tcPr>
            <w:tcW w:w="380" w:type="dxa"/>
            <w:vAlign w:val="bottom"/>
          </w:tcPr>
          <w:p>
            <w:pPr>
              <w:spacing w:after="0"/>
              <w:rPr>
                <w:sz w:val="22"/>
                <w:szCs w:val="22"/>
                <w:color w:val="auto"/>
              </w:rPr>
            </w:pPr>
          </w:p>
        </w:tc>
      </w:tr>
      <w:tr>
        <w:trPr>
          <w:trHeight w:val="213"/>
        </w:trPr>
        <w:tc>
          <w:tcPr>
            <w:tcW w:w="3160" w:type="dxa"/>
            <w:vAlign w:val="bottom"/>
          </w:tcPr>
          <w:p>
            <w:pPr>
              <w:ind w:left="220"/>
              <w:spacing w:after="0"/>
              <w:rPr>
                <w:sz w:val="20"/>
                <w:szCs w:val="20"/>
                <w:color w:val="auto"/>
              </w:rPr>
            </w:pPr>
            <w:r>
              <w:rPr>
                <w:rFonts w:ascii="Arial" w:cs="Arial" w:eastAsia="Arial" w:hAnsi="Arial"/>
                <w:sz w:val="12"/>
                <w:szCs w:val="12"/>
                <w:color w:val="auto"/>
              </w:rPr>
              <w:t>Outplacement Services</w:t>
            </w:r>
            <w:r>
              <w:rPr>
                <w:rFonts w:ascii="Arial" w:cs="Arial" w:eastAsia="Arial" w:hAnsi="Arial"/>
                <w:sz w:val="16"/>
                <w:szCs w:val="16"/>
                <w:color w:val="auto"/>
                <w:vertAlign w:val="superscript"/>
              </w:rPr>
              <w:t>7</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30,000</w:t>
            </w:r>
          </w:p>
        </w:tc>
        <w:tc>
          <w:tcPr>
            <w:tcW w:w="380" w:type="dxa"/>
            <w:vAlign w:val="bottom"/>
          </w:tcPr>
          <w:p>
            <w:pPr>
              <w:spacing w:after="0"/>
              <w:rPr>
                <w:sz w:val="18"/>
                <w:szCs w:val="18"/>
                <w:color w:val="auto"/>
              </w:rPr>
            </w:pPr>
          </w:p>
        </w:tc>
      </w:tr>
      <w:tr>
        <w:trPr>
          <w:trHeight w:val="191"/>
        </w:trPr>
        <w:tc>
          <w:tcPr>
            <w:tcW w:w="3160" w:type="dxa"/>
            <w:vAlign w:val="bottom"/>
          </w:tcPr>
          <w:p>
            <w:pPr>
              <w:ind w:left="220"/>
              <w:spacing w:after="0"/>
              <w:rPr>
                <w:sz w:val="20"/>
                <w:szCs w:val="20"/>
                <w:color w:val="auto"/>
              </w:rPr>
            </w:pPr>
            <w:r>
              <w:rPr>
                <w:rFonts w:ascii="Arial" w:cs="Arial" w:eastAsia="Arial" w:hAnsi="Arial"/>
                <w:sz w:val="12"/>
                <w:szCs w:val="12"/>
                <w:color w:val="auto"/>
              </w:rPr>
              <w:t>Perquisites</w:t>
            </w:r>
            <w:r>
              <w:rPr>
                <w:rFonts w:ascii="Arial" w:cs="Arial" w:eastAsia="Arial" w:hAnsi="Arial"/>
                <w:sz w:val="16"/>
                <w:szCs w:val="16"/>
                <w:color w:val="auto"/>
                <w:vertAlign w:val="superscript"/>
              </w:rPr>
              <w:t>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40,396</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6"/>
                <w:szCs w:val="16"/>
                <w:color w:val="auto"/>
              </w:rPr>
            </w:pPr>
          </w:p>
        </w:tc>
      </w:tr>
      <w:tr>
        <w:trPr>
          <w:trHeight w:val="173"/>
        </w:trPr>
        <w:tc>
          <w:tcPr>
            <w:tcW w:w="3160" w:type="dxa"/>
            <w:vAlign w:val="bottom"/>
          </w:tcPr>
          <w:p>
            <w:pPr>
              <w:ind w:left="20"/>
              <w:spacing w:after="0"/>
              <w:rPr>
                <w:sz w:val="20"/>
                <w:szCs w:val="20"/>
                <w:color w:val="auto"/>
              </w:rPr>
            </w:pPr>
            <w:r>
              <w:rPr>
                <w:rFonts w:ascii="Arial" w:cs="Arial" w:eastAsia="Arial" w:hAnsi="Arial"/>
                <w:sz w:val="12"/>
                <w:szCs w:val="12"/>
                <w:b w:val="1"/>
                <w:bCs w:val="1"/>
                <w:color w:val="auto"/>
              </w:rPr>
              <w:t>Total</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860,408</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820,012</w:t>
            </w:r>
          </w:p>
        </w:tc>
        <w:tc>
          <w:tcPr>
            <w:tcW w:w="3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0</w:t>
            </w: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0</w:t>
            </w:r>
          </w:p>
        </w:tc>
        <w:tc>
          <w:tcPr>
            <w:tcW w:w="4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2,629,151</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2"/>
                <w:szCs w:val="12"/>
                <w:b w:val="1"/>
                <w:bCs w:val="1"/>
                <w:color w:val="auto"/>
              </w:rPr>
              <w:t>11,203,053</w:t>
            </w:r>
          </w:p>
        </w:tc>
        <w:tc>
          <w:tcPr>
            <w:tcW w:w="380" w:type="dxa"/>
            <w:vAlign w:val="bottom"/>
          </w:tcPr>
          <w:p>
            <w:pPr>
              <w:spacing w:after="0"/>
              <w:rPr>
                <w:sz w:val="15"/>
                <w:szCs w:val="15"/>
                <w:color w:val="auto"/>
              </w:rPr>
            </w:pPr>
          </w:p>
        </w:tc>
      </w:tr>
      <w:tr>
        <w:trPr>
          <w:trHeight w:val="21"/>
        </w:trPr>
        <w:tc>
          <w:tcPr>
            <w:tcW w:w="3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3"/>
        </w:trPr>
        <w:tc>
          <w:tcPr>
            <w:tcW w:w="3160" w:type="dxa"/>
            <w:vAlign w:val="bottom"/>
            <w:shd w:val="clear" w:color="auto" w:fill="DBDBDB"/>
          </w:tcPr>
          <w:p>
            <w:pPr>
              <w:ind w:left="20"/>
              <w:spacing w:after="0"/>
              <w:rPr>
                <w:sz w:val="20"/>
                <w:szCs w:val="20"/>
                <w:color w:val="auto"/>
              </w:rPr>
            </w:pPr>
            <w:r>
              <w:rPr>
                <w:rFonts w:ascii="Arial" w:cs="Arial" w:eastAsia="Arial" w:hAnsi="Arial"/>
                <w:sz w:val="12"/>
                <w:szCs w:val="12"/>
                <w:color w:val="auto"/>
              </w:rPr>
              <w:t>Angela C. Drake</w:t>
            </w:r>
          </w:p>
        </w:tc>
        <w:tc>
          <w:tcPr>
            <w:tcW w:w="90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r>
      <w:tr>
        <w:trPr>
          <w:trHeight w:val="240"/>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Cash Severance Payment</w:t>
            </w:r>
            <w:r>
              <w:rPr>
                <w:rFonts w:ascii="Arial" w:cs="Arial" w:eastAsia="Arial" w:hAnsi="Arial"/>
                <w:sz w:val="16"/>
                <w:szCs w:val="16"/>
                <w:color w:val="auto"/>
                <w:vertAlign w:val="superscript"/>
              </w:rPr>
              <w:t>2</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6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20"/>
                <w:szCs w:val="20"/>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20"/>
                <w:szCs w:val="20"/>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20"/>
                <w:szCs w:val="20"/>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2,067,200</w:t>
            </w:r>
          </w:p>
        </w:tc>
        <w:tc>
          <w:tcPr>
            <w:tcW w:w="380" w:type="dxa"/>
            <w:vAlign w:val="bottom"/>
            <w:shd w:val="clear" w:color="auto" w:fill="DBDBDB"/>
          </w:tcPr>
          <w:p>
            <w:pPr>
              <w:spacing w:after="0"/>
              <w:rPr>
                <w:sz w:val="20"/>
                <w:szCs w:val="20"/>
                <w:color w:val="auto"/>
              </w:rPr>
            </w:pPr>
          </w:p>
        </w:tc>
      </w:tr>
      <w:tr>
        <w:trPr>
          <w:trHeight w:val="213"/>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16"/>
                <w:szCs w:val="16"/>
                <w:color w:val="auto"/>
                <w:vertAlign w:val="superscript"/>
              </w:rPr>
              <w:t>3</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r>
      <w:tr>
        <w:trPr>
          <w:trHeight w:val="213"/>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Unvested &amp; Accelerated Restricted Stock Units</w:t>
            </w:r>
            <w:r>
              <w:rPr>
                <w:rFonts w:ascii="Arial" w:cs="Arial" w:eastAsia="Arial" w:hAnsi="Arial"/>
                <w:sz w:val="16"/>
                <w:szCs w:val="16"/>
                <w:color w:val="auto"/>
                <w:vertAlign w:val="superscript"/>
              </w:rPr>
              <w:t>9</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203,158</w:t>
            </w: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203,158</w:t>
            </w:r>
          </w:p>
        </w:tc>
        <w:tc>
          <w:tcPr>
            <w:tcW w:w="380" w:type="dxa"/>
            <w:vAlign w:val="bottom"/>
            <w:shd w:val="clear" w:color="auto" w:fill="DBDBDB"/>
          </w:tcPr>
          <w:p>
            <w:pPr>
              <w:spacing w:after="0"/>
              <w:rPr>
                <w:sz w:val="18"/>
                <w:szCs w:val="18"/>
                <w:color w:val="auto"/>
              </w:rPr>
            </w:pPr>
          </w:p>
        </w:tc>
      </w:tr>
      <w:tr>
        <w:trPr>
          <w:trHeight w:val="173"/>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Performance Share Award Payouts</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208,422</w:t>
            </w:r>
          </w:p>
        </w:tc>
        <w:tc>
          <w:tcPr>
            <w:tcW w:w="60" w:type="dxa"/>
            <w:vAlign w:val="bottom"/>
            <w:shd w:val="clear" w:color="auto" w:fill="DBDBDB"/>
          </w:tcPr>
          <w:p>
            <w:pPr>
              <w:spacing w:after="0"/>
              <w:rPr>
                <w:sz w:val="15"/>
                <w:szCs w:val="15"/>
                <w:color w:val="auto"/>
              </w:rPr>
            </w:pPr>
          </w:p>
        </w:tc>
        <w:tc>
          <w:tcPr>
            <w:tcW w:w="280" w:type="dxa"/>
            <w:vAlign w:val="bottom"/>
            <w:shd w:val="clear" w:color="auto" w:fill="DBDBDB"/>
          </w:tcPr>
          <w:p>
            <w:pPr>
              <w:jc w:val="right"/>
              <w:ind w:right="18"/>
              <w:spacing w:after="0"/>
              <w:rPr>
                <w:sz w:val="20"/>
                <w:szCs w:val="20"/>
                <w:color w:val="auto"/>
              </w:rPr>
            </w:pPr>
            <w:r>
              <w:rPr>
                <w:rFonts w:ascii="Arial" w:cs="Arial" w:eastAsia="Arial" w:hAnsi="Arial"/>
                <w:sz w:val="12"/>
                <w:szCs w:val="12"/>
                <w:color w:val="auto"/>
              </w:rPr>
              <w:t>(4)</w:t>
            </w: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208,422</w:t>
            </w:r>
          </w:p>
        </w:tc>
        <w:tc>
          <w:tcPr>
            <w:tcW w:w="380" w:type="dxa"/>
            <w:vAlign w:val="bottom"/>
            <w:shd w:val="clear" w:color="auto" w:fill="DBDBDB"/>
          </w:tcPr>
          <w:p>
            <w:pPr>
              <w:jc w:val="right"/>
              <w:ind w:right="58"/>
              <w:spacing w:after="0"/>
              <w:rPr>
                <w:sz w:val="20"/>
                <w:szCs w:val="20"/>
                <w:color w:val="auto"/>
              </w:rPr>
            </w:pPr>
            <w:r>
              <w:rPr>
                <w:rFonts w:ascii="Arial" w:cs="Arial" w:eastAsia="Arial" w:hAnsi="Arial"/>
                <w:sz w:val="12"/>
                <w:szCs w:val="12"/>
                <w:color w:val="auto"/>
              </w:rPr>
              <w:t>(4)</w:t>
            </w: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15"/>
                <w:szCs w:val="15"/>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15"/>
                <w:szCs w:val="15"/>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634,234</w:t>
            </w:r>
          </w:p>
        </w:tc>
        <w:tc>
          <w:tcPr>
            <w:tcW w:w="380" w:type="dxa"/>
            <w:vAlign w:val="bottom"/>
            <w:shd w:val="clear" w:color="auto" w:fill="DBDBDB"/>
          </w:tcPr>
          <w:p>
            <w:pPr>
              <w:jc w:val="right"/>
              <w:ind w:right="58"/>
              <w:spacing w:after="0"/>
              <w:rPr>
                <w:sz w:val="20"/>
                <w:szCs w:val="20"/>
                <w:color w:val="auto"/>
              </w:rPr>
            </w:pPr>
            <w:r>
              <w:rPr>
                <w:rFonts w:ascii="Arial" w:cs="Arial" w:eastAsia="Arial" w:hAnsi="Arial"/>
                <w:sz w:val="12"/>
                <w:szCs w:val="12"/>
                <w:color w:val="auto"/>
              </w:rPr>
              <w:t>(5)</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634,234</w:t>
            </w:r>
          </w:p>
        </w:tc>
        <w:tc>
          <w:tcPr>
            <w:tcW w:w="380" w:type="dxa"/>
            <w:vAlign w:val="bottom"/>
            <w:shd w:val="clear" w:color="auto" w:fill="DBDBDB"/>
          </w:tcPr>
          <w:p>
            <w:pPr>
              <w:jc w:val="right"/>
              <w:ind w:right="38"/>
              <w:spacing w:after="0"/>
              <w:rPr>
                <w:sz w:val="20"/>
                <w:szCs w:val="20"/>
                <w:color w:val="auto"/>
              </w:rPr>
            </w:pPr>
            <w:r>
              <w:rPr>
                <w:rFonts w:ascii="Arial" w:cs="Arial" w:eastAsia="Arial" w:hAnsi="Arial"/>
                <w:sz w:val="12"/>
                <w:szCs w:val="12"/>
                <w:color w:val="auto"/>
              </w:rPr>
              <w:t>(5)</w:t>
            </w:r>
          </w:p>
        </w:tc>
      </w:tr>
      <w:tr>
        <w:trPr>
          <w:trHeight w:val="240"/>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Welfare Plan Benefits</w:t>
            </w:r>
            <w:r>
              <w:rPr>
                <w:rFonts w:ascii="Arial" w:cs="Arial" w:eastAsia="Arial" w:hAnsi="Arial"/>
                <w:sz w:val="16"/>
                <w:szCs w:val="16"/>
                <w:color w:val="auto"/>
                <w:vertAlign w:val="superscript"/>
              </w:rPr>
              <w:t>6</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6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20"/>
                <w:szCs w:val="20"/>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20"/>
                <w:szCs w:val="20"/>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20"/>
                <w:szCs w:val="20"/>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75,956</w:t>
            </w:r>
          </w:p>
        </w:tc>
        <w:tc>
          <w:tcPr>
            <w:tcW w:w="380" w:type="dxa"/>
            <w:vAlign w:val="bottom"/>
            <w:shd w:val="clear" w:color="auto" w:fill="DBDBDB"/>
          </w:tcPr>
          <w:p>
            <w:pPr>
              <w:spacing w:after="0"/>
              <w:rPr>
                <w:sz w:val="20"/>
                <w:szCs w:val="20"/>
                <w:color w:val="auto"/>
              </w:rPr>
            </w:pPr>
          </w:p>
        </w:tc>
      </w:tr>
      <w:tr>
        <w:trPr>
          <w:trHeight w:val="213"/>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Outplacement Services</w:t>
            </w:r>
            <w:r>
              <w:rPr>
                <w:rFonts w:ascii="Arial" w:cs="Arial" w:eastAsia="Arial" w:hAnsi="Arial"/>
                <w:sz w:val="16"/>
                <w:szCs w:val="16"/>
                <w:color w:val="auto"/>
                <w:vertAlign w:val="superscript"/>
              </w:rPr>
              <w:t>7</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30,000</w:t>
            </w:r>
          </w:p>
        </w:tc>
        <w:tc>
          <w:tcPr>
            <w:tcW w:w="380" w:type="dxa"/>
            <w:vAlign w:val="bottom"/>
            <w:shd w:val="clear" w:color="auto" w:fill="DBDBDB"/>
          </w:tcPr>
          <w:p>
            <w:pPr>
              <w:spacing w:after="0"/>
              <w:rPr>
                <w:sz w:val="18"/>
                <w:szCs w:val="18"/>
                <w:color w:val="auto"/>
              </w:rPr>
            </w:pPr>
          </w:p>
        </w:tc>
      </w:tr>
      <w:tr>
        <w:trPr>
          <w:trHeight w:val="213"/>
        </w:trPr>
        <w:tc>
          <w:tcPr>
            <w:tcW w:w="31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2"/>
                <w:szCs w:val="12"/>
                <w:color w:val="auto"/>
              </w:rPr>
              <w:t>Perquisites</w:t>
            </w:r>
            <w:r>
              <w:rPr>
                <w:rFonts w:ascii="Arial" w:cs="Arial" w:eastAsia="Arial" w:hAnsi="Arial"/>
                <w:sz w:val="16"/>
                <w:szCs w:val="16"/>
                <w:color w:val="auto"/>
                <w:vertAlign w:val="superscript"/>
              </w:rPr>
              <w:t>8</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27,127</w:t>
            </w:r>
          </w:p>
        </w:tc>
        <w:tc>
          <w:tcPr>
            <w:tcW w:w="60" w:type="dxa"/>
            <w:vAlign w:val="bottom"/>
            <w:tcBorders>
              <w:bottom w:val="single" w:sz="8" w:color="DBDBDB"/>
            </w:tcBorders>
            <w:shd w:val="clear" w:color="auto" w:fill="DBDBDB"/>
          </w:tcPr>
          <w:p>
            <w:pPr>
              <w:spacing w:after="0"/>
              <w:rPr>
                <w:sz w:val="18"/>
                <w:szCs w:val="18"/>
                <w:color w:val="auto"/>
              </w:rPr>
            </w:pPr>
          </w:p>
        </w:tc>
        <w:tc>
          <w:tcPr>
            <w:tcW w:w="280" w:type="dxa"/>
            <w:vAlign w:val="bottom"/>
            <w:tcBorders>
              <w:bottom w:val="single" w:sz="8" w:color="DBDBDB"/>
            </w:tcBorders>
            <w:shd w:val="clear" w:color="auto" w:fill="DBDBDB"/>
          </w:tcPr>
          <w:p>
            <w:pPr>
              <w:spacing w:after="0"/>
              <w:rPr>
                <w:sz w:val="18"/>
                <w:szCs w:val="18"/>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tcBorders>
              <w:bottom w:val="single" w:sz="8" w:color="DBDBDB"/>
            </w:tcBorders>
            <w:shd w:val="clear" w:color="auto" w:fill="DBDBDB"/>
          </w:tcPr>
          <w:p>
            <w:pPr>
              <w:spacing w:after="0"/>
              <w:rPr>
                <w:sz w:val="18"/>
                <w:szCs w:val="18"/>
                <w:color w:val="auto"/>
              </w:rPr>
            </w:pPr>
          </w:p>
        </w:tc>
      </w:tr>
      <w:tr>
        <w:trPr>
          <w:trHeight w:val="173"/>
        </w:trPr>
        <w:tc>
          <w:tcPr>
            <w:tcW w:w="3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Total</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235,549</w:t>
            </w:r>
          </w:p>
        </w:tc>
        <w:tc>
          <w:tcPr>
            <w:tcW w:w="60" w:type="dxa"/>
            <w:vAlign w:val="bottom"/>
            <w:tcBorders>
              <w:bottom w:val="single" w:sz="8" w:color="DBDBDB"/>
            </w:tcBorders>
            <w:shd w:val="clear" w:color="auto" w:fill="DBDBDB"/>
          </w:tcPr>
          <w:p>
            <w:pPr>
              <w:spacing w:after="0"/>
              <w:rPr>
                <w:sz w:val="15"/>
                <w:szCs w:val="15"/>
                <w:color w:val="auto"/>
              </w:rPr>
            </w:pPr>
          </w:p>
        </w:tc>
        <w:tc>
          <w:tcPr>
            <w:tcW w:w="280" w:type="dxa"/>
            <w:vAlign w:val="bottom"/>
            <w:tcBorders>
              <w:bottom w:val="single" w:sz="8" w:color="DBDBDB"/>
            </w:tcBorders>
            <w:shd w:val="clear" w:color="auto" w:fill="DBDBDB"/>
          </w:tcPr>
          <w:p>
            <w:pPr>
              <w:spacing w:after="0"/>
              <w:rPr>
                <w:sz w:val="15"/>
                <w:szCs w:val="15"/>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208,422</w:t>
            </w:r>
          </w:p>
        </w:tc>
        <w:tc>
          <w:tcPr>
            <w:tcW w:w="380" w:type="dxa"/>
            <w:vAlign w:val="bottom"/>
            <w:tcBorders>
              <w:bottom w:val="single" w:sz="8" w:color="DBDBDB"/>
            </w:tcBorders>
            <w:shd w:val="clear" w:color="auto" w:fill="DBDBDB"/>
          </w:tcPr>
          <w:p>
            <w:pPr>
              <w:spacing w:after="0"/>
              <w:rPr>
                <w:sz w:val="15"/>
                <w:szCs w:val="15"/>
                <w:color w:val="auto"/>
              </w:rPr>
            </w:pP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0</w:t>
            </w:r>
          </w:p>
        </w:tc>
        <w:tc>
          <w:tcPr>
            <w:tcW w:w="360" w:type="dxa"/>
            <w:vAlign w:val="bottom"/>
            <w:tcBorders>
              <w:bottom w:val="single" w:sz="8" w:color="DBDBDB"/>
            </w:tcBorders>
            <w:shd w:val="clear" w:color="auto" w:fill="DBDBDB"/>
          </w:tcPr>
          <w:p>
            <w:pPr>
              <w:spacing w:after="0"/>
              <w:rPr>
                <w:sz w:val="15"/>
                <w:szCs w:val="15"/>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0</w:t>
            </w:r>
          </w:p>
        </w:tc>
        <w:tc>
          <w:tcPr>
            <w:tcW w:w="480" w:type="dxa"/>
            <w:vAlign w:val="bottom"/>
            <w:tcBorders>
              <w:bottom w:val="single" w:sz="8" w:color="DBDBDB"/>
            </w:tcBorders>
            <w:shd w:val="clear" w:color="auto" w:fill="DBDBDB"/>
          </w:tcPr>
          <w:p>
            <w:pPr>
              <w:spacing w:after="0"/>
              <w:rPr>
                <w:sz w:val="15"/>
                <w:szCs w:val="15"/>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837,392</w:t>
            </w:r>
          </w:p>
        </w:tc>
        <w:tc>
          <w:tcPr>
            <w:tcW w:w="3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3,010,548</w:t>
            </w:r>
          </w:p>
        </w:tc>
        <w:tc>
          <w:tcPr>
            <w:tcW w:w="380" w:type="dxa"/>
            <w:vAlign w:val="bottom"/>
            <w:tcBorders>
              <w:bottom w:val="single" w:sz="8" w:color="DBDBDB"/>
            </w:tcBorders>
            <w:shd w:val="clear" w:color="auto" w:fill="DBDBDB"/>
          </w:tcPr>
          <w:p>
            <w:pPr>
              <w:spacing w:after="0"/>
              <w:rPr>
                <w:sz w:val="15"/>
                <w:szCs w:val="15"/>
                <w:color w:val="auto"/>
              </w:rPr>
            </w:pPr>
          </w:p>
        </w:tc>
      </w:tr>
      <w:tr>
        <w:trPr>
          <w:trHeight w:val="173"/>
        </w:trPr>
        <w:tc>
          <w:tcPr>
            <w:tcW w:w="3160" w:type="dxa"/>
            <w:vAlign w:val="bottom"/>
          </w:tcPr>
          <w:p>
            <w:pPr>
              <w:ind w:left="20"/>
              <w:spacing w:after="0"/>
              <w:rPr>
                <w:sz w:val="20"/>
                <w:szCs w:val="20"/>
                <w:color w:val="auto"/>
              </w:rPr>
            </w:pPr>
            <w:r>
              <w:rPr>
                <w:rFonts w:ascii="Arial" w:cs="Arial" w:eastAsia="Arial" w:hAnsi="Arial"/>
                <w:sz w:val="12"/>
                <w:szCs w:val="12"/>
                <w:color w:val="auto"/>
              </w:rPr>
              <w:t>Edric C. Funk</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62"/>
        </w:trPr>
        <w:tc>
          <w:tcPr>
            <w:tcW w:w="3160" w:type="dxa"/>
            <w:vAlign w:val="bottom"/>
          </w:tcPr>
          <w:p>
            <w:pPr>
              <w:ind w:left="220"/>
              <w:spacing w:after="0"/>
              <w:rPr>
                <w:sz w:val="20"/>
                <w:szCs w:val="20"/>
                <w:color w:val="auto"/>
              </w:rPr>
            </w:pPr>
            <w:r>
              <w:rPr>
                <w:rFonts w:ascii="Arial" w:cs="Arial" w:eastAsia="Arial" w:hAnsi="Arial"/>
                <w:sz w:val="12"/>
                <w:szCs w:val="12"/>
                <w:color w:val="auto"/>
              </w:rPr>
              <w:t>Cash Severance Payment</w:t>
            </w:r>
            <w:r>
              <w:rPr>
                <w:rFonts w:ascii="Arial" w:cs="Arial" w:eastAsia="Arial" w:hAnsi="Arial"/>
                <w:sz w:val="16"/>
                <w:szCs w:val="16"/>
                <w:color w:val="auto"/>
                <w:vertAlign w:val="superscript"/>
              </w:rPr>
              <w:t>2</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2,310,000</w:t>
            </w:r>
          </w:p>
        </w:tc>
        <w:tc>
          <w:tcPr>
            <w:tcW w:w="380" w:type="dxa"/>
            <w:vAlign w:val="bottom"/>
          </w:tcPr>
          <w:p>
            <w:pPr>
              <w:spacing w:after="0"/>
              <w:rPr>
                <w:sz w:val="22"/>
                <w:szCs w:val="22"/>
                <w:color w:val="auto"/>
              </w:rPr>
            </w:pPr>
          </w:p>
        </w:tc>
      </w:tr>
      <w:tr>
        <w:trPr>
          <w:trHeight w:val="213"/>
        </w:trPr>
        <w:tc>
          <w:tcPr>
            <w:tcW w:w="3160" w:type="dxa"/>
            <w:vAlign w:val="bottom"/>
          </w:tcPr>
          <w:p>
            <w:pPr>
              <w:ind w:left="220"/>
              <w:spacing w:after="0"/>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16"/>
                <w:szCs w:val="16"/>
                <w:color w:val="auto"/>
                <w:vertAlign w:val="superscript"/>
              </w:rPr>
              <w:t>3</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r>
      <w:tr>
        <w:trPr>
          <w:trHeight w:val="200"/>
        </w:trPr>
        <w:tc>
          <w:tcPr>
            <w:tcW w:w="3160" w:type="dxa"/>
            <w:vAlign w:val="bottom"/>
          </w:tcPr>
          <w:p>
            <w:pPr>
              <w:ind w:left="220"/>
              <w:spacing w:after="0"/>
              <w:rPr>
                <w:sz w:val="20"/>
                <w:szCs w:val="20"/>
                <w:color w:val="auto"/>
              </w:rPr>
            </w:pPr>
            <w:r>
              <w:rPr>
                <w:rFonts w:ascii="Arial" w:cs="Arial" w:eastAsia="Arial" w:hAnsi="Arial"/>
                <w:sz w:val="12"/>
                <w:szCs w:val="12"/>
                <w:color w:val="auto"/>
              </w:rPr>
              <w:t>Unvested &amp; Accelerated Restricted Stock Units</w:t>
            </w:r>
            <w:r>
              <w:rPr>
                <w:rFonts w:ascii="Arial" w:cs="Arial" w:eastAsia="Arial" w:hAnsi="Arial"/>
                <w:sz w:val="16"/>
                <w:szCs w:val="16"/>
                <w:color w:val="auto"/>
                <w:vertAlign w:val="superscript"/>
              </w:rPr>
              <w:t>9</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1,440,967</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1,440,967</w:t>
            </w:r>
          </w:p>
        </w:tc>
        <w:tc>
          <w:tcPr>
            <w:tcW w:w="380" w:type="dxa"/>
            <w:vAlign w:val="bottom"/>
          </w:tcPr>
          <w:p>
            <w:pPr>
              <w:spacing w:after="0"/>
              <w:rPr>
                <w:sz w:val="17"/>
                <w:szCs w:val="17"/>
                <w:color w:val="auto"/>
              </w:rPr>
            </w:pPr>
          </w:p>
        </w:tc>
      </w:tr>
      <w:tr>
        <w:trPr>
          <w:trHeight w:val="165"/>
        </w:trPr>
        <w:tc>
          <w:tcPr>
            <w:tcW w:w="3160" w:type="dxa"/>
            <w:vAlign w:val="bottom"/>
          </w:tcPr>
          <w:p>
            <w:pPr>
              <w:ind w:left="220"/>
              <w:spacing w:after="0"/>
              <w:rPr>
                <w:sz w:val="20"/>
                <w:szCs w:val="20"/>
                <w:color w:val="auto"/>
              </w:rPr>
            </w:pPr>
            <w:r>
              <w:rPr>
                <w:rFonts w:ascii="Arial" w:cs="Arial" w:eastAsia="Arial" w:hAnsi="Arial"/>
                <w:sz w:val="12"/>
                <w:szCs w:val="12"/>
                <w:color w:val="auto"/>
              </w:rPr>
              <w:t>Performance Share Award Payouts</w:t>
            </w:r>
          </w:p>
        </w:tc>
        <w:tc>
          <w:tcPr>
            <w:tcW w:w="900" w:type="dxa"/>
            <w:vAlign w:val="bottom"/>
          </w:tcPr>
          <w:p>
            <w:pPr>
              <w:jc w:val="right"/>
              <w:spacing w:after="0"/>
              <w:rPr>
                <w:sz w:val="20"/>
                <w:szCs w:val="20"/>
                <w:color w:val="auto"/>
              </w:rPr>
            </w:pPr>
            <w:r>
              <w:rPr>
                <w:rFonts w:ascii="Arial" w:cs="Arial" w:eastAsia="Arial" w:hAnsi="Arial"/>
                <w:sz w:val="12"/>
                <w:szCs w:val="12"/>
                <w:color w:val="auto"/>
              </w:rPr>
              <w:t>138,923</w:t>
            </w:r>
          </w:p>
        </w:tc>
        <w:tc>
          <w:tcPr>
            <w:tcW w:w="60" w:type="dxa"/>
            <w:vAlign w:val="bottom"/>
          </w:tcPr>
          <w:p>
            <w:pPr>
              <w:spacing w:after="0"/>
              <w:rPr>
                <w:sz w:val="14"/>
                <w:szCs w:val="14"/>
                <w:color w:val="auto"/>
              </w:rPr>
            </w:pPr>
          </w:p>
        </w:tc>
        <w:tc>
          <w:tcPr>
            <w:tcW w:w="280" w:type="dxa"/>
            <w:vAlign w:val="bottom"/>
          </w:tcPr>
          <w:p>
            <w:pPr>
              <w:jc w:val="right"/>
              <w:ind w:right="18"/>
              <w:spacing w:after="0"/>
              <w:rPr>
                <w:sz w:val="20"/>
                <w:szCs w:val="20"/>
                <w:color w:val="auto"/>
              </w:rPr>
            </w:pPr>
            <w:r>
              <w:rPr>
                <w:rFonts w:ascii="Arial" w:cs="Arial" w:eastAsia="Arial" w:hAnsi="Arial"/>
                <w:sz w:val="12"/>
                <w:szCs w:val="12"/>
                <w:color w:val="auto"/>
              </w:rPr>
              <w:t>(4)</w:t>
            </w:r>
          </w:p>
        </w:tc>
        <w:tc>
          <w:tcPr>
            <w:tcW w:w="840" w:type="dxa"/>
            <w:vAlign w:val="bottom"/>
          </w:tcPr>
          <w:p>
            <w:pPr>
              <w:jc w:val="right"/>
              <w:spacing w:after="0"/>
              <w:rPr>
                <w:sz w:val="20"/>
                <w:szCs w:val="20"/>
                <w:color w:val="auto"/>
              </w:rPr>
            </w:pPr>
            <w:r>
              <w:rPr>
                <w:rFonts w:ascii="Arial" w:cs="Arial" w:eastAsia="Arial" w:hAnsi="Arial"/>
                <w:sz w:val="12"/>
                <w:szCs w:val="12"/>
                <w:color w:val="auto"/>
              </w:rPr>
              <w:t>138,923</w:t>
            </w:r>
          </w:p>
        </w:tc>
        <w:tc>
          <w:tcPr>
            <w:tcW w:w="380" w:type="dxa"/>
            <w:vAlign w:val="bottom"/>
          </w:tcPr>
          <w:p>
            <w:pPr>
              <w:jc w:val="right"/>
              <w:ind w:right="58"/>
              <w:spacing w:after="0"/>
              <w:rPr>
                <w:sz w:val="20"/>
                <w:szCs w:val="20"/>
                <w:color w:val="auto"/>
              </w:rPr>
            </w:pPr>
            <w:r>
              <w:rPr>
                <w:rFonts w:ascii="Arial" w:cs="Arial" w:eastAsia="Arial" w:hAnsi="Arial"/>
                <w:sz w:val="12"/>
                <w:szCs w:val="12"/>
                <w:color w:val="auto"/>
              </w:rPr>
              <w:t>(4)</w:t>
            </w: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392,856</w:t>
            </w:r>
          </w:p>
        </w:tc>
        <w:tc>
          <w:tcPr>
            <w:tcW w:w="380" w:type="dxa"/>
            <w:vAlign w:val="bottom"/>
          </w:tcPr>
          <w:p>
            <w:pPr>
              <w:jc w:val="right"/>
              <w:ind w:right="58"/>
              <w:spacing w:after="0"/>
              <w:rPr>
                <w:sz w:val="20"/>
                <w:szCs w:val="20"/>
                <w:color w:val="auto"/>
              </w:rPr>
            </w:pPr>
            <w:r>
              <w:rPr>
                <w:rFonts w:ascii="Arial" w:cs="Arial" w:eastAsia="Arial" w:hAnsi="Arial"/>
                <w:sz w:val="12"/>
                <w:szCs w:val="12"/>
                <w:color w:val="auto"/>
              </w:rPr>
              <w:t>(5)</w:t>
            </w:r>
          </w:p>
        </w:tc>
        <w:tc>
          <w:tcPr>
            <w:tcW w:w="1180" w:type="dxa"/>
            <w:vAlign w:val="bottom"/>
          </w:tcPr>
          <w:p>
            <w:pPr>
              <w:jc w:val="right"/>
              <w:spacing w:after="0"/>
              <w:rPr>
                <w:sz w:val="20"/>
                <w:szCs w:val="20"/>
                <w:color w:val="auto"/>
              </w:rPr>
            </w:pPr>
            <w:r>
              <w:rPr>
                <w:rFonts w:ascii="Arial" w:cs="Arial" w:eastAsia="Arial" w:hAnsi="Arial"/>
                <w:sz w:val="12"/>
                <w:szCs w:val="12"/>
                <w:color w:val="auto"/>
              </w:rPr>
              <w:t>392,856</w:t>
            </w:r>
          </w:p>
        </w:tc>
        <w:tc>
          <w:tcPr>
            <w:tcW w:w="380" w:type="dxa"/>
            <w:vAlign w:val="bottom"/>
          </w:tcPr>
          <w:p>
            <w:pPr>
              <w:jc w:val="right"/>
              <w:ind w:right="38"/>
              <w:spacing w:after="0"/>
              <w:rPr>
                <w:sz w:val="20"/>
                <w:szCs w:val="20"/>
                <w:color w:val="auto"/>
              </w:rPr>
            </w:pPr>
            <w:r>
              <w:rPr>
                <w:rFonts w:ascii="Arial" w:cs="Arial" w:eastAsia="Arial" w:hAnsi="Arial"/>
                <w:sz w:val="12"/>
                <w:szCs w:val="12"/>
                <w:color w:val="auto"/>
              </w:rPr>
              <w:t>(5)</w:t>
            </w:r>
          </w:p>
        </w:tc>
      </w:tr>
      <w:tr>
        <w:trPr>
          <w:trHeight w:val="262"/>
        </w:trPr>
        <w:tc>
          <w:tcPr>
            <w:tcW w:w="3160" w:type="dxa"/>
            <w:vAlign w:val="bottom"/>
          </w:tcPr>
          <w:p>
            <w:pPr>
              <w:ind w:left="220"/>
              <w:spacing w:after="0"/>
              <w:rPr>
                <w:sz w:val="20"/>
                <w:szCs w:val="20"/>
                <w:color w:val="auto"/>
              </w:rPr>
            </w:pPr>
            <w:r>
              <w:rPr>
                <w:rFonts w:ascii="Arial" w:cs="Arial" w:eastAsia="Arial" w:hAnsi="Arial"/>
                <w:sz w:val="12"/>
                <w:szCs w:val="12"/>
                <w:color w:val="auto"/>
              </w:rPr>
              <w:t>Welfare Plan Benefits</w:t>
            </w:r>
            <w:r>
              <w:rPr>
                <w:rFonts w:ascii="Arial" w:cs="Arial" w:eastAsia="Arial" w:hAnsi="Arial"/>
                <w:sz w:val="16"/>
                <w:szCs w:val="16"/>
                <w:color w:val="auto"/>
                <w:vertAlign w:val="superscript"/>
              </w:rPr>
              <w:t>6</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75,380</w:t>
            </w:r>
          </w:p>
        </w:tc>
        <w:tc>
          <w:tcPr>
            <w:tcW w:w="380" w:type="dxa"/>
            <w:vAlign w:val="bottom"/>
          </w:tcPr>
          <w:p>
            <w:pPr>
              <w:spacing w:after="0"/>
              <w:rPr>
                <w:sz w:val="22"/>
                <w:szCs w:val="22"/>
                <w:color w:val="auto"/>
              </w:rPr>
            </w:pPr>
          </w:p>
        </w:tc>
      </w:tr>
      <w:tr>
        <w:trPr>
          <w:trHeight w:val="213"/>
        </w:trPr>
        <w:tc>
          <w:tcPr>
            <w:tcW w:w="3160" w:type="dxa"/>
            <w:vAlign w:val="bottom"/>
          </w:tcPr>
          <w:p>
            <w:pPr>
              <w:ind w:left="220"/>
              <w:spacing w:after="0"/>
              <w:rPr>
                <w:sz w:val="20"/>
                <w:szCs w:val="20"/>
                <w:color w:val="auto"/>
              </w:rPr>
            </w:pPr>
            <w:r>
              <w:rPr>
                <w:rFonts w:ascii="Arial" w:cs="Arial" w:eastAsia="Arial" w:hAnsi="Arial"/>
                <w:sz w:val="12"/>
                <w:szCs w:val="12"/>
                <w:color w:val="auto"/>
              </w:rPr>
              <w:t>Outplacement Services</w:t>
            </w:r>
            <w:r>
              <w:rPr>
                <w:rFonts w:ascii="Arial" w:cs="Arial" w:eastAsia="Arial" w:hAnsi="Arial"/>
                <w:sz w:val="16"/>
                <w:szCs w:val="16"/>
                <w:color w:val="auto"/>
                <w:vertAlign w:val="superscript"/>
              </w:rPr>
              <w:t>7</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30,000</w:t>
            </w:r>
          </w:p>
        </w:tc>
        <w:tc>
          <w:tcPr>
            <w:tcW w:w="380" w:type="dxa"/>
            <w:vAlign w:val="bottom"/>
          </w:tcPr>
          <w:p>
            <w:pPr>
              <w:spacing w:after="0"/>
              <w:rPr>
                <w:sz w:val="18"/>
                <w:szCs w:val="18"/>
                <w:color w:val="auto"/>
              </w:rPr>
            </w:pPr>
          </w:p>
        </w:tc>
      </w:tr>
      <w:tr>
        <w:trPr>
          <w:trHeight w:val="191"/>
        </w:trPr>
        <w:tc>
          <w:tcPr>
            <w:tcW w:w="3160" w:type="dxa"/>
            <w:vAlign w:val="bottom"/>
          </w:tcPr>
          <w:p>
            <w:pPr>
              <w:ind w:left="220"/>
              <w:spacing w:after="0"/>
              <w:rPr>
                <w:sz w:val="20"/>
                <w:szCs w:val="20"/>
                <w:color w:val="auto"/>
              </w:rPr>
            </w:pPr>
            <w:r>
              <w:rPr>
                <w:rFonts w:ascii="Arial" w:cs="Arial" w:eastAsia="Arial" w:hAnsi="Arial"/>
                <w:sz w:val="12"/>
                <w:szCs w:val="12"/>
                <w:color w:val="auto"/>
              </w:rPr>
              <w:t>Perquisites</w:t>
            </w:r>
            <w:r>
              <w:rPr>
                <w:rFonts w:ascii="Arial" w:cs="Arial" w:eastAsia="Arial" w:hAnsi="Arial"/>
                <w:sz w:val="16"/>
                <w:szCs w:val="16"/>
                <w:color w:val="auto"/>
                <w:vertAlign w:val="superscript"/>
              </w:rPr>
              <w:t>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38,731</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6"/>
                <w:szCs w:val="16"/>
                <w:color w:val="auto"/>
              </w:rPr>
            </w:pPr>
          </w:p>
        </w:tc>
      </w:tr>
      <w:tr>
        <w:trPr>
          <w:trHeight w:val="173"/>
        </w:trPr>
        <w:tc>
          <w:tcPr>
            <w:tcW w:w="3160" w:type="dxa"/>
            <w:vAlign w:val="bottom"/>
          </w:tcPr>
          <w:p>
            <w:pPr>
              <w:ind w:left="20"/>
              <w:spacing w:after="0"/>
              <w:rPr>
                <w:sz w:val="20"/>
                <w:szCs w:val="20"/>
                <w:color w:val="auto"/>
              </w:rPr>
            </w:pPr>
            <w:r>
              <w:rPr>
                <w:rFonts w:ascii="Arial" w:cs="Arial" w:eastAsia="Arial" w:hAnsi="Arial"/>
                <w:sz w:val="12"/>
                <w:szCs w:val="12"/>
                <w:b w:val="1"/>
                <w:bCs w:val="1"/>
                <w:color w:val="auto"/>
              </w:rPr>
              <w:t>Total</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177,654</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138,923</w:t>
            </w:r>
          </w:p>
        </w:tc>
        <w:tc>
          <w:tcPr>
            <w:tcW w:w="3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0</w:t>
            </w: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0</w:t>
            </w:r>
          </w:p>
        </w:tc>
        <w:tc>
          <w:tcPr>
            <w:tcW w:w="4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1,833,823</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2"/>
                <w:szCs w:val="12"/>
                <w:b w:val="1"/>
                <w:bCs w:val="1"/>
                <w:color w:val="auto"/>
              </w:rPr>
              <w:t>4,249,203</w:t>
            </w:r>
          </w:p>
        </w:tc>
        <w:tc>
          <w:tcPr>
            <w:tcW w:w="380" w:type="dxa"/>
            <w:vAlign w:val="bottom"/>
          </w:tcPr>
          <w:p>
            <w:pPr>
              <w:spacing w:after="0"/>
              <w:rPr>
                <w:sz w:val="15"/>
                <w:szCs w:val="15"/>
                <w:color w:val="auto"/>
              </w:rPr>
            </w:pPr>
          </w:p>
        </w:tc>
      </w:tr>
      <w:tr>
        <w:trPr>
          <w:trHeight w:val="21"/>
        </w:trPr>
        <w:tc>
          <w:tcPr>
            <w:tcW w:w="3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3"/>
        </w:trPr>
        <w:tc>
          <w:tcPr>
            <w:tcW w:w="3160" w:type="dxa"/>
            <w:vAlign w:val="bottom"/>
            <w:shd w:val="clear" w:color="auto" w:fill="DBDBDB"/>
          </w:tcPr>
          <w:p>
            <w:pPr>
              <w:ind w:left="20"/>
              <w:spacing w:after="0"/>
              <w:rPr>
                <w:sz w:val="20"/>
                <w:szCs w:val="20"/>
                <w:color w:val="auto"/>
              </w:rPr>
            </w:pPr>
            <w:r>
              <w:rPr>
                <w:rFonts w:ascii="Arial" w:cs="Arial" w:eastAsia="Arial" w:hAnsi="Arial"/>
                <w:sz w:val="12"/>
                <w:szCs w:val="12"/>
                <w:color w:val="auto"/>
              </w:rPr>
              <w:t>Peter D. Moeller</w:t>
            </w:r>
          </w:p>
        </w:tc>
        <w:tc>
          <w:tcPr>
            <w:tcW w:w="90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r>
      <w:tr>
        <w:trPr>
          <w:trHeight w:val="240"/>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Cash Severance Payment</w:t>
            </w:r>
            <w:r>
              <w:rPr>
                <w:rFonts w:ascii="Arial" w:cs="Arial" w:eastAsia="Arial" w:hAnsi="Arial"/>
                <w:sz w:val="16"/>
                <w:szCs w:val="16"/>
                <w:color w:val="auto"/>
                <w:vertAlign w:val="superscript"/>
              </w:rPr>
              <w:t>2</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6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20"/>
                <w:szCs w:val="20"/>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20"/>
                <w:szCs w:val="20"/>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20"/>
                <w:szCs w:val="20"/>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1,782,000</w:t>
            </w:r>
          </w:p>
        </w:tc>
        <w:tc>
          <w:tcPr>
            <w:tcW w:w="380" w:type="dxa"/>
            <w:vAlign w:val="bottom"/>
            <w:shd w:val="clear" w:color="auto" w:fill="DBDBDB"/>
          </w:tcPr>
          <w:p>
            <w:pPr>
              <w:spacing w:after="0"/>
              <w:rPr>
                <w:sz w:val="20"/>
                <w:szCs w:val="20"/>
                <w:color w:val="auto"/>
              </w:rPr>
            </w:pPr>
          </w:p>
        </w:tc>
      </w:tr>
      <w:tr>
        <w:trPr>
          <w:trHeight w:val="213"/>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16"/>
                <w:szCs w:val="16"/>
                <w:color w:val="auto"/>
                <w:vertAlign w:val="superscript"/>
              </w:rPr>
              <w:t>3</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r>
      <w:tr>
        <w:trPr>
          <w:trHeight w:val="213"/>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Unvested &amp; Accelerated Restricted Stock Units</w:t>
            </w:r>
            <w:r>
              <w:rPr>
                <w:rFonts w:ascii="Arial" w:cs="Arial" w:eastAsia="Arial" w:hAnsi="Arial"/>
                <w:sz w:val="16"/>
                <w:szCs w:val="16"/>
                <w:color w:val="auto"/>
                <w:vertAlign w:val="superscript"/>
              </w:rPr>
              <w:t>9</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1,612,578</w:t>
            </w: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1,612,578</w:t>
            </w:r>
          </w:p>
        </w:tc>
        <w:tc>
          <w:tcPr>
            <w:tcW w:w="380" w:type="dxa"/>
            <w:vAlign w:val="bottom"/>
            <w:shd w:val="clear" w:color="auto" w:fill="DBDBDB"/>
          </w:tcPr>
          <w:p>
            <w:pPr>
              <w:spacing w:after="0"/>
              <w:rPr>
                <w:sz w:val="18"/>
                <w:szCs w:val="18"/>
                <w:color w:val="auto"/>
              </w:rPr>
            </w:pPr>
          </w:p>
        </w:tc>
      </w:tr>
      <w:tr>
        <w:trPr>
          <w:trHeight w:val="173"/>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Performance Share Award Payouts</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125,023</w:t>
            </w:r>
          </w:p>
        </w:tc>
        <w:tc>
          <w:tcPr>
            <w:tcW w:w="60" w:type="dxa"/>
            <w:vAlign w:val="bottom"/>
            <w:shd w:val="clear" w:color="auto" w:fill="DBDBDB"/>
          </w:tcPr>
          <w:p>
            <w:pPr>
              <w:spacing w:after="0"/>
              <w:rPr>
                <w:sz w:val="15"/>
                <w:szCs w:val="15"/>
                <w:color w:val="auto"/>
              </w:rPr>
            </w:pPr>
          </w:p>
        </w:tc>
        <w:tc>
          <w:tcPr>
            <w:tcW w:w="280" w:type="dxa"/>
            <w:vAlign w:val="bottom"/>
            <w:shd w:val="clear" w:color="auto" w:fill="DBDBDB"/>
          </w:tcPr>
          <w:p>
            <w:pPr>
              <w:jc w:val="right"/>
              <w:ind w:right="18"/>
              <w:spacing w:after="0"/>
              <w:rPr>
                <w:sz w:val="20"/>
                <w:szCs w:val="20"/>
                <w:color w:val="auto"/>
              </w:rPr>
            </w:pPr>
            <w:r>
              <w:rPr>
                <w:rFonts w:ascii="Arial" w:cs="Arial" w:eastAsia="Arial" w:hAnsi="Arial"/>
                <w:sz w:val="12"/>
                <w:szCs w:val="12"/>
                <w:color w:val="auto"/>
              </w:rPr>
              <w:t>(4)</w:t>
            </w: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125,023</w:t>
            </w:r>
          </w:p>
        </w:tc>
        <w:tc>
          <w:tcPr>
            <w:tcW w:w="380" w:type="dxa"/>
            <w:vAlign w:val="bottom"/>
            <w:shd w:val="clear" w:color="auto" w:fill="DBDBDB"/>
          </w:tcPr>
          <w:p>
            <w:pPr>
              <w:jc w:val="right"/>
              <w:ind w:right="58"/>
              <w:spacing w:after="0"/>
              <w:rPr>
                <w:sz w:val="20"/>
                <w:szCs w:val="20"/>
                <w:color w:val="auto"/>
              </w:rPr>
            </w:pPr>
            <w:r>
              <w:rPr>
                <w:rFonts w:ascii="Arial" w:cs="Arial" w:eastAsia="Arial" w:hAnsi="Arial"/>
                <w:sz w:val="12"/>
                <w:szCs w:val="12"/>
                <w:color w:val="auto"/>
              </w:rPr>
              <w:t>(4)</w:t>
            </w: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15"/>
                <w:szCs w:val="15"/>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15"/>
                <w:szCs w:val="15"/>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375,518</w:t>
            </w:r>
          </w:p>
        </w:tc>
        <w:tc>
          <w:tcPr>
            <w:tcW w:w="380" w:type="dxa"/>
            <w:vAlign w:val="bottom"/>
            <w:shd w:val="clear" w:color="auto" w:fill="DBDBDB"/>
          </w:tcPr>
          <w:p>
            <w:pPr>
              <w:jc w:val="right"/>
              <w:ind w:right="58"/>
              <w:spacing w:after="0"/>
              <w:rPr>
                <w:sz w:val="20"/>
                <w:szCs w:val="20"/>
                <w:color w:val="auto"/>
              </w:rPr>
            </w:pPr>
            <w:r>
              <w:rPr>
                <w:rFonts w:ascii="Arial" w:cs="Arial" w:eastAsia="Arial" w:hAnsi="Arial"/>
                <w:sz w:val="12"/>
                <w:szCs w:val="12"/>
                <w:color w:val="auto"/>
              </w:rPr>
              <w:t>(5)</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375,518</w:t>
            </w: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w:t>
            </w:r>
          </w:p>
        </w:tc>
      </w:tr>
      <w:tr>
        <w:trPr>
          <w:trHeight w:val="240"/>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Welfare Plan Benefits</w:t>
            </w:r>
            <w:r>
              <w:rPr>
                <w:rFonts w:ascii="Arial" w:cs="Arial" w:eastAsia="Arial" w:hAnsi="Arial"/>
                <w:sz w:val="16"/>
                <w:szCs w:val="16"/>
                <w:color w:val="auto"/>
                <w:vertAlign w:val="superscript"/>
              </w:rPr>
              <w:t>6</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6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20"/>
                <w:szCs w:val="20"/>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20"/>
                <w:szCs w:val="20"/>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20"/>
                <w:szCs w:val="20"/>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74,747</w:t>
            </w:r>
          </w:p>
        </w:tc>
        <w:tc>
          <w:tcPr>
            <w:tcW w:w="380" w:type="dxa"/>
            <w:vAlign w:val="bottom"/>
            <w:shd w:val="clear" w:color="auto" w:fill="DBDBDB"/>
          </w:tcPr>
          <w:p>
            <w:pPr>
              <w:spacing w:after="0"/>
              <w:rPr>
                <w:sz w:val="20"/>
                <w:szCs w:val="20"/>
                <w:color w:val="auto"/>
              </w:rPr>
            </w:pPr>
          </w:p>
        </w:tc>
      </w:tr>
      <w:tr>
        <w:trPr>
          <w:trHeight w:val="213"/>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Outplacement Services</w:t>
            </w:r>
            <w:r>
              <w:rPr>
                <w:rFonts w:ascii="Arial" w:cs="Arial" w:eastAsia="Arial" w:hAnsi="Arial"/>
                <w:sz w:val="16"/>
                <w:szCs w:val="16"/>
                <w:color w:val="auto"/>
                <w:vertAlign w:val="superscript"/>
              </w:rPr>
              <w:t>7</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30,000</w:t>
            </w:r>
          </w:p>
        </w:tc>
        <w:tc>
          <w:tcPr>
            <w:tcW w:w="380" w:type="dxa"/>
            <w:vAlign w:val="bottom"/>
            <w:shd w:val="clear" w:color="auto" w:fill="DBDBDB"/>
          </w:tcPr>
          <w:p>
            <w:pPr>
              <w:spacing w:after="0"/>
              <w:rPr>
                <w:sz w:val="18"/>
                <w:szCs w:val="18"/>
                <w:color w:val="auto"/>
              </w:rPr>
            </w:pPr>
          </w:p>
        </w:tc>
      </w:tr>
      <w:tr>
        <w:trPr>
          <w:trHeight w:val="213"/>
        </w:trPr>
        <w:tc>
          <w:tcPr>
            <w:tcW w:w="31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2"/>
                <w:szCs w:val="12"/>
                <w:color w:val="auto"/>
              </w:rPr>
              <w:t>Perquisites</w:t>
            </w:r>
            <w:r>
              <w:rPr>
                <w:rFonts w:ascii="Arial" w:cs="Arial" w:eastAsia="Arial" w:hAnsi="Arial"/>
                <w:sz w:val="16"/>
                <w:szCs w:val="16"/>
                <w:color w:val="auto"/>
                <w:vertAlign w:val="superscript"/>
              </w:rPr>
              <w:t>8</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39,008</w:t>
            </w:r>
          </w:p>
        </w:tc>
        <w:tc>
          <w:tcPr>
            <w:tcW w:w="60" w:type="dxa"/>
            <w:vAlign w:val="bottom"/>
            <w:tcBorders>
              <w:bottom w:val="single" w:sz="8" w:color="DBDBDB"/>
            </w:tcBorders>
            <w:shd w:val="clear" w:color="auto" w:fill="DBDBDB"/>
          </w:tcPr>
          <w:p>
            <w:pPr>
              <w:spacing w:after="0"/>
              <w:rPr>
                <w:sz w:val="18"/>
                <w:szCs w:val="18"/>
                <w:color w:val="auto"/>
              </w:rPr>
            </w:pPr>
          </w:p>
        </w:tc>
        <w:tc>
          <w:tcPr>
            <w:tcW w:w="280" w:type="dxa"/>
            <w:vAlign w:val="bottom"/>
            <w:tcBorders>
              <w:bottom w:val="single" w:sz="8" w:color="DBDBDB"/>
            </w:tcBorders>
            <w:shd w:val="clear" w:color="auto" w:fill="DBDBDB"/>
          </w:tcPr>
          <w:p>
            <w:pPr>
              <w:spacing w:after="0"/>
              <w:rPr>
                <w:sz w:val="18"/>
                <w:szCs w:val="18"/>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tcBorders>
              <w:bottom w:val="single" w:sz="8" w:color="DBDBDB"/>
            </w:tcBorders>
            <w:shd w:val="clear" w:color="auto" w:fill="DBDBDB"/>
          </w:tcPr>
          <w:p>
            <w:pPr>
              <w:spacing w:after="0"/>
              <w:rPr>
                <w:sz w:val="18"/>
                <w:szCs w:val="18"/>
                <w:color w:val="auto"/>
              </w:rPr>
            </w:pPr>
          </w:p>
        </w:tc>
      </w:tr>
      <w:tr>
        <w:trPr>
          <w:trHeight w:val="173"/>
        </w:trPr>
        <w:tc>
          <w:tcPr>
            <w:tcW w:w="3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Total</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164,031</w:t>
            </w:r>
          </w:p>
        </w:tc>
        <w:tc>
          <w:tcPr>
            <w:tcW w:w="60" w:type="dxa"/>
            <w:vAlign w:val="bottom"/>
            <w:tcBorders>
              <w:bottom w:val="single" w:sz="8" w:color="DBDBDB"/>
            </w:tcBorders>
            <w:shd w:val="clear" w:color="auto" w:fill="DBDBDB"/>
          </w:tcPr>
          <w:p>
            <w:pPr>
              <w:spacing w:after="0"/>
              <w:rPr>
                <w:sz w:val="15"/>
                <w:szCs w:val="15"/>
                <w:color w:val="auto"/>
              </w:rPr>
            </w:pPr>
          </w:p>
        </w:tc>
        <w:tc>
          <w:tcPr>
            <w:tcW w:w="280" w:type="dxa"/>
            <w:vAlign w:val="bottom"/>
            <w:tcBorders>
              <w:bottom w:val="single" w:sz="8" w:color="DBDBDB"/>
            </w:tcBorders>
            <w:shd w:val="clear" w:color="auto" w:fill="DBDBDB"/>
          </w:tcPr>
          <w:p>
            <w:pPr>
              <w:spacing w:after="0"/>
              <w:rPr>
                <w:sz w:val="15"/>
                <w:szCs w:val="15"/>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125,023</w:t>
            </w:r>
          </w:p>
        </w:tc>
        <w:tc>
          <w:tcPr>
            <w:tcW w:w="380" w:type="dxa"/>
            <w:vAlign w:val="bottom"/>
            <w:tcBorders>
              <w:bottom w:val="single" w:sz="8" w:color="DBDBDB"/>
            </w:tcBorders>
            <w:shd w:val="clear" w:color="auto" w:fill="DBDBDB"/>
          </w:tcPr>
          <w:p>
            <w:pPr>
              <w:spacing w:after="0"/>
              <w:rPr>
                <w:sz w:val="15"/>
                <w:szCs w:val="15"/>
                <w:color w:val="auto"/>
              </w:rPr>
            </w:pP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0</w:t>
            </w:r>
          </w:p>
        </w:tc>
        <w:tc>
          <w:tcPr>
            <w:tcW w:w="360" w:type="dxa"/>
            <w:vAlign w:val="bottom"/>
            <w:tcBorders>
              <w:bottom w:val="single" w:sz="8" w:color="DBDBDB"/>
            </w:tcBorders>
            <w:shd w:val="clear" w:color="auto" w:fill="DBDBDB"/>
          </w:tcPr>
          <w:p>
            <w:pPr>
              <w:spacing w:after="0"/>
              <w:rPr>
                <w:sz w:val="15"/>
                <w:szCs w:val="15"/>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0</w:t>
            </w:r>
          </w:p>
        </w:tc>
        <w:tc>
          <w:tcPr>
            <w:tcW w:w="480" w:type="dxa"/>
            <w:vAlign w:val="bottom"/>
            <w:tcBorders>
              <w:bottom w:val="single" w:sz="8" w:color="DBDBDB"/>
            </w:tcBorders>
            <w:shd w:val="clear" w:color="auto" w:fill="DBDBDB"/>
          </w:tcPr>
          <w:p>
            <w:pPr>
              <w:spacing w:after="0"/>
              <w:rPr>
                <w:sz w:val="15"/>
                <w:szCs w:val="15"/>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1,988,096</w:t>
            </w:r>
          </w:p>
        </w:tc>
        <w:tc>
          <w:tcPr>
            <w:tcW w:w="3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3,874,843</w:t>
            </w:r>
          </w:p>
        </w:tc>
        <w:tc>
          <w:tcPr>
            <w:tcW w:w="380" w:type="dxa"/>
            <w:vAlign w:val="bottom"/>
            <w:tcBorders>
              <w:bottom w:val="single" w:sz="8" w:color="DBDBDB"/>
            </w:tcBorders>
            <w:shd w:val="clear" w:color="auto" w:fill="DBDBDB"/>
          </w:tcPr>
          <w:p>
            <w:pPr>
              <w:spacing w:after="0"/>
              <w:rPr>
                <w:sz w:val="15"/>
                <w:szCs w:val="15"/>
                <w:color w:val="auto"/>
              </w:rPr>
            </w:pPr>
          </w:p>
        </w:tc>
      </w:tr>
      <w:tr>
        <w:trPr>
          <w:trHeight w:val="173"/>
        </w:trPr>
        <w:tc>
          <w:tcPr>
            <w:tcW w:w="3160" w:type="dxa"/>
            <w:vAlign w:val="bottom"/>
          </w:tcPr>
          <w:p>
            <w:pPr>
              <w:ind w:left="20"/>
              <w:spacing w:after="0"/>
              <w:rPr>
                <w:sz w:val="20"/>
                <w:szCs w:val="20"/>
                <w:color w:val="auto"/>
              </w:rPr>
            </w:pPr>
            <w:r>
              <w:rPr>
                <w:rFonts w:ascii="Arial" w:cs="Arial" w:eastAsia="Arial" w:hAnsi="Arial"/>
                <w:sz w:val="12"/>
                <w:szCs w:val="12"/>
                <w:color w:val="auto"/>
              </w:rPr>
              <w:t>Gregory S. Janey</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62"/>
        </w:trPr>
        <w:tc>
          <w:tcPr>
            <w:tcW w:w="3160" w:type="dxa"/>
            <w:vAlign w:val="bottom"/>
          </w:tcPr>
          <w:p>
            <w:pPr>
              <w:ind w:left="220"/>
              <w:spacing w:after="0"/>
              <w:rPr>
                <w:sz w:val="20"/>
                <w:szCs w:val="20"/>
                <w:color w:val="auto"/>
              </w:rPr>
            </w:pPr>
            <w:r>
              <w:rPr>
                <w:rFonts w:ascii="Arial" w:cs="Arial" w:eastAsia="Arial" w:hAnsi="Arial"/>
                <w:sz w:val="12"/>
                <w:szCs w:val="12"/>
                <w:color w:val="auto"/>
              </w:rPr>
              <w:t>Cash Severance Payment</w:t>
            </w:r>
            <w:r>
              <w:rPr>
                <w:rFonts w:ascii="Arial" w:cs="Arial" w:eastAsia="Arial" w:hAnsi="Arial"/>
                <w:sz w:val="16"/>
                <w:szCs w:val="16"/>
                <w:color w:val="auto"/>
                <w:vertAlign w:val="superscript"/>
              </w:rPr>
              <w:t>2</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1,782,000</w:t>
            </w:r>
          </w:p>
        </w:tc>
        <w:tc>
          <w:tcPr>
            <w:tcW w:w="380" w:type="dxa"/>
            <w:vAlign w:val="bottom"/>
          </w:tcPr>
          <w:p>
            <w:pPr>
              <w:spacing w:after="0"/>
              <w:rPr>
                <w:sz w:val="22"/>
                <w:szCs w:val="22"/>
                <w:color w:val="auto"/>
              </w:rPr>
            </w:pPr>
          </w:p>
        </w:tc>
      </w:tr>
      <w:tr>
        <w:trPr>
          <w:trHeight w:val="213"/>
        </w:trPr>
        <w:tc>
          <w:tcPr>
            <w:tcW w:w="3160" w:type="dxa"/>
            <w:vAlign w:val="bottom"/>
          </w:tcPr>
          <w:p>
            <w:pPr>
              <w:ind w:left="220"/>
              <w:spacing w:after="0"/>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16"/>
                <w:szCs w:val="16"/>
                <w:color w:val="auto"/>
                <w:vertAlign w:val="superscript"/>
              </w:rPr>
              <w:t>3</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r>
      <w:tr>
        <w:trPr>
          <w:trHeight w:val="200"/>
        </w:trPr>
        <w:tc>
          <w:tcPr>
            <w:tcW w:w="3160" w:type="dxa"/>
            <w:vAlign w:val="bottom"/>
          </w:tcPr>
          <w:p>
            <w:pPr>
              <w:ind w:left="220"/>
              <w:spacing w:after="0"/>
              <w:rPr>
                <w:sz w:val="20"/>
                <w:szCs w:val="20"/>
                <w:color w:val="auto"/>
              </w:rPr>
            </w:pPr>
            <w:r>
              <w:rPr>
                <w:rFonts w:ascii="Arial" w:cs="Arial" w:eastAsia="Arial" w:hAnsi="Arial"/>
                <w:sz w:val="12"/>
                <w:szCs w:val="12"/>
                <w:color w:val="auto"/>
              </w:rPr>
              <w:t>Unvested &amp; Accelerated Restricted Stock Units</w:t>
            </w:r>
            <w:r>
              <w:rPr>
                <w:rFonts w:ascii="Arial" w:cs="Arial" w:eastAsia="Arial" w:hAnsi="Arial"/>
                <w:sz w:val="16"/>
                <w:szCs w:val="16"/>
                <w:color w:val="auto"/>
                <w:vertAlign w:val="superscript"/>
              </w:rPr>
              <w:t>9</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1,599,507</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1,599,507</w:t>
            </w:r>
          </w:p>
        </w:tc>
        <w:tc>
          <w:tcPr>
            <w:tcW w:w="380" w:type="dxa"/>
            <w:vAlign w:val="bottom"/>
          </w:tcPr>
          <w:p>
            <w:pPr>
              <w:spacing w:after="0"/>
              <w:rPr>
                <w:sz w:val="17"/>
                <w:szCs w:val="17"/>
                <w:color w:val="auto"/>
              </w:rPr>
            </w:pPr>
          </w:p>
        </w:tc>
      </w:tr>
      <w:tr>
        <w:trPr>
          <w:trHeight w:val="165"/>
        </w:trPr>
        <w:tc>
          <w:tcPr>
            <w:tcW w:w="3160" w:type="dxa"/>
            <w:vAlign w:val="bottom"/>
          </w:tcPr>
          <w:p>
            <w:pPr>
              <w:ind w:left="220"/>
              <w:spacing w:after="0"/>
              <w:rPr>
                <w:sz w:val="20"/>
                <w:szCs w:val="20"/>
                <w:color w:val="auto"/>
              </w:rPr>
            </w:pPr>
            <w:r>
              <w:rPr>
                <w:rFonts w:ascii="Arial" w:cs="Arial" w:eastAsia="Arial" w:hAnsi="Arial"/>
                <w:sz w:val="12"/>
                <w:szCs w:val="12"/>
                <w:color w:val="auto"/>
              </w:rPr>
              <w:t>Performance Share Award Payouts</w:t>
            </w:r>
          </w:p>
        </w:tc>
        <w:tc>
          <w:tcPr>
            <w:tcW w:w="900" w:type="dxa"/>
            <w:vAlign w:val="bottom"/>
          </w:tcPr>
          <w:p>
            <w:pPr>
              <w:jc w:val="center"/>
              <w:ind w:left="278"/>
              <w:spacing w:after="0"/>
              <w:rPr>
                <w:sz w:val="20"/>
                <w:szCs w:val="20"/>
                <w:color w:val="auto"/>
              </w:rPr>
            </w:pPr>
            <w:r>
              <w:rPr>
                <w:rFonts w:ascii="Arial" w:cs="Arial" w:eastAsia="Arial" w:hAnsi="Arial"/>
                <w:sz w:val="12"/>
                <w:szCs w:val="12"/>
                <w:color w:val="auto"/>
              </w:rPr>
              <w:t>125,023</w:t>
            </w:r>
          </w:p>
        </w:tc>
        <w:tc>
          <w:tcPr>
            <w:tcW w:w="60" w:type="dxa"/>
            <w:vAlign w:val="bottom"/>
          </w:tcPr>
          <w:p>
            <w:pPr>
              <w:spacing w:after="0"/>
              <w:rPr>
                <w:sz w:val="14"/>
                <w:szCs w:val="14"/>
                <w:color w:val="auto"/>
              </w:rPr>
            </w:pPr>
          </w:p>
        </w:tc>
        <w:tc>
          <w:tcPr>
            <w:tcW w:w="280" w:type="dxa"/>
            <w:vAlign w:val="bottom"/>
          </w:tcPr>
          <w:p>
            <w:pPr>
              <w:jc w:val="right"/>
              <w:ind w:right="18"/>
              <w:spacing w:after="0"/>
              <w:rPr>
                <w:sz w:val="20"/>
                <w:szCs w:val="20"/>
                <w:color w:val="auto"/>
              </w:rPr>
            </w:pPr>
            <w:r>
              <w:rPr>
                <w:rFonts w:ascii="Arial" w:cs="Arial" w:eastAsia="Arial" w:hAnsi="Arial"/>
                <w:sz w:val="12"/>
                <w:szCs w:val="12"/>
                <w:color w:val="auto"/>
              </w:rPr>
              <w:t>(4)</w:t>
            </w:r>
          </w:p>
        </w:tc>
        <w:tc>
          <w:tcPr>
            <w:tcW w:w="840" w:type="dxa"/>
            <w:vAlign w:val="bottom"/>
          </w:tcPr>
          <w:p>
            <w:pPr>
              <w:jc w:val="right"/>
              <w:spacing w:after="0"/>
              <w:rPr>
                <w:sz w:val="20"/>
                <w:szCs w:val="20"/>
                <w:color w:val="auto"/>
              </w:rPr>
            </w:pPr>
            <w:r>
              <w:rPr>
                <w:rFonts w:ascii="Arial" w:cs="Arial" w:eastAsia="Arial" w:hAnsi="Arial"/>
                <w:sz w:val="12"/>
                <w:szCs w:val="12"/>
                <w:color w:val="auto"/>
              </w:rPr>
              <w:t>125,023</w:t>
            </w:r>
          </w:p>
        </w:tc>
        <w:tc>
          <w:tcPr>
            <w:tcW w:w="380" w:type="dxa"/>
            <w:vAlign w:val="bottom"/>
          </w:tcPr>
          <w:p>
            <w:pPr>
              <w:jc w:val="right"/>
              <w:ind w:right="58"/>
              <w:spacing w:after="0"/>
              <w:rPr>
                <w:sz w:val="20"/>
                <w:szCs w:val="20"/>
                <w:color w:val="auto"/>
              </w:rPr>
            </w:pPr>
            <w:r>
              <w:rPr>
                <w:rFonts w:ascii="Arial" w:cs="Arial" w:eastAsia="Arial" w:hAnsi="Arial"/>
                <w:sz w:val="12"/>
                <w:szCs w:val="12"/>
                <w:color w:val="auto"/>
              </w:rPr>
              <w:t>(4)</w:t>
            </w: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156,335</w:t>
            </w:r>
          </w:p>
        </w:tc>
        <w:tc>
          <w:tcPr>
            <w:tcW w:w="380" w:type="dxa"/>
            <w:vAlign w:val="bottom"/>
          </w:tcPr>
          <w:p>
            <w:pPr>
              <w:jc w:val="right"/>
              <w:ind w:right="58"/>
              <w:spacing w:after="0"/>
              <w:rPr>
                <w:sz w:val="20"/>
                <w:szCs w:val="20"/>
                <w:color w:val="auto"/>
              </w:rPr>
            </w:pPr>
            <w:r>
              <w:rPr>
                <w:rFonts w:ascii="Arial" w:cs="Arial" w:eastAsia="Arial" w:hAnsi="Arial"/>
                <w:sz w:val="12"/>
                <w:szCs w:val="12"/>
                <w:color w:val="auto"/>
              </w:rPr>
              <w:t>(5)</w:t>
            </w:r>
          </w:p>
        </w:tc>
        <w:tc>
          <w:tcPr>
            <w:tcW w:w="1180" w:type="dxa"/>
            <w:vAlign w:val="bottom"/>
          </w:tcPr>
          <w:p>
            <w:pPr>
              <w:jc w:val="right"/>
              <w:spacing w:after="0"/>
              <w:rPr>
                <w:sz w:val="20"/>
                <w:szCs w:val="20"/>
                <w:color w:val="auto"/>
              </w:rPr>
            </w:pPr>
            <w:r>
              <w:rPr>
                <w:rFonts w:ascii="Arial" w:cs="Arial" w:eastAsia="Arial" w:hAnsi="Arial"/>
                <w:sz w:val="12"/>
                <w:szCs w:val="12"/>
                <w:color w:val="auto"/>
              </w:rPr>
              <w:t>156,335</w:t>
            </w:r>
          </w:p>
        </w:tc>
        <w:tc>
          <w:tcPr>
            <w:tcW w:w="38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262"/>
        </w:trPr>
        <w:tc>
          <w:tcPr>
            <w:tcW w:w="3160" w:type="dxa"/>
            <w:vAlign w:val="bottom"/>
          </w:tcPr>
          <w:p>
            <w:pPr>
              <w:ind w:left="220"/>
              <w:spacing w:after="0"/>
              <w:rPr>
                <w:sz w:val="20"/>
                <w:szCs w:val="20"/>
                <w:color w:val="auto"/>
              </w:rPr>
            </w:pPr>
            <w:r>
              <w:rPr>
                <w:rFonts w:ascii="Arial" w:cs="Arial" w:eastAsia="Arial" w:hAnsi="Arial"/>
                <w:sz w:val="12"/>
                <w:szCs w:val="12"/>
                <w:color w:val="auto"/>
              </w:rPr>
              <w:t>Welfare Plan Benefits</w:t>
            </w:r>
            <w:r>
              <w:rPr>
                <w:rFonts w:ascii="Arial" w:cs="Arial" w:eastAsia="Arial" w:hAnsi="Arial"/>
                <w:sz w:val="16"/>
                <w:szCs w:val="16"/>
                <w:color w:val="auto"/>
                <w:vertAlign w:val="superscript"/>
              </w:rPr>
              <w:t>6</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75,085</w:t>
            </w:r>
          </w:p>
        </w:tc>
        <w:tc>
          <w:tcPr>
            <w:tcW w:w="380" w:type="dxa"/>
            <w:vAlign w:val="bottom"/>
          </w:tcPr>
          <w:p>
            <w:pPr>
              <w:spacing w:after="0"/>
              <w:rPr>
                <w:sz w:val="22"/>
                <w:szCs w:val="22"/>
                <w:color w:val="auto"/>
              </w:rPr>
            </w:pPr>
          </w:p>
        </w:tc>
      </w:tr>
      <w:tr>
        <w:trPr>
          <w:trHeight w:val="213"/>
        </w:trPr>
        <w:tc>
          <w:tcPr>
            <w:tcW w:w="3160" w:type="dxa"/>
            <w:vAlign w:val="bottom"/>
          </w:tcPr>
          <w:p>
            <w:pPr>
              <w:ind w:left="220"/>
              <w:spacing w:after="0"/>
              <w:rPr>
                <w:sz w:val="20"/>
                <w:szCs w:val="20"/>
                <w:color w:val="auto"/>
              </w:rPr>
            </w:pPr>
            <w:r>
              <w:rPr>
                <w:rFonts w:ascii="Arial" w:cs="Arial" w:eastAsia="Arial" w:hAnsi="Arial"/>
                <w:sz w:val="12"/>
                <w:szCs w:val="12"/>
                <w:color w:val="auto"/>
              </w:rPr>
              <w:t>Outplacement Services</w:t>
            </w:r>
            <w:r>
              <w:rPr>
                <w:rFonts w:ascii="Arial" w:cs="Arial" w:eastAsia="Arial" w:hAnsi="Arial"/>
                <w:sz w:val="16"/>
                <w:szCs w:val="16"/>
                <w:color w:val="auto"/>
                <w:vertAlign w:val="superscript"/>
              </w:rPr>
              <w:t>7</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30,000</w:t>
            </w:r>
          </w:p>
        </w:tc>
        <w:tc>
          <w:tcPr>
            <w:tcW w:w="380" w:type="dxa"/>
            <w:vAlign w:val="bottom"/>
          </w:tcPr>
          <w:p>
            <w:pPr>
              <w:spacing w:after="0"/>
              <w:rPr>
                <w:sz w:val="18"/>
                <w:szCs w:val="18"/>
                <w:color w:val="auto"/>
              </w:rPr>
            </w:pPr>
          </w:p>
        </w:tc>
      </w:tr>
      <w:tr>
        <w:trPr>
          <w:trHeight w:val="191"/>
        </w:trPr>
        <w:tc>
          <w:tcPr>
            <w:tcW w:w="3160" w:type="dxa"/>
            <w:vAlign w:val="bottom"/>
          </w:tcPr>
          <w:p>
            <w:pPr>
              <w:ind w:left="220"/>
              <w:spacing w:after="0"/>
              <w:rPr>
                <w:sz w:val="20"/>
                <w:szCs w:val="20"/>
                <w:color w:val="auto"/>
              </w:rPr>
            </w:pPr>
            <w:r>
              <w:rPr>
                <w:rFonts w:ascii="Arial" w:cs="Arial" w:eastAsia="Arial" w:hAnsi="Arial"/>
                <w:sz w:val="12"/>
                <w:szCs w:val="12"/>
                <w:color w:val="auto"/>
              </w:rPr>
              <w:t>Perquisites</w:t>
            </w:r>
            <w:r>
              <w:rPr>
                <w:rFonts w:ascii="Arial" w:cs="Arial" w:eastAsia="Arial" w:hAnsi="Arial"/>
                <w:sz w:val="16"/>
                <w:szCs w:val="16"/>
                <w:color w:val="auto"/>
                <w:vertAlign w:val="superscript"/>
              </w:rPr>
              <w:t>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37,357</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6"/>
                <w:szCs w:val="16"/>
                <w:color w:val="auto"/>
              </w:rPr>
            </w:pPr>
          </w:p>
        </w:tc>
      </w:tr>
      <w:tr>
        <w:trPr>
          <w:trHeight w:val="173"/>
        </w:trPr>
        <w:tc>
          <w:tcPr>
            <w:tcW w:w="3160" w:type="dxa"/>
            <w:vAlign w:val="bottom"/>
          </w:tcPr>
          <w:p>
            <w:pPr>
              <w:ind w:left="20"/>
              <w:spacing w:after="0"/>
              <w:rPr>
                <w:sz w:val="20"/>
                <w:szCs w:val="20"/>
                <w:color w:val="auto"/>
              </w:rPr>
            </w:pPr>
            <w:r>
              <w:rPr>
                <w:rFonts w:ascii="Arial" w:cs="Arial" w:eastAsia="Arial" w:hAnsi="Arial"/>
                <w:sz w:val="12"/>
                <w:szCs w:val="12"/>
                <w:b w:val="1"/>
                <w:bCs w:val="1"/>
                <w:color w:val="auto"/>
              </w:rPr>
              <w:t>Total</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162,380</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125,023</w:t>
            </w:r>
          </w:p>
        </w:tc>
        <w:tc>
          <w:tcPr>
            <w:tcW w:w="3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0</w:t>
            </w: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0</w:t>
            </w:r>
          </w:p>
        </w:tc>
        <w:tc>
          <w:tcPr>
            <w:tcW w:w="4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1,755,842</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2"/>
                <w:szCs w:val="12"/>
                <w:b w:val="1"/>
                <w:bCs w:val="1"/>
                <w:color w:val="auto"/>
              </w:rPr>
              <w:t>3,642,927</w:t>
            </w:r>
          </w:p>
        </w:tc>
        <w:tc>
          <w:tcPr>
            <w:tcW w:w="3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5104765</wp:posOffset>
            </wp:positionH>
            <wp:positionV relativeFrom="paragraph">
              <wp:posOffset>-2265045</wp:posOffset>
            </wp:positionV>
            <wp:extent cx="18808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880870" cy="8255"/>
                    </a:xfrm>
                    <a:prstGeom prst="rect">
                      <a:avLst/>
                    </a:prstGeom>
                    <a:noFill/>
                  </pic:spPr>
                </pic:pic>
              </a:graphicData>
            </a:graphic>
          </wp:anchor>
        </w:drawing>
        <w:drawing>
          <wp:anchor simplePos="0" relativeHeight="251657728" behindDoc="1" locked="0" layoutInCell="0" allowOverlap="1">
            <wp:simplePos x="0" y="0"/>
            <wp:positionH relativeFrom="column">
              <wp:posOffset>5104765</wp:posOffset>
            </wp:positionH>
            <wp:positionV relativeFrom="paragraph">
              <wp:posOffset>-6408420</wp:posOffset>
            </wp:positionV>
            <wp:extent cx="18808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88087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132080</wp:posOffset>
            </wp:positionV>
            <wp:extent cx="19913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30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Mr. Olson met the retirement criteria on October 31, 2025.</w:t>
      </w:r>
    </w:p>
    <w:p>
      <w:pPr>
        <w:spacing w:after="0" w:line="200" w:lineRule="exact"/>
        <w:rPr>
          <w:sz w:val="20"/>
          <w:szCs w:val="20"/>
          <w:color w:val="auto"/>
        </w:rPr>
      </w:pPr>
    </w:p>
    <w:p>
      <w:pPr>
        <w:spacing w:after="0" w:line="357"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00"/>
          </w:cols>
          <w:pgMar w:left="320" w:top="1154" w:right="579" w:bottom="1440" w:gutter="0" w:footer="0" w:header="0"/>
        </w:sectPr>
      </w:pPr>
    </w:p>
    <w:bookmarkStart w:id="79" w:name="page80"/>
    <w:bookmarkEnd w:id="79"/>
    <w:p>
      <w:pPr>
        <w:ind w:left="320" w:hanging="313"/>
        <w:spacing w:after="0" w:line="255" w:lineRule="auto"/>
        <w:tabs>
          <w:tab w:leader="none" w:pos="30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Amount reported represents two times (three times for Mr. Olson since he was CEO on October 31, 2025) the sum of the NEO's (a) then current annual base salary and (b) then target annual cash incentive award for fiscal 2025.</w:t>
      </w:r>
    </w:p>
    <w:p>
      <w:pPr>
        <w:jc w:val="both"/>
        <w:ind w:left="320" w:hanging="313"/>
        <w:spacing w:after="0" w:line="236" w:lineRule="auto"/>
        <w:tabs>
          <w:tab w:leader="none" w:pos="30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Amount reported represents the value of the automatic acceleration of vesting of unvested stock options. All amounts are based on the difference between: (a) the market price of our common stock underlying the unvested stock options as of October 31, 2025, and (b) the exercise price of the stock options. Because Mr. Olson met the retirement criteria on October 31, 2025, upon such event any unvested stock options held would continue to vest for four additional years, but such extended vesting is not quantified in the above table, Voluntary Resignation / Retirement column.</w:t>
      </w:r>
    </w:p>
    <w:p>
      <w:pPr>
        <w:spacing w:after="0" w:line="23" w:lineRule="exact"/>
        <w:rPr>
          <w:rFonts w:ascii="Arial" w:cs="Arial" w:eastAsia="Arial" w:hAnsi="Arial"/>
          <w:sz w:val="18"/>
          <w:szCs w:val="18"/>
          <w:color w:val="auto"/>
        </w:rPr>
      </w:pPr>
    </w:p>
    <w:p>
      <w:pPr>
        <w:jc w:val="both"/>
        <w:ind w:left="320" w:hanging="313"/>
        <w:spacing w:after="0" w:line="233" w:lineRule="auto"/>
        <w:tabs>
          <w:tab w:leader="none" w:pos="30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Amount reported represents the value of the future payout of two-thirds of the NEO's fiscal 2024 to fiscal 2026 performance share awards (based on two years of the three-year performance period completed as of October 31, 2025) and one-third of the NEO's fiscal 2025 to fiscal 2027 performance share awards (based on one year of the three-year performance period completed as of October 31, 2027), assuming that the Compensation &amp; Human Resources Committee approves the payout at financial plan levels of performance for fiscal 2025 and fiscal 2026 and the market price of our common stock on October 31, 2025.</w:t>
      </w:r>
    </w:p>
    <w:p>
      <w:pPr>
        <w:spacing w:after="0" w:line="22" w:lineRule="exact"/>
        <w:rPr>
          <w:rFonts w:ascii="Arial" w:cs="Arial" w:eastAsia="Arial" w:hAnsi="Arial"/>
          <w:sz w:val="18"/>
          <w:szCs w:val="18"/>
          <w:color w:val="auto"/>
        </w:rPr>
      </w:pPr>
    </w:p>
    <w:p>
      <w:pPr>
        <w:jc w:val="both"/>
        <w:ind w:left="320" w:right="20" w:hanging="313"/>
        <w:spacing w:after="0" w:line="237" w:lineRule="auto"/>
        <w:tabs>
          <w:tab w:leader="none" w:pos="30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Amount reported represents the value of the immediate payout of two-thirds of the NEO's fiscal 2024 to fiscal 2026 (based on two years of the performance period completed as of October 31, 2026) and one-third of the NEO's fiscal 2025 to fiscal 2027 performance share awards (based on one year of the three-year performance period completed as of October 31, 2025), assuming target levels of performance and the market price of our common stock on October 31, 2025.</w:t>
      </w:r>
    </w:p>
    <w:p>
      <w:pPr>
        <w:spacing w:after="0" w:line="22" w:lineRule="exact"/>
        <w:rPr>
          <w:rFonts w:ascii="Arial" w:cs="Arial" w:eastAsia="Arial" w:hAnsi="Arial"/>
          <w:sz w:val="18"/>
          <w:szCs w:val="18"/>
          <w:color w:val="auto"/>
        </w:rPr>
      </w:pPr>
    </w:p>
    <w:p>
      <w:pPr>
        <w:ind w:left="320" w:hanging="313"/>
        <w:spacing w:after="0" w:line="246" w:lineRule="auto"/>
        <w:tabs>
          <w:tab w:leader="none" w:pos="30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Amount reported represents the estimated value of the welfare plan benefits for a three-year period based on our premium levels in effect on October 31, 2025.</w:t>
      </w:r>
    </w:p>
    <w:p>
      <w:pPr>
        <w:spacing w:after="0" w:line="15" w:lineRule="exact"/>
        <w:rPr>
          <w:rFonts w:ascii="Arial" w:cs="Arial" w:eastAsia="Arial" w:hAnsi="Arial"/>
          <w:sz w:val="18"/>
          <w:szCs w:val="18"/>
          <w:color w:val="auto"/>
        </w:rPr>
      </w:pPr>
    </w:p>
    <w:p>
      <w:pPr>
        <w:ind w:left="320" w:right="20" w:hanging="313"/>
        <w:spacing w:after="0" w:line="246" w:lineRule="auto"/>
        <w:tabs>
          <w:tab w:leader="none" w:pos="30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Amount reported is based on the assumption that we would incur a $30,000 one-time cost for outplacement services to be provided for the two-year period.</w:t>
      </w:r>
    </w:p>
    <w:p>
      <w:pPr>
        <w:spacing w:after="0" w:line="15" w:lineRule="exact"/>
        <w:rPr>
          <w:rFonts w:ascii="Arial" w:cs="Arial" w:eastAsia="Arial" w:hAnsi="Arial"/>
          <w:sz w:val="18"/>
          <w:szCs w:val="18"/>
          <w:color w:val="auto"/>
        </w:rPr>
      </w:pPr>
    </w:p>
    <w:p>
      <w:pPr>
        <w:ind w:left="320" w:hanging="313"/>
        <w:spacing w:after="0"/>
        <w:tabs>
          <w:tab w:leader="none" w:pos="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Amount reported represents the value of (a) one additional year of financial planning services, (b) one additional executive physical, and</w:t>
      </w:r>
    </w:p>
    <w:p>
      <w:pPr>
        <w:spacing w:after="0" w:line="9"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(c) twelve additional months of automobile lease payments.</w:t>
      </w:r>
    </w:p>
    <w:p>
      <w:pPr>
        <w:spacing w:after="0" w:line="17" w:lineRule="exact"/>
        <w:rPr>
          <w:rFonts w:ascii="Arial" w:cs="Arial" w:eastAsia="Arial" w:hAnsi="Arial"/>
          <w:sz w:val="18"/>
          <w:szCs w:val="18"/>
          <w:color w:val="auto"/>
        </w:rPr>
      </w:pPr>
    </w:p>
    <w:p>
      <w:pPr>
        <w:jc w:val="both"/>
        <w:ind w:left="320" w:hanging="313"/>
        <w:spacing w:after="0" w:line="247" w:lineRule="auto"/>
        <w:tabs>
          <w:tab w:leader="none" w:pos="30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Amount reported represents the value of the automatic acceleration of the vesting of unvested restricted stock units and is based on the number of shares of common stock underlying the unvested restricted stock units multiplied by the market price of our common stock on October 31, 2025.</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Pay Ratio Disclosure</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Item 402(u) of Regulation S-K, passed as part of the Dodd-Frank Act, we calculated the ratio of annual total compensation of Mr. Olson relative to the annual total compensation of our median employee.</w:t>
      </w:r>
    </w:p>
    <w:p>
      <w:pPr>
        <w:spacing w:after="0" w:line="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determine the median employee, we identified that, as of October 31, 2025, our total employee population was 9,227 which included employees from all our subsidiaries. We identified our median employee from this population (excluding Mr. Olson) by using base salary as our consistently applied compensation measure.</w:t>
      </w:r>
    </w:p>
    <w:p>
      <w:pPr>
        <w:spacing w:after="0" w:line="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calculated the annual total compensation of our median employee for fiscal 2025 using the same methodology that we used to calculate the annual total compensation of our NEOs, including Mr. Olson, for fiscal 2025, as set forth in the Summary Compensation Table. Mr. Olson's annual total compensation for fiscal 2025, as set forth in the Summary Compensation Table, was $8,436,478. Annual total compensation for our median employee for fiscal 2025 was $75,652. The ratio of annual total compensation of Mr. Olson to the annual total compensation of our median employee for fiscal 2025 is 112:1.</w:t>
      </w:r>
    </w:p>
    <w:p>
      <w:pPr>
        <w:spacing w:after="0" w:line="8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believe the pay ratio presented above is a reasonable estimate calculated in a manner consistent with applicable SEC rules.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Compensation &amp; Human Resources Committee Interlocks and Insider Participation</w:t>
      </w:r>
    </w:p>
    <w:p>
      <w:pPr>
        <w:spacing w:after="0" w:line="1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No member of the Compensation &amp; Human Resources Committee was an officer or employee of TTC during fiscal year 2025 or in any prior year, and no member of the Compensation &amp; Human Resources Committee had a relationship that would require disclosure under Item 404(a) of Regulation S-K. There were no compensation committee interlocks as described in Item 407(e)(4) of Regulation S-K during fiscal 2025 or in any prior year.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80" w:name="page81"/>
    <w:bookmarkEnd w:id="80"/>
    <w:p>
      <w:pPr>
        <w:ind w:left="1560"/>
        <w:spacing w:after="0"/>
        <w:rPr>
          <w:sz w:val="20"/>
          <w:szCs w:val="20"/>
          <w:color w:val="auto"/>
        </w:rPr>
      </w:pPr>
      <w:r>
        <w:rPr>
          <w:rFonts w:ascii="Arial" w:cs="Arial" w:eastAsia="Arial" w:hAnsi="Arial"/>
          <w:sz w:val="21"/>
          <w:szCs w:val="21"/>
          <w:b w:val="1"/>
          <w:bCs w:val="1"/>
          <w:color w:val="FFFFFF"/>
        </w:rPr>
        <w:t>PROPOSAL FOUR—APPROVAL OF THE TORO COMPANY 2026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6998335" cy="1866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8335" cy="18669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Proposed 2026 Equity Plan</w:t>
      </w:r>
    </w:p>
    <w:p>
      <w:pPr>
        <w:spacing w:after="0" w:line="20" w:lineRule="exact"/>
        <w:rPr>
          <w:sz w:val="20"/>
          <w:szCs w:val="20"/>
          <w:color w:val="auto"/>
        </w:rPr>
      </w:pPr>
    </w:p>
    <w:p>
      <w:pPr>
        <w:jc w:val="both"/>
        <w:ind w:firstLine="640"/>
        <w:spacing w:after="0" w:line="237" w:lineRule="auto"/>
        <w:rPr>
          <w:sz w:val="20"/>
          <w:szCs w:val="20"/>
          <w:color w:val="auto"/>
        </w:rPr>
      </w:pPr>
      <w:r>
        <w:rPr>
          <w:rFonts w:ascii="Arial" w:cs="Arial" w:eastAsia="Arial" w:hAnsi="Arial"/>
          <w:sz w:val="18"/>
          <w:szCs w:val="18"/>
          <w:color w:val="auto"/>
        </w:rPr>
        <w:t>The Board has approved, upon recommendation of the Compensation &amp; Human Resources Committee, The Toro Company 2026 Equity Plan, or 2026 Plan, subject to approval by our stockholders at the annual meeting. The 2026 Plan provides for the grant of nonqualified and incentive stock options, stock appreciation rights or SARs, restricted stock, restricted stock units or RSUs, performance shares, performance units, and other stock-based awards. The Board and the Compensation &amp; Human Resources Committee believe the 2026 Plan provides a means (a) whereby our employees, directors and third-party service providers develop a sense of ownership and personal involvement in the development and financial success of our Company, encouraging them to devote their best efforts to the business of our Company, and thereby advancing the interests of our Company and our stockholders; and (b) to attract talented and qualified individuals to become employees or serve as directors or third-party service providers and provide a means for such individuals to acquire and maintain stock ownership which facilitates alignment of interests with our Company’s stockholders.</w:t>
      </w:r>
    </w:p>
    <w:p>
      <w:pPr>
        <w:spacing w:after="0" w:line="213"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18"/>
          <w:szCs w:val="18"/>
          <w:color w:val="auto"/>
        </w:rPr>
        <w:t>If the 2026 Plan is approved by our stockholders, it will replace The Toro Company 2022 Equity and Incentive Plan, which plan we refer to as the 2022 Plan, and no new awards will be granted thereunder. Awards outstanding under the 2022 Plan as of the effective date of the 2026 Plan will continue to be governed by the terms of the 2022 Plan, until exercised, expired, paid or otherwise terminated or canceled. Subject to adjustment, the maximum number of shares of our common stock to be authorized for issuance under the 2026 Plan will be equal to the sum of: (a) 3,650,000 shares, plus (b) the number of shares remaining available for grant under the 2022 Plan but not subject to outstanding awards thereunder as of the effective date of the 2026 Plan, and plus (c) the number of shares subject to awards outstanding under the 2022 Plan as of the effective date of the 2026 Plan but only to the extent that such outstanding awards are forfeited, expire or otherwise terminate without the issuance of such shares after the effective date of the 2026 Plan. See “Background for Shares Authorized for Issuance Under the 2026 Plan” for calculations of the number of shares remaining available for grant under the 2022 Plan and the number of shares subject to awards outstanding under the 2022 Plan as of January 20, 2026. No more than 2,500,000 shares authorized for issuance under the 2026 Plan may be granted as “full value” awards and no more than 3,650,000 shares may be granted as incentive stock options.</w:t>
      </w:r>
    </w:p>
    <w:p>
      <w:pPr>
        <w:spacing w:after="0" w:line="209"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Our stockholders are being asked to approve the 2026 Plan in connection with the rules and regulations of the NYSE relating to equity compensation and to qualify stock options for treatment as incentive stock options for purposes of Code Section 422 in the event the Compensation &amp; Human Resources Committee decides to grant incentive stock options in the future. If our stockholders do not approve the 2026 Plan, the 2022 Plan will remain in effect until it terminates in accordance with its terms.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Reasons Why You Should Vote to Approve the 2026 Plan</w:t>
      </w:r>
    </w:p>
    <w:p>
      <w:pPr>
        <w:spacing w:after="0" w:line="244" w:lineRule="exact"/>
        <w:rPr>
          <w:sz w:val="20"/>
          <w:szCs w:val="20"/>
          <w:color w:val="auto"/>
        </w:rPr>
      </w:pPr>
    </w:p>
    <w:p>
      <w:pPr>
        <w:jc w:val="both"/>
        <w:ind w:firstLine="640"/>
        <w:spacing w:after="0" w:line="277" w:lineRule="auto"/>
        <w:rPr>
          <w:sz w:val="20"/>
          <w:szCs w:val="20"/>
          <w:color w:val="auto"/>
        </w:rPr>
      </w:pPr>
      <w:r>
        <w:rPr>
          <w:rFonts w:ascii="Arial" w:cs="Arial" w:eastAsia="Arial" w:hAnsi="Arial"/>
          <w:sz w:val="18"/>
          <w:szCs w:val="18"/>
          <w:color w:val="auto"/>
        </w:rPr>
        <w:t>The Board recommends a vote in favor of the approval of the 2026 Plan because the Board believes the 2026 Plan is in the best interests of our Company and our stockholders for the following reasons:</w:t>
      </w:r>
    </w:p>
    <w:p>
      <w:pPr>
        <w:spacing w:after="0" w:line="176" w:lineRule="exact"/>
        <w:rPr>
          <w:sz w:val="20"/>
          <w:szCs w:val="20"/>
          <w:color w:val="auto"/>
        </w:rPr>
      </w:pPr>
    </w:p>
    <w:p>
      <w:pPr>
        <w:jc w:val="both"/>
        <w:ind w:left="640" w:hanging="313"/>
        <w:spacing w:after="0"/>
        <w:tabs>
          <w:tab w:leader="none" w:pos="635"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Aligns non-employee director, employee and stockholder interests. </w:t>
      </w:r>
      <w:r>
        <w:rPr>
          <w:rFonts w:ascii="Arial" w:cs="Arial" w:eastAsia="Arial" w:hAnsi="Arial"/>
          <w:sz w:val="18"/>
          <w:szCs w:val="18"/>
          <w:color w:val="auto"/>
        </w:rPr>
        <w:t>We currently provide long-term incentives primarily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 of stock options, performance share awards, and sometimes RSUs, to our executive officers, stock options and RSUs to certain other key employees, and stock awards and stock options to our non-employee directors. We believe that our stock-based compensation programs, along with our stock ownership guidelines for our non-employee directors and executives, help align the interests of our non-employee directors and employees with the interests of our stockholders. We believe that our long-term stock-based incentives help promote long-term retention of our employees and encourage significant ownership of our common stock. If the 2026 Plan is approved, we will be able to maintain our means of aligning the interests of our non-employee directors and employees with the interests of our stockholders.</w:t>
      </w:r>
    </w:p>
    <w:p>
      <w:pPr>
        <w:spacing w:after="0" w:line="225" w:lineRule="exact"/>
        <w:rPr>
          <w:rFonts w:ascii="Arial" w:cs="Arial" w:eastAsia="Arial" w:hAnsi="Arial"/>
          <w:sz w:val="18"/>
          <w:szCs w:val="18"/>
          <w:color w:val="auto"/>
        </w:rPr>
      </w:pPr>
    </w:p>
    <w:p>
      <w:pPr>
        <w:jc w:val="both"/>
        <w:ind w:left="640" w:hanging="313"/>
        <w:spacing w:after="0" w:line="247" w:lineRule="auto"/>
        <w:tabs>
          <w:tab w:leader="none" w:pos="635"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Attracts and retains talent. </w:t>
      </w:r>
      <w:r>
        <w:rPr>
          <w:rFonts w:ascii="Arial" w:cs="Arial" w:eastAsia="Arial" w:hAnsi="Arial"/>
          <w:sz w:val="18"/>
          <w:szCs w:val="18"/>
          <w:color w:val="auto"/>
        </w:rPr>
        <w:t>Talented, motivated and effective executives and employees are essential to executing our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strategies. Stock-based incentive compensation have been important components of total compensation at the Company for many years because such types of compensation enable us to effectively recruit executives and other employees while encouraging them to act and think like owners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81" w:name="page82"/>
    <w:bookmarkEnd w:id="81"/>
    <w:p>
      <w:pPr>
        <w:ind w:left="640"/>
        <w:spacing w:after="0" w:line="262" w:lineRule="auto"/>
        <w:rPr>
          <w:sz w:val="20"/>
          <w:szCs w:val="20"/>
          <w:color w:val="auto"/>
        </w:rPr>
      </w:pPr>
      <w:r>
        <w:rPr>
          <w:rFonts w:ascii="Arial" w:cs="Arial" w:eastAsia="Arial" w:hAnsi="Arial"/>
          <w:sz w:val="18"/>
          <w:szCs w:val="18"/>
          <w:color w:val="auto"/>
        </w:rPr>
        <w:t>the Company. If the 2026 Plan is approved, we believe we will maintain our ability to offer competitive compensation packages to both retain our best performers and attract new talent.</w:t>
      </w:r>
    </w:p>
    <w:p>
      <w:pPr>
        <w:spacing w:after="0" w:line="202" w:lineRule="exact"/>
        <w:rPr>
          <w:sz w:val="20"/>
          <w:szCs w:val="20"/>
          <w:color w:val="auto"/>
        </w:rPr>
      </w:pPr>
    </w:p>
    <w:p>
      <w:pPr>
        <w:jc w:val="both"/>
        <w:ind w:left="640" w:hanging="313"/>
        <w:spacing w:after="0" w:line="243" w:lineRule="auto"/>
        <w:tabs>
          <w:tab w:leader="none" w:pos="635"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Supports our pay-for-performance philosophy. </w:t>
      </w:r>
      <w:r>
        <w:rPr>
          <w:rFonts w:ascii="Arial" w:cs="Arial" w:eastAsia="Arial" w:hAnsi="Arial"/>
          <w:sz w:val="18"/>
          <w:szCs w:val="18"/>
          <w:color w:val="auto"/>
        </w:rPr>
        <w:t>We believe that stock-based compensation, by its very nature, is performance-based compensation. A significant portion of total compensation for our executives is incentive compensation in the form of long-term incentives that are tied to the achievement of financial business results and our stock price. We use long-term incentive compensation to help reinforce desired financial business results to our executives and to motivate them to make decisions to produce those results. If the 2026 Plan is approved, it will support our pay-for-performance philosophy.</w:t>
      </w:r>
    </w:p>
    <w:p>
      <w:pPr>
        <w:spacing w:after="0" w:line="206" w:lineRule="exact"/>
        <w:rPr>
          <w:rFonts w:ascii="Arial" w:cs="Arial" w:eastAsia="Arial" w:hAnsi="Arial"/>
          <w:sz w:val="18"/>
          <w:szCs w:val="18"/>
          <w:color w:val="auto"/>
        </w:rPr>
      </w:pPr>
    </w:p>
    <w:p>
      <w:pPr>
        <w:jc w:val="both"/>
        <w:ind w:left="640" w:hanging="313"/>
        <w:spacing w:after="0" w:line="258" w:lineRule="auto"/>
        <w:tabs>
          <w:tab w:leader="none" w:pos="635" w:val="left"/>
        </w:tabs>
        <w:numPr>
          <w:ilvl w:val="0"/>
          <w:numId w:val="8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Avoids disruption in our compensation programs. </w:t>
      </w:r>
      <w:r>
        <w:rPr>
          <w:rFonts w:ascii="Arial" w:cs="Arial" w:eastAsia="Arial" w:hAnsi="Arial"/>
          <w:sz w:val="17"/>
          <w:szCs w:val="17"/>
          <w:color w:val="auto"/>
        </w:rPr>
        <w:t>The approval of the 2026 Plan by our stockholders is important because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shares authorized for issuance under the 2022 Plan is not expected to be sufficient to meet our needs over the next several years. If the 2026 Plan is not approved, we likely would need to replace components of compensation previously awarded in certain equity with cash or with other instruments that may not necessarily align employee interests with those of our stockholders as well as our current equity awards, such as our performance share awards. Additionally, replacing equity with cash would increase our cash compensation expense and use cash that would be better utilized toward other strategic purposes, such as strategic acquisitions, research and development of innovative new products, and improvements in the quality and performance of existing products.</w:t>
      </w:r>
    </w:p>
    <w:p>
      <w:pPr>
        <w:spacing w:after="0" w:line="210" w:lineRule="exact"/>
        <w:rPr>
          <w:rFonts w:ascii="Arial" w:cs="Arial" w:eastAsia="Arial" w:hAnsi="Arial"/>
          <w:sz w:val="17"/>
          <w:szCs w:val="17"/>
          <w:color w:val="auto"/>
        </w:rPr>
      </w:pPr>
    </w:p>
    <w:p>
      <w:pPr>
        <w:jc w:val="both"/>
        <w:ind w:left="640" w:hanging="313"/>
        <w:spacing w:after="0" w:line="243" w:lineRule="auto"/>
        <w:tabs>
          <w:tab w:leader="none" w:pos="635"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Balances appropriately our need to attract and retain talent with stockholder interests regarding dilution. </w:t>
      </w:r>
      <w:r>
        <w:rPr>
          <w:rFonts w:ascii="Arial" w:cs="Arial" w:eastAsia="Arial" w:hAnsi="Arial"/>
          <w:sz w:val="18"/>
          <w:szCs w:val="18"/>
          <w:color w:val="auto"/>
        </w:rPr>
        <w:t>We recognize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dilutive impact of our equity compensation programs on our stockholders and we continuously strive to balance this concern with the competition for talent, competitive compensation practices, and the need to attract and retain talent. As described in more detail below under the heading “Background for Shares Authorized for Issuance under the 2026 Plan,” we believe the 2026 Plan is not excessively dilutive to our stockholders and our three-year average annual burn rate is only 0.65%.</w:t>
      </w:r>
    </w:p>
    <w:p>
      <w:pPr>
        <w:spacing w:after="0" w:line="206" w:lineRule="exact"/>
        <w:rPr>
          <w:rFonts w:ascii="Arial" w:cs="Arial" w:eastAsia="Arial" w:hAnsi="Arial"/>
          <w:sz w:val="18"/>
          <w:szCs w:val="18"/>
          <w:color w:val="auto"/>
        </w:rPr>
      </w:pPr>
    </w:p>
    <w:p>
      <w:pPr>
        <w:jc w:val="both"/>
        <w:ind w:left="640" w:hanging="313"/>
        <w:spacing w:after="0" w:line="254" w:lineRule="auto"/>
        <w:tabs>
          <w:tab w:leader="none" w:pos="635"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Protects stockholder interests and embraces sound stock-based compensation practices. </w:t>
      </w:r>
      <w:r>
        <w:rPr>
          <w:rFonts w:ascii="Arial" w:cs="Arial" w:eastAsia="Arial" w:hAnsi="Arial"/>
          <w:sz w:val="18"/>
          <w:szCs w:val="18"/>
          <w:color w:val="auto"/>
        </w:rPr>
        <w:t>As described in more detail below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heading “Summary of Sound Governance Features of the 2026 Plan,” the 2026 Plan includes a number of features that are consistent with the interests of our stockholders and sound corporate governance practices.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Summary of Sound Governance Features of the 2026 Plan</w:t>
      </w:r>
    </w:p>
    <w:p>
      <w:pPr>
        <w:spacing w:after="0" w:line="244" w:lineRule="exact"/>
        <w:rPr>
          <w:sz w:val="20"/>
          <w:szCs w:val="20"/>
          <w:color w:val="auto"/>
        </w:rPr>
      </w:pPr>
    </w:p>
    <w:p>
      <w:pPr>
        <w:ind w:firstLine="640"/>
        <w:spacing w:after="0" w:line="262" w:lineRule="auto"/>
        <w:rPr>
          <w:sz w:val="20"/>
          <w:szCs w:val="20"/>
          <w:color w:val="auto"/>
        </w:rPr>
      </w:pPr>
      <w:r>
        <w:rPr>
          <w:rFonts w:ascii="Arial" w:cs="Arial" w:eastAsia="Arial" w:hAnsi="Arial"/>
          <w:sz w:val="18"/>
          <w:szCs w:val="18"/>
          <w:color w:val="auto"/>
        </w:rPr>
        <w:t>The Board and Compensation &amp; Human Resources Committee believe that the 2026 Plan contains several features that are consistent with the interests of our stockholders and sound corporate governance practices, including the following:</w:t>
      </w:r>
    </w:p>
    <w:p>
      <w:pPr>
        <w:sectPr>
          <w:pgSz w:w="11900" w:h="16838" w:orient="portrait"/>
          <w:cols w:equalWidth="0" w:num="1">
            <w:col w:w="11240"/>
          </w:cols>
          <w:pgMar w:left="320" w:top="1190" w:right="339" w:bottom="1440" w:gutter="0" w:footer="0" w:header="0"/>
        </w:sectPr>
      </w:pPr>
    </w:p>
    <w:p>
      <w:pPr>
        <w:spacing w:after="0" w:line="146" w:lineRule="exact"/>
        <w:rPr>
          <w:sz w:val="20"/>
          <w:szCs w:val="20"/>
          <w:color w:val="auto"/>
        </w:rPr>
      </w:pPr>
    </w:p>
    <w:p>
      <w:pPr>
        <w:ind w:left="380"/>
        <w:spacing w:after="0" w:line="281" w:lineRule="exact"/>
        <w:rPr>
          <w:sz w:val="20"/>
          <w:szCs w:val="20"/>
          <w:color w:val="auto"/>
        </w:rPr>
      </w:pPr>
      <w:r>
        <w:rPr>
          <w:rFonts w:ascii="MS PGothic" w:cs="MS PGothic" w:eastAsia="MS PGothic" w:hAnsi="MS PGothic"/>
          <w:sz w:val="28"/>
          <w:szCs w:val="28"/>
          <w:color w:val="C00000"/>
        </w:rPr>
        <w:t>☑</w:t>
      </w:r>
    </w:p>
    <w:p>
      <w:pPr>
        <w:spacing w:after="0" w:line="190" w:lineRule="exact"/>
        <w:rPr>
          <w:sz w:val="20"/>
          <w:szCs w:val="20"/>
          <w:color w:val="auto"/>
        </w:rPr>
      </w:pPr>
    </w:p>
    <w:p>
      <w:pPr>
        <w:ind w:left="380"/>
        <w:spacing w:after="0" w:line="281" w:lineRule="exact"/>
        <w:rPr>
          <w:sz w:val="20"/>
          <w:szCs w:val="20"/>
          <w:color w:val="auto"/>
        </w:rPr>
      </w:pPr>
      <w:r>
        <w:rPr>
          <w:rFonts w:ascii="MS PGothic" w:cs="MS PGothic" w:eastAsia="MS PGothic" w:hAnsi="MS PGothic"/>
          <w:sz w:val="28"/>
          <w:szCs w:val="28"/>
          <w:color w:val="C00000"/>
        </w:rPr>
        <w:t>☑</w:t>
      </w:r>
    </w:p>
    <w:p>
      <w:pPr>
        <w:spacing w:after="0" w:line="107" w:lineRule="exact"/>
        <w:rPr>
          <w:sz w:val="20"/>
          <w:szCs w:val="20"/>
          <w:color w:val="auto"/>
        </w:rPr>
      </w:pPr>
    </w:p>
    <w:p>
      <w:pPr>
        <w:ind w:left="380"/>
        <w:spacing w:after="0" w:line="281" w:lineRule="exact"/>
        <w:rPr>
          <w:sz w:val="20"/>
          <w:szCs w:val="20"/>
          <w:color w:val="auto"/>
        </w:rPr>
      </w:pPr>
      <w:r>
        <w:rPr>
          <w:rFonts w:ascii="MS PGothic" w:cs="MS PGothic" w:eastAsia="MS PGothic" w:hAnsi="MS PGothic"/>
          <w:sz w:val="28"/>
          <w:szCs w:val="28"/>
          <w:color w:val="C00000"/>
        </w:rPr>
        <w:t>☑</w:t>
      </w:r>
    </w:p>
    <w:p>
      <w:pPr>
        <w:spacing w:after="0" w:line="120" w:lineRule="exact"/>
        <w:rPr>
          <w:sz w:val="20"/>
          <w:szCs w:val="20"/>
          <w:color w:val="auto"/>
        </w:rPr>
      </w:pPr>
    </w:p>
    <w:p>
      <w:pPr>
        <w:ind w:left="380"/>
        <w:spacing w:after="0" w:line="281" w:lineRule="exact"/>
        <w:rPr>
          <w:sz w:val="20"/>
          <w:szCs w:val="20"/>
          <w:color w:val="auto"/>
        </w:rPr>
      </w:pPr>
      <w:r>
        <w:rPr>
          <w:rFonts w:ascii="MS PGothic" w:cs="MS PGothic" w:eastAsia="MS PGothic" w:hAnsi="MS PGothic"/>
          <w:sz w:val="28"/>
          <w:szCs w:val="28"/>
          <w:color w:val="C00000"/>
        </w:rPr>
        <w:t>☑</w:t>
      </w:r>
    </w:p>
    <w:p>
      <w:pPr>
        <w:spacing w:after="0" w:line="94" w:lineRule="exact"/>
        <w:rPr>
          <w:sz w:val="20"/>
          <w:szCs w:val="20"/>
          <w:color w:val="auto"/>
        </w:rPr>
      </w:pPr>
    </w:p>
    <w:p>
      <w:pPr>
        <w:ind w:left="380"/>
        <w:spacing w:after="0" w:line="281" w:lineRule="exact"/>
        <w:rPr>
          <w:sz w:val="20"/>
          <w:szCs w:val="20"/>
          <w:color w:val="auto"/>
        </w:rPr>
      </w:pPr>
      <w:r>
        <w:rPr>
          <w:rFonts w:ascii="MS PGothic" w:cs="MS PGothic" w:eastAsia="MS PGothic" w:hAnsi="MS PGothic"/>
          <w:sz w:val="28"/>
          <w:szCs w:val="28"/>
          <w:color w:val="C00000"/>
        </w:rPr>
        <w:t>☑</w:t>
      </w:r>
    </w:p>
    <w:p>
      <w:pPr>
        <w:spacing w:after="0" w:line="94" w:lineRule="exact"/>
        <w:rPr>
          <w:sz w:val="20"/>
          <w:szCs w:val="20"/>
          <w:color w:val="auto"/>
        </w:rPr>
      </w:pPr>
    </w:p>
    <w:p>
      <w:pPr>
        <w:ind w:left="380"/>
        <w:spacing w:after="0" w:line="281" w:lineRule="exact"/>
        <w:rPr>
          <w:sz w:val="20"/>
          <w:szCs w:val="20"/>
          <w:color w:val="auto"/>
        </w:rPr>
      </w:pPr>
      <w:r>
        <w:rPr>
          <w:rFonts w:ascii="MS PGothic" w:cs="MS PGothic" w:eastAsia="MS PGothic" w:hAnsi="MS PGothic"/>
          <w:sz w:val="28"/>
          <w:szCs w:val="28"/>
          <w:color w:val="C00000"/>
        </w:rPr>
        <w:t>☑</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No evergreen provision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Not excessively dilutive</w:t>
      </w:r>
    </w:p>
    <w:p>
      <w:pPr>
        <w:spacing w:after="0" w:line="100"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color w:val="auto"/>
        </w:rPr>
        <w:t>Minimum vesting and performance period requirements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Limit on full-value awards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Limits on non-employee director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 tax gross-ups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281" w:lineRule="exact"/>
        <w:rPr>
          <w:sz w:val="20"/>
          <w:szCs w:val="20"/>
          <w:color w:val="auto"/>
        </w:rPr>
      </w:pPr>
      <w:r>
        <w:rPr>
          <w:rFonts w:ascii="MS PGothic" w:cs="MS PGothic" w:eastAsia="MS PGothic" w:hAnsi="MS PGothic"/>
          <w:sz w:val="28"/>
          <w:szCs w:val="28"/>
          <w:color w:val="C00000"/>
        </w:rPr>
        <w:t>☑</w:t>
      </w:r>
    </w:p>
    <w:p>
      <w:pPr>
        <w:spacing w:after="0" w:line="190" w:lineRule="exact"/>
        <w:rPr>
          <w:sz w:val="20"/>
          <w:szCs w:val="20"/>
          <w:color w:val="auto"/>
        </w:rPr>
      </w:pPr>
    </w:p>
    <w:p>
      <w:pPr>
        <w:spacing w:after="0" w:line="281" w:lineRule="exact"/>
        <w:rPr>
          <w:sz w:val="20"/>
          <w:szCs w:val="20"/>
          <w:color w:val="auto"/>
        </w:rPr>
      </w:pPr>
      <w:r>
        <w:rPr>
          <w:rFonts w:ascii="MS PGothic" w:cs="MS PGothic" w:eastAsia="MS PGothic" w:hAnsi="MS PGothic"/>
          <w:sz w:val="28"/>
          <w:szCs w:val="28"/>
          <w:color w:val="C00000"/>
        </w:rPr>
        <w:t>☑</w:t>
      </w:r>
    </w:p>
    <w:p>
      <w:pPr>
        <w:spacing w:after="0" w:line="107" w:lineRule="exact"/>
        <w:rPr>
          <w:sz w:val="20"/>
          <w:szCs w:val="20"/>
          <w:color w:val="auto"/>
        </w:rPr>
      </w:pPr>
    </w:p>
    <w:p>
      <w:pPr>
        <w:spacing w:after="0" w:line="281" w:lineRule="exact"/>
        <w:rPr>
          <w:sz w:val="20"/>
          <w:szCs w:val="20"/>
          <w:color w:val="auto"/>
        </w:rPr>
      </w:pPr>
      <w:r>
        <w:rPr>
          <w:rFonts w:ascii="MS PGothic" w:cs="MS PGothic" w:eastAsia="MS PGothic" w:hAnsi="MS PGothic"/>
          <w:sz w:val="28"/>
          <w:szCs w:val="28"/>
          <w:color w:val="C00000"/>
        </w:rPr>
        <w:t>☑</w:t>
      </w:r>
    </w:p>
    <w:p>
      <w:pPr>
        <w:spacing w:after="0" w:line="120" w:lineRule="exact"/>
        <w:rPr>
          <w:sz w:val="20"/>
          <w:szCs w:val="20"/>
          <w:color w:val="auto"/>
        </w:rPr>
      </w:pPr>
    </w:p>
    <w:p>
      <w:pPr>
        <w:spacing w:after="0" w:line="281" w:lineRule="exact"/>
        <w:rPr>
          <w:sz w:val="20"/>
          <w:szCs w:val="20"/>
          <w:color w:val="auto"/>
        </w:rPr>
      </w:pPr>
      <w:r>
        <w:rPr>
          <w:rFonts w:ascii="MS PGothic" w:cs="MS PGothic" w:eastAsia="MS PGothic" w:hAnsi="MS PGothic"/>
          <w:sz w:val="28"/>
          <w:szCs w:val="28"/>
          <w:color w:val="C00000"/>
        </w:rPr>
        <w:t>☑</w:t>
      </w:r>
    </w:p>
    <w:p>
      <w:pPr>
        <w:spacing w:after="0" w:line="94" w:lineRule="exact"/>
        <w:rPr>
          <w:sz w:val="20"/>
          <w:szCs w:val="20"/>
          <w:color w:val="auto"/>
        </w:rPr>
      </w:pPr>
    </w:p>
    <w:p>
      <w:pPr>
        <w:spacing w:after="0" w:line="281" w:lineRule="exact"/>
        <w:rPr>
          <w:sz w:val="20"/>
          <w:szCs w:val="20"/>
          <w:color w:val="auto"/>
        </w:rPr>
      </w:pPr>
      <w:r>
        <w:rPr>
          <w:rFonts w:ascii="MS PGothic" w:cs="MS PGothic" w:eastAsia="MS PGothic" w:hAnsi="MS PGothic"/>
          <w:sz w:val="28"/>
          <w:szCs w:val="28"/>
          <w:color w:val="C00000"/>
        </w:rPr>
        <w:t>☑</w:t>
      </w:r>
    </w:p>
    <w:p>
      <w:pPr>
        <w:spacing w:after="0" w:line="94" w:lineRule="exact"/>
        <w:rPr>
          <w:sz w:val="20"/>
          <w:szCs w:val="20"/>
          <w:color w:val="auto"/>
        </w:rPr>
      </w:pPr>
    </w:p>
    <w:p>
      <w:pPr>
        <w:spacing w:after="0" w:line="281" w:lineRule="exact"/>
        <w:rPr>
          <w:sz w:val="20"/>
          <w:szCs w:val="20"/>
          <w:color w:val="auto"/>
        </w:rPr>
      </w:pPr>
      <w:r>
        <w:rPr>
          <w:rFonts w:ascii="MS PGothic" w:cs="MS PGothic" w:eastAsia="MS PGothic" w:hAnsi="MS PGothic"/>
          <w:sz w:val="28"/>
          <w:szCs w:val="28"/>
          <w:color w:val="C00000"/>
        </w:rPr>
        <w:t>☑</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No liberal share counting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 dividend payments on unvested awards</w:t>
      </w:r>
    </w:p>
    <w:p>
      <w:pPr>
        <w:spacing w:after="0" w:line="10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No repricing of “underwater” stock options or SARs, without stockholder approval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No liberal change of control definition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 discounted or reload stock options or SARs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Robust clawback policy</w:t>
      </w:r>
    </w:p>
    <w:p>
      <w:pPr>
        <w:spacing w:after="0" w:line="206" w:lineRule="exact"/>
        <w:rPr>
          <w:sz w:val="20"/>
          <w:szCs w:val="20"/>
          <w:color w:val="auto"/>
        </w:rPr>
      </w:pPr>
    </w:p>
    <w:p>
      <w:pPr>
        <w:sectPr>
          <w:pgSz w:w="11900" w:h="16838" w:orient="portrait"/>
          <w:cols w:equalWidth="0" w:num="4">
            <w:col w:w="660" w:space="400"/>
            <w:col w:w="4000" w:space="720"/>
            <w:col w:w="280" w:space="480"/>
            <w:col w:w="4700"/>
          </w:cols>
          <w:pgMar w:left="320" w:top="1190" w:right="33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Background for Shares Authorized for Issuance Under the 2026 Plan</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the 2026 Plan is approved, the maximum number of shares of our common stock authorized for issuance will be equal to the sum of:</w:t>
      </w:r>
    </w:p>
    <w:p>
      <w:pPr>
        <w:spacing w:after="0" w:line="18" w:lineRule="exact"/>
        <w:rPr>
          <w:sz w:val="20"/>
          <w:szCs w:val="20"/>
          <w:color w:val="auto"/>
        </w:rPr>
      </w:pPr>
    </w:p>
    <w:p>
      <w:pPr>
        <w:jc w:val="both"/>
        <w:ind w:firstLine="7"/>
        <w:spacing w:after="0" w:line="238" w:lineRule="auto"/>
        <w:tabs>
          <w:tab w:leader="none" w:pos="277" w:val="left"/>
        </w:tabs>
        <w:numPr>
          <w:ilvl w:val="0"/>
          <w:numId w:val="84"/>
        </w:numPr>
        <w:rPr>
          <w:rFonts w:ascii="Arial" w:cs="Arial" w:eastAsia="Arial" w:hAnsi="Arial"/>
          <w:sz w:val="18"/>
          <w:szCs w:val="18"/>
          <w:color w:val="auto"/>
        </w:rPr>
      </w:pPr>
      <w:r>
        <w:rPr>
          <w:rFonts w:ascii="Arial" w:cs="Arial" w:eastAsia="Arial" w:hAnsi="Arial"/>
          <w:sz w:val="18"/>
          <w:szCs w:val="18"/>
          <w:color w:val="auto"/>
        </w:rPr>
        <w:t>3,650,000 shares, plus (b) the number of shares remaining available for grant under the 2022 Plan but not subject to outstanding awards thereunder as of the effective date of the 2026 Plan, and plus (c) the number of shares subject to awards outstanding under the 2022 Plan as of the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type w:val="continuous"/>
        </w:sectPr>
      </w:pPr>
    </w:p>
    <w:bookmarkStart w:id="82" w:name="page83"/>
    <w:bookmarkEnd w:id="82"/>
    <w:p>
      <w:pPr>
        <w:jc w:val="both"/>
        <w:spacing w:after="0" w:line="247" w:lineRule="auto"/>
        <w:rPr>
          <w:sz w:val="20"/>
          <w:szCs w:val="20"/>
          <w:color w:val="auto"/>
        </w:rPr>
      </w:pPr>
      <w:r>
        <w:rPr>
          <w:rFonts w:ascii="Arial" w:cs="Arial" w:eastAsia="Arial" w:hAnsi="Arial"/>
          <w:sz w:val="18"/>
          <w:szCs w:val="18"/>
          <w:color w:val="auto"/>
        </w:rPr>
        <w:t>date of the 2026 Plan but only to the extent that such outstanding awards are forfeited, expire or otherwise terminate without the issuance of such shares after the effective date of the 2026 Plan. As of January 20, 2026, 1,502,701 shares of our common stock remained available for grant under the 2022 Plan and 3,906,607 shares of our common stock were subject to outstanding awards under the 2022 Plan, assuming target level of performance for performance-based awards.</w:t>
      </w:r>
    </w:p>
    <w:p>
      <w:pPr>
        <w:spacing w:after="0" w:line="202" w:lineRule="exact"/>
        <w:rPr>
          <w:sz w:val="20"/>
          <w:szCs w:val="20"/>
          <w:color w:val="auto"/>
        </w:rPr>
      </w:pPr>
    </w:p>
    <w:p>
      <w:pPr>
        <w:jc w:val="both"/>
        <w:ind w:firstLine="640"/>
        <w:spacing w:after="0" w:line="277" w:lineRule="auto"/>
        <w:rPr>
          <w:sz w:val="20"/>
          <w:szCs w:val="20"/>
          <w:color w:val="auto"/>
        </w:rPr>
      </w:pPr>
      <w:r>
        <w:rPr>
          <w:rFonts w:ascii="Arial" w:cs="Arial" w:eastAsia="Arial" w:hAnsi="Arial"/>
          <w:sz w:val="18"/>
          <w:szCs w:val="18"/>
          <w:color w:val="auto"/>
        </w:rPr>
        <w:t>In setting the number of shares of common stock available for issuance under the 2026 Plan, the Board and Compensation &amp; Human Resources Committee considered a number of factors, which are discussed further below, including:</w:t>
      </w:r>
    </w:p>
    <w:p>
      <w:pPr>
        <w:spacing w:after="0" w:line="203" w:lineRule="exact"/>
        <w:rPr>
          <w:sz w:val="20"/>
          <w:szCs w:val="20"/>
          <w:color w:val="auto"/>
        </w:rPr>
      </w:pPr>
    </w:p>
    <w:p>
      <w:pPr>
        <w:ind w:left="640" w:hanging="313"/>
        <w:spacing w:after="0" w:line="231" w:lineRule="auto"/>
        <w:tabs>
          <w:tab w:leader="none" w:pos="635" w:val="left"/>
        </w:tabs>
        <w:numPr>
          <w:ilvl w:val="0"/>
          <w:numId w:val="85"/>
        </w:numPr>
        <w:rPr>
          <w:rFonts w:ascii="Arial" w:cs="Arial" w:eastAsia="Arial" w:hAnsi="Arial"/>
          <w:sz w:val="21"/>
          <w:szCs w:val="21"/>
          <w:color w:val="auto"/>
        </w:rPr>
      </w:pPr>
      <w:r>
        <w:rPr>
          <w:rFonts w:ascii="Arial" w:cs="Arial" w:eastAsia="Arial" w:hAnsi="Arial"/>
          <w:sz w:val="18"/>
          <w:szCs w:val="18"/>
          <w:color w:val="auto"/>
        </w:rPr>
        <w:t>Shares available under the 2022 Plan and total outstanding equity-based awards and how long the shares available are expected to last;</w:t>
      </w:r>
    </w:p>
    <w:p>
      <w:pPr>
        <w:spacing w:after="0" w:line="235" w:lineRule="exact"/>
        <w:rPr>
          <w:rFonts w:ascii="Arial" w:cs="Arial" w:eastAsia="Arial" w:hAnsi="Arial"/>
          <w:sz w:val="21"/>
          <w:szCs w:val="21"/>
          <w:color w:val="auto"/>
        </w:rPr>
      </w:pPr>
    </w:p>
    <w:p>
      <w:pPr>
        <w:ind w:left="640" w:hanging="313"/>
        <w:spacing w:after="0" w:line="231" w:lineRule="auto"/>
        <w:tabs>
          <w:tab w:leader="none" w:pos="635" w:val="left"/>
        </w:tabs>
        <w:numPr>
          <w:ilvl w:val="0"/>
          <w:numId w:val="85"/>
        </w:numPr>
        <w:rPr>
          <w:rFonts w:ascii="Arial" w:cs="Arial" w:eastAsia="Arial" w:hAnsi="Arial"/>
          <w:sz w:val="21"/>
          <w:szCs w:val="21"/>
          <w:color w:val="auto"/>
        </w:rPr>
      </w:pPr>
      <w:r>
        <w:rPr>
          <w:rFonts w:ascii="Arial" w:cs="Arial" w:eastAsia="Arial" w:hAnsi="Arial"/>
          <w:sz w:val="18"/>
          <w:szCs w:val="18"/>
          <w:color w:val="auto"/>
        </w:rPr>
        <w:t>Historical equity award granting practices, including our three-year average share usage rate (commonly referred to as “burn rate”); and</w:t>
      </w:r>
    </w:p>
    <w:p>
      <w:pPr>
        <w:spacing w:after="0" w:line="240" w:lineRule="exact"/>
        <w:rPr>
          <w:rFonts w:ascii="Arial" w:cs="Arial" w:eastAsia="Arial" w:hAnsi="Arial"/>
          <w:sz w:val="21"/>
          <w:szCs w:val="21"/>
          <w:color w:val="auto"/>
        </w:rPr>
      </w:pPr>
    </w:p>
    <w:p>
      <w:pPr>
        <w:ind w:left="640" w:hanging="313"/>
        <w:spacing w:after="0"/>
        <w:tabs>
          <w:tab w:leader="none" w:pos="640" w:val="left"/>
        </w:tabs>
        <w:numPr>
          <w:ilvl w:val="0"/>
          <w:numId w:val="85"/>
        </w:numPr>
        <w:rPr>
          <w:rFonts w:ascii="Arial" w:cs="Arial" w:eastAsia="Arial" w:hAnsi="Arial"/>
          <w:sz w:val="21"/>
          <w:szCs w:val="21"/>
          <w:color w:val="auto"/>
        </w:rPr>
      </w:pPr>
      <w:r>
        <w:rPr>
          <w:rFonts w:ascii="Arial" w:cs="Arial" w:eastAsia="Arial" w:hAnsi="Arial"/>
          <w:sz w:val="18"/>
          <w:szCs w:val="18"/>
          <w:color w:val="auto"/>
        </w:rPr>
        <w:t>Potential dilution and overhang.</w:t>
      </w:r>
    </w:p>
    <w:p>
      <w:pPr>
        <w:spacing w:after="0" w:line="219" w:lineRule="exact"/>
        <w:rPr>
          <w:sz w:val="20"/>
          <w:szCs w:val="20"/>
          <w:color w:val="auto"/>
        </w:rPr>
      </w:pPr>
    </w:p>
    <w:p>
      <w:pPr>
        <w:jc w:val="both"/>
        <w:ind w:firstLine="640"/>
        <w:spacing w:after="0" w:line="244" w:lineRule="auto"/>
        <w:rPr>
          <w:sz w:val="20"/>
          <w:szCs w:val="20"/>
          <w:color w:val="auto"/>
        </w:rPr>
      </w:pPr>
      <w:r>
        <w:rPr>
          <w:rFonts w:ascii="Arial" w:cs="Arial" w:eastAsia="Arial" w:hAnsi="Arial"/>
          <w:sz w:val="18"/>
          <w:szCs w:val="18"/>
          <w:b w:val="1"/>
          <w:bCs w:val="1"/>
          <w:color w:val="auto"/>
        </w:rPr>
        <w:t>Shares Available and Outstanding Equity Awards. </w:t>
      </w:r>
      <w:r>
        <w:rPr>
          <w:rFonts w:ascii="Arial" w:cs="Arial" w:eastAsia="Arial" w:hAnsi="Arial"/>
          <w:sz w:val="18"/>
          <w:szCs w:val="18"/>
          <w:color w:val="auto"/>
        </w:rPr>
        <w:t>   While the use of long-term incentives, in the form of equity awards, is an</w:t>
      </w:r>
      <w:r>
        <w:rPr>
          <w:rFonts w:ascii="Arial" w:cs="Arial" w:eastAsia="Arial" w:hAnsi="Arial"/>
          <w:sz w:val="18"/>
          <w:szCs w:val="18"/>
          <w:b w:val="1"/>
          <w:bCs w:val="1"/>
          <w:color w:val="auto"/>
        </w:rPr>
        <w:t xml:space="preserve"> </w:t>
      </w:r>
      <w:r>
        <w:rPr>
          <w:rFonts w:ascii="Arial" w:cs="Arial" w:eastAsia="Arial" w:hAnsi="Arial"/>
          <w:sz w:val="18"/>
          <w:szCs w:val="18"/>
          <w:color w:val="auto"/>
        </w:rPr>
        <w:t>important part of our compensation program, we are mindful of our responsibility to our stockholders to exercise judgment in the granting of equity awards. In setting the number of shares available for issuance under the 2026 Plan, the Board and Compensation &amp; Human Resources Committee also considered shares available under the 2022 Plan and total outstanding equity awards and how long the shares available under the 2026 Plan are expected to last. To facilitate the approval of the 2026 Plan, set forth below is certain information about shares of our common stock that may be issued under our equity compensation plans as of January 20, 2026.</w:t>
      </w:r>
    </w:p>
    <w:p>
      <w:pPr>
        <w:spacing w:after="0" w:line="194" w:lineRule="exact"/>
        <w:rPr>
          <w:sz w:val="20"/>
          <w:szCs w:val="20"/>
          <w:color w:val="auto"/>
        </w:rPr>
      </w:pPr>
    </w:p>
    <w:p>
      <w:pPr>
        <w:jc w:val="both"/>
        <w:ind w:firstLine="640"/>
        <w:spacing w:after="0" w:line="262" w:lineRule="auto"/>
        <w:rPr>
          <w:sz w:val="20"/>
          <w:szCs w:val="20"/>
          <w:color w:val="auto"/>
        </w:rPr>
      </w:pPr>
      <w:r>
        <w:rPr>
          <w:rFonts w:ascii="Arial" w:cs="Arial" w:eastAsia="Arial" w:hAnsi="Arial"/>
          <w:sz w:val="18"/>
          <w:szCs w:val="18"/>
          <w:color w:val="auto"/>
        </w:rPr>
        <w:t>As of January 20, 2026, we had 97,480,643 shares of common stock issued and outstanding. The market value of one share of our common stock on January 20, 2026, as determined based on the closing price as reported on the NYSE, was $87.93.</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described in more detail in the table below, under the 2022 Plan (and without giving effect to approval of the 2026 Plan)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20, 2026:</w:t>
      </w:r>
    </w:p>
    <w:p>
      <w:pPr>
        <w:spacing w:after="0" w:line="231" w:lineRule="exact"/>
        <w:rPr>
          <w:sz w:val="20"/>
          <w:szCs w:val="20"/>
          <w:color w:val="auto"/>
        </w:rPr>
      </w:pPr>
    </w:p>
    <w:p>
      <w:pPr>
        <w:ind w:left="640" w:hanging="313"/>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1,502,701 shares remained available for issuance under the 2022 Plan; and</w:t>
      </w:r>
    </w:p>
    <w:p>
      <w:pPr>
        <w:spacing w:after="0" w:line="233" w:lineRule="exact"/>
        <w:rPr>
          <w:rFonts w:ascii="Arial" w:cs="Arial" w:eastAsia="Arial" w:hAnsi="Arial"/>
          <w:sz w:val="18"/>
          <w:szCs w:val="18"/>
          <w:color w:val="auto"/>
        </w:rPr>
      </w:pPr>
    </w:p>
    <w:p>
      <w:pPr>
        <w:ind w:left="640" w:hanging="313"/>
        <w:spacing w:after="0" w:line="277" w:lineRule="auto"/>
        <w:tabs>
          <w:tab w:leader="none" w:pos="635" w:val="left"/>
        </w:tabs>
        <w:numPr>
          <w:ilvl w:val="0"/>
          <w:numId w:val="86"/>
        </w:numPr>
        <w:rPr>
          <w:rFonts w:ascii="Arial" w:cs="Arial" w:eastAsia="Arial" w:hAnsi="Arial"/>
          <w:sz w:val="18"/>
          <w:szCs w:val="18"/>
          <w:color w:val="auto"/>
        </w:rPr>
      </w:pPr>
      <w:r>
        <w:rPr>
          <w:rFonts w:ascii="Arial" w:cs="Arial" w:eastAsia="Arial" w:hAnsi="Arial"/>
          <w:sz w:val="18"/>
          <w:szCs w:val="18"/>
          <w:color w:val="auto"/>
        </w:rPr>
        <w:t>3,127,922 stock options and 778,685 shares underlying full value awards (such as RSUs and performance shares) were outstanding under the 2022 Plan, assuming target level of performance for performance-based awards.</w:t>
      </w:r>
    </w:p>
    <w:p>
      <w:pPr>
        <w:spacing w:after="0" w:line="174" w:lineRule="exact"/>
        <w:rPr>
          <w:sz w:val="20"/>
          <w:szCs w:val="20"/>
          <w:color w:val="auto"/>
        </w:rPr>
      </w:pPr>
    </w:p>
    <w:p>
      <w:pPr>
        <w:jc w:val="both"/>
        <w:ind w:firstLine="640"/>
        <w:spacing w:after="0" w:line="256" w:lineRule="auto"/>
        <w:rPr>
          <w:sz w:val="20"/>
          <w:szCs w:val="20"/>
          <w:color w:val="auto"/>
        </w:rPr>
      </w:pPr>
      <w:r>
        <w:rPr>
          <w:rFonts w:ascii="Arial" w:cs="Arial" w:eastAsia="Arial" w:hAnsi="Arial"/>
          <w:sz w:val="18"/>
          <w:szCs w:val="18"/>
          <w:b w:val="1"/>
          <w:bCs w:val="1"/>
          <w:color w:val="auto"/>
        </w:rPr>
        <w:t>Historical Equity Award Granting Practices.</w:t>
      </w:r>
      <w:r>
        <w:rPr>
          <w:rFonts w:ascii="Arial" w:cs="Arial" w:eastAsia="Arial" w:hAnsi="Arial"/>
          <w:sz w:val="18"/>
          <w:szCs w:val="18"/>
          <w:color w:val="auto"/>
        </w:rPr>
        <w:t>    In setting the number of shares authorized for issuance under the 2026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and Compensation &amp; Human Resources Committee also considered the historical number of equity awards granted under the 2022 Plan in the past three full fiscal years and our anticipated burn rate going forward.</w:t>
      </w:r>
    </w:p>
    <w:p>
      <w:pPr>
        <w:spacing w:after="0" w:line="194" w:lineRule="exact"/>
        <w:rPr>
          <w:sz w:val="20"/>
          <w:szCs w:val="20"/>
          <w:color w:val="auto"/>
        </w:rPr>
      </w:pPr>
    </w:p>
    <w:p>
      <w:pPr>
        <w:jc w:val="both"/>
        <w:ind w:right="20" w:firstLine="640"/>
        <w:spacing w:after="0" w:line="262" w:lineRule="auto"/>
        <w:rPr>
          <w:sz w:val="20"/>
          <w:szCs w:val="20"/>
          <w:color w:val="auto"/>
        </w:rPr>
      </w:pPr>
      <w:r>
        <w:rPr>
          <w:rFonts w:ascii="Arial" w:cs="Arial" w:eastAsia="Arial" w:hAnsi="Arial"/>
          <w:sz w:val="18"/>
          <w:szCs w:val="18"/>
          <w:color w:val="auto"/>
        </w:rPr>
        <w:t>The following table sets forth information regarding awards granted and earned and our annual burn rate for each of the last three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27"/>
        </w:trPr>
        <w:tc>
          <w:tcPr>
            <w:tcW w:w="4780" w:type="dxa"/>
            <w:vAlign w:val="bottom"/>
            <w:shd w:val="clear" w:color="auto" w:fill="BF2115"/>
          </w:tcPr>
          <w:p>
            <w:pPr>
              <w:spacing w:after="0"/>
              <w:rPr>
                <w:sz w:val="19"/>
                <w:szCs w:val="19"/>
                <w:color w:val="auto"/>
              </w:rPr>
            </w:pPr>
          </w:p>
        </w:tc>
        <w:tc>
          <w:tcPr>
            <w:tcW w:w="2300" w:type="dxa"/>
            <w:vAlign w:val="bottom"/>
            <w:shd w:val="clear" w:color="auto" w:fill="BF2115"/>
          </w:tcPr>
          <w:p>
            <w:pPr>
              <w:jc w:val="right"/>
              <w:ind w:right="871"/>
              <w:spacing w:after="0"/>
              <w:rPr>
                <w:sz w:val="20"/>
                <w:szCs w:val="20"/>
                <w:color w:val="auto"/>
              </w:rPr>
            </w:pPr>
            <w:r>
              <w:rPr>
                <w:rFonts w:ascii="Arial" w:cs="Arial" w:eastAsia="Arial" w:hAnsi="Arial"/>
                <w:sz w:val="18"/>
                <w:szCs w:val="18"/>
                <w:b w:val="1"/>
                <w:bCs w:val="1"/>
                <w:color w:val="FFFFFF"/>
              </w:rPr>
              <w:t>Fiscal 2025</w:t>
            </w:r>
          </w:p>
        </w:tc>
        <w:tc>
          <w:tcPr>
            <w:tcW w:w="2240" w:type="dxa"/>
            <w:vAlign w:val="bottom"/>
            <w:shd w:val="clear" w:color="auto" w:fill="BF2115"/>
          </w:tcPr>
          <w:p>
            <w:pPr>
              <w:jc w:val="right"/>
              <w:ind w:right="871"/>
              <w:spacing w:after="0"/>
              <w:rPr>
                <w:sz w:val="20"/>
                <w:szCs w:val="20"/>
                <w:color w:val="auto"/>
              </w:rPr>
            </w:pPr>
            <w:r>
              <w:rPr>
                <w:rFonts w:ascii="Arial" w:cs="Arial" w:eastAsia="Arial" w:hAnsi="Arial"/>
                <w:sz w:val="18"/>
                <w:szCs w:val="18"/>
                <w:b w:val="1"/>
                <w:bCs w:val="1"/>
                <w:color w:val="FFFFFF"/>
              </w:rPr>
              <w:t>Fiscal 2024</w:t>
            </w:r>
          </w:p>
        </w:tc>
        <w:tc>
          <w:tcPr>
            <w:tcW w:w="1920" w:type="dxa"/>
            <w:vAlign w:val="bottom"/>
            <w:shd w:val="clear" w:color="auto" w:fill="BF2115"/>
          </w:tcPr>
          <w:p>
            <w:pPr>
              <w:jc w:val="right"/>
              <w:ind w:right="551"/>
              <w:spacing w:after="0"/>
              <w:rPr>
                <w:sz w:val="20"/>
                <w:szCs w:val="20"/>
                <w:color w:val="auto"/>
              </w:rPr>
            </w:pPr>
            <w:r>
              <w:rPr>
                <w:rFonts w:ascii="Arial" w:cs="Arial" w:eastAsia="Arial" w:hAnsi="Arial"/>
                <w:sz w:val="18"/>
                <w:szCs w:val="18"/>
                <w:b w:val="1"/>
                <w:bCs w:val="1"/>
                <w:color w:val="FFFFFF"/>
              </w:rPr>
              <w:t>Fiscal 2023</w:t>
            </w:r>
          </w:p>
        </w:tc>
      </w:tr>
      <w:tr>
        <w:trPr>
          <w:trHeight w:val="227"/>
        </w:trPr>
        <w:tc>
          <w:tcPr>
            <w:tcW w:w="4780" w:type="dxa"/>
            <w:vAlign w:val="bottom"/>
          </w:tcPr>
          <w:p>
            <w:pPr>
              <w:ind w:left="20"/>
              <w:spacing w:after="0"/>
              <w:rPr>
                <w:sz w:val="20"/>
                <w:szCs w:val="20"/>
                <w:color w:val="auto"/>
              </w:rPr>
            </w:pPr>
            <w:r>
              <w:rPr>
                <w:rFonts w:ascii="Arial" w:cs="Arial" w:eastAsia="Arial" w:hAnsi="Arial"/>
                <w:sz w:val="18"/>
                <w:szCs w:val="18"/>
                <w:color w:val="auto"/>
              </w:rPr>
              <w:t>Stock awards granted</w:t>
            </w:r>
          </w:p>
        </w:tc>
        <w:tc>
          <w:tcPr>
            <w:tcW w:w="2300" w:type="dxa"/>
            <w:vAlign w:val="bottom"/>
          </w:tcPr>
          <w:p>
            <w:pPr>
              <w:jc w:val="right"/>
              <w:ind w:right="251"/>
              <w:spacing w:after="0"/>
              <w:rPr>
                <w:sz w:val="20"/>
                <w:szCs w:val="20"/>
                <w:color w:val="auto"/>
              </w:rPr>
            </w:pPr>
            <w:r>
              <w:rPr>
                <w:rFonts w:ascii="Arial" w:cs="Arial" w:eastAsia="Arial" w:hAnsi="Arial"/>
                <w:sz w:val="18"/>
                <w:szCs w:val="18"/>
                <w:color w:val="auto"/>
              </w:rPr>
              <w:t>8,808</w:t>
            </w:r>
          </w:p>
        </w:tc>
        <w:tc>
          <w:tcPr>
            <w:tcW w:w="2240" w:type="dxa"/>
            <w:vAlign w:val="bottom"/>
          </w:tcPr>
          <w:p>
            <w:pPr>
              <w:jc w:val="right"/>
              <w:ind w:right="251"/>
              <w:spacing w:after="0"/>
              <w:rPr>
                <w:sz w:val="20"/>
                <w:szCs w:val="20"/>
                <w:color w:val="auto"/>
              </w:rPr>
            </w:pPr>
            <w:r>
              <w:rPr>
                <w:rFonts w:ascii="Arial" w:cs="Arial" w:eastAsia="Arial" w:hAnsi="Arial"/>
                <w:sz w:val="18"/>
                <w:szCs w:val="18"/>
                <w:color w:val="auto"/>
              </w:rPr>
              <w:t>7,544</w:t>
            </w:r>
          </w:p>
        </w:tc>
        <w:tc>
          <w:tcPr>
            <w:tcW w:w="1920" w:type="dxa"/>
            <w:vAlign w:val="bottom"/>
          </w:tcPr>
          <w:p>
            <w:pPr>
              <w:jc w:val="right"/>
              <w:spacing w:after="0"/>
              <w:rPr>
                <w:sz w:val="20"/>
                <w:szCs w:val="20"/>
                <w:color w:val="auto"/>
              </w:rPr>
            </w:pPr>
            <w:r>
              <w:rPr>
                <w:rFonts w:ascii="Arial" w:cs="Arial" w:eastAsia="Arial" w:hAnsi="Arial"/>
                <w:sz w:val="18"/>
                <w:szCs w:val="18"/>
                <w:color w:val="auto"/>
              </w:rPr>
              <w:t>10,329</w:t>
            </w:r>
          </w:p>
        </w:tc>
      </w:tr>
      <w:tr>
        <w:trPr>
          <w:trHeight w:val="227"/>
        </w:trPr>
        <w:tc>
          <w:tcPr>
            <w:tcW w:w="4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Stock options granted</w:t>
            </w:r>
          </w:p>
        </w:tc>
        <w:tc>
          <w:tcPr>
            <w:tcW w:w="2300" w:type="dxa"/>
            <w:vAlign w:val="bottom"/>
            <w:shd w:val="clear" w:color="auto" w:fill="DBDBDB"/>
          </w:tcPr>
          <w:p>
            <w:pPr>
              <w:jc w:val="right"/>
              <w:ind w:right="251"/>
              <w:spacing w:after="0"/>
              <w:rPr>
                <w:sz w:val="20"/>
                <w:szCs w:val="20"/>
                <w:color w:val="auto"/>
              </w:rPr>
            </w:pPr>
            <w:r>
              <w:rPr>
                <w:rFonts w:ascii="Arial" w:cs="Arial" w:eastAsia="Arial" w:hAnsi="Arial"/>
                <w:sz w:val="18"/>
                <w:szCs w:val="18"/>
                <w:color w:val="auto"/>
              </w:rPr>
              <w:t>378,970</w:t>
            </w:r>
          </w:p>
        </w:tc>
        <w:tc>
          <w:tcPr>
            <w:tcW w:w="2240" w:type="dxa"/>
            <w:vAlign w:val="bottom"/>
            <w:shd w:val="clear" w:color="auto" w:fill="DBDBDB"/>
          </w:tcPr>
          <w:p>
            <w:pPr>
              <w:jc w:val="right"/>
              <w:ind w:right="251"/>
              <w:spacing w:after="0"/>
              <w:rPr>
                <w:sz w:val="20"/>
                <w:szCs w:val="20"/>
                <w:color w:val="auto"/>
              </w:rPr>
            </w:pPr>
            <w:r>
              <w:rPr>
                <w:rFonts w:ascii="Arial" w:cs="Arial" w:eastAsia="Arial" w:hAnsi="Arial"/>
                <w:sz w:val="18"/>
                <w:szCs w:val="18"/>
                <w:color w:val="auto"/>
              </w:rPr>
              <w:t>442,665</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475,620</w:t>
            </w:r>
          </w:p>
        </w:tc>
      </w:tr>
      <w:tr>
        <w:trPr>
          <w:trHeight w:val="227"/>
        </w:trPr>
        <w:tc>
          <w:tcPr>
            <w:tcW w:w="4780" w:type="dxa"/>
            <w:vAlign w:val="bottom"/>
          </w:tcPr>
          <w:p>
            <w:pPr>
              <w:ind w:left="20"/>
              <w:spacing w:after="0"/>
              <w:rPr>
                <w:sz w:val="20"/>
                <w:szCs w:val="20"/>
                <w:color w:val="auto"/>
              </w:rPr>
            </w:pPr>
            <w:r>
              <w:rPr>
                <w:rFonts w:ascii="Arial" w:cs="Arial" w:eastAsia="Arial" w:hAnsi="Arial"/>
                <w:sz w:val="18"/>
                <w:szCs w:val="18"/>
                <w:color w:val="auto"/>
              </w:rPr>
              <w:t>Restricted stock awards granted</w:t>
            </w:r>
          </w:p>
        </w:tc>
        <w:tc>
          <w:tcPr>
            <w:tcW w:w="230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224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19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7"/>
        </w:trPr>
        <w:tc>
          <w:tcPr>
            <w:tcW w:w="4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RSU awards granted</w:t>
            </w:r>
          </w:p>
        </w:tc>
        <w:tc>
          <w:tcPr>
            <w:tcW w:w="2300" w:type="dxa"/>
            <w:vAlign w:val="bottom"/>
            <w:shd w:val="clear" w:color="auto" w:fill="DBDBDB"/>
          </w:tcPr>
          <w:p>
            <w:pPr>
              <w:jc w:val="right"/>
              <w:ind w:right="251"/>
              <w:spacing w:after="0"/>
              <w:rPr>
                <w:sz w:val="20"/>
                <w:szCs w:val="20"/>
                <w:color w:val="auto"/>
              </w:rPr>
            </w:pPr>
            <w:r>
              <w:rPr>
                <w:rFonts w:ascii="Arial" w:cs="Arial" w:eastAsia="Arial" w:hAnsi="Arial"/>
                <w:sz w:val="18"/>
                <w:szCs w:val="18"/>
                <w:color w:val="auto"/>
              </w:rPr>
              <w:t>149,011</w:t>
            </w:r>
          </w:p>
        </w:tc>
        <w:tc>
          <w:tcPr>
            <w:tcW w:w="2240" w:type="dxa"/>
            <w:vAlign w:val="bottom"/>
            <w:shd w:val="clear" w:color="auto" w:fill="DBDBDB"/>
          </w:tcPr>
          <w:p>
            <w:pPr>
              <w:jc w:val="right"/>
              <w:ind w:right="251"/>
              <w:spacing w:after="0"/>
              <w:rPr>
                <w:sz w:val="20"/>
                <w:szCs w:val="20"/>
                <w:color w:val="auto"/>
              </w:rPr>
            </w:pPr>
            <w:r>
              <w:rPr>
                <w:rFonts w:ascii="Arial" w:cs="Arial" w:eastAsia="Arial" w:hAnsi="Arial"/>
                <w:sz w:val="18"/>
                <w:szCs w:val="18"/>
                <w:color w:val="auto"/>
              </w:rPr>
              <w:t>100,758</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99,081</w:t>
            </w:r>
          </w:p>
        </w:tc>
      </w:tr>
      <w:tr>
        <w:trPr>
          <w:trHeight w:val="173"/>
        </w:trPr>
        <w:tc>
          <w:tcPr>
            <w:tcW w:w="4780" w:type="dxa"/>
            <w:vAlign w:val="bottom"/>
          </w:tcPr>
          <w:p>
            <w:pPr>
              <w:ind w:left="20"/>
              <w:spacing w:after="0" w:line="174" w:lineRule="exact"/>
              <w:rPr>
                <w:sz w:val="20"/>
                <w:szCs w:val="20"/>
                <w:color w:val="auto"/>
              </w:rPr>
            </w:pPr>
            <w:r>
              <w:rPr>
                <w:rFonts w:ascii="Arial" w:cs="Arial" w:eastAsia="Arial" w:hAnsi="Arial"/>
                <w:sz w:val="18"/>
                <w:szCs w:val="18"/>
                <w:color w:val="auto"/>
              </w:rPr>
              <w:t>Performance share awards granted, assuming target</w:t>
            </w:r>
          </w:p>
        </w:tc>
        <w:tc>
          <w:tcPr>
            <w:tcW w:w="23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40"/>
        </w:trPr>
        <w:tc>
          <w:tcPr>
            <w:tcW w:w="4780" w:type="dxa"/>
            <w:vAlign w:val="bottom"/>
          </w:tcPr>
          <w:p>
            <w:pPr>
              <w:ind w:left="20"/>
              <w:spacing w:after="0"/>
              <w:rPr>
                <w:sz w:val="20"/>
                <w:szCs w:val="20"/>
                <w:color w:val="auto"/>
              </w:rPr>
            </w:pPr>
            <w:r>
              <w:rPr>
                <w:rFonts w:ascii="Arial" w:cs="Arial" w:eastAsia="Arial" w:hAnsi="Arial"/>
                <w:sz w:val="18"/>
                <w:szCs w:val="18"/>
                <w:color w:val="auto"/>
              </w:rPr>
              <w:t>performance*</w:t>
            </w:r>
          </w:p>
        </w:tc>
        <w:tc>
          <w:tcPr>
            <w:tcW w:w="2300" w:type="dxa"/>
            <w:vAlign w:val="bottom"/>
          </w:tcPr>
          <w:p>
            <w:pPr>
              <w:jc w:val="right"/>
              <w:ind w:right="251"/>
              <w:spacing w:after="0"/>
              <w:rPr>
                <w:sz w:val="20"/>
                <w:szCs w:val="20"/>
                <w:color w:val="auto"/>
              </w:rPr>
            </w:pPr>
            <w:r>
              <w:rPr>
                <w:rFonts w:ascii="Arial" w:cs="Arial" w:eastAsia="Arial" w:hAnsi="Arial"/>
                <w:sz w:val="18"/>
                <w:szCs w:val="18"/>
                <w:color w:val="auto"/>
              </w:rPr>
              <w:t>162,859</w:t>
            </w:r>
          </w:p>
        </w:tc>
        <w:tc>
          <w:tcPr>
            <w:tcW w:w="2240" w:type="dxa"/>
            <w:vAlign w:val="bottom"/>
          </w:tcPr>
          <w:p>
            <w:pPr>
              <w:jc w:val="right"/>
              <w:ind w:right="251"/>
              <w:spacing w:after="0"/>
              <w:rPr>
                <w:sz w:val="20"/>
                <w:szCs w:val="20"/>
                <w:color w:val="auto"/>
              </w:rPr>
            </w:pPr>
            <w:r>
              <w:rPr>
                <w:rFonts w:ascii="Arial" w:cs="Arial" w:eastAsia="Arial" w:hAnsi="Arial"/>
                <w:sz w:val="18"/>
                <w:szCs w:val="18"/>
                <w:color w:val="auto"/>
              </w:rPr>
              <w:t>88,600</w:t>
            </w:r>
          </w:p>
        </w:tc>
        <w:tc>
          <w:tcPr>
            <w:tcW w:w="1920" w:type="dxa"/>
            <w:vAlign w:val="bottom"/>
          </w:tcPr>
          <w:p>
            <w:pPr>
              <w:jc w:val="right"/>
              <w:spacing w:after="0"/>
              <w:rPr>
                <w:sz w:val="20"/>
                <w:szCs w:val="20"/>
                <w:color w:val="auto"/>
              </w:rPr>
            </w:pPr>
            <w:r>
              <w:rPr>
                <w:rFonts w:ascii="Arial" w:cs="Arial" w:eastAsia="Arial" w:hAnsi="Arial"/>
                <w:sz w:val="18"/>
                <w:szCs w:val="18"/>
                <w:color w:val="auto"/>
              </w:rPr>
              <w:t>84,300</w:t>
            </w:r>
          </w:p>
        </w:tc>
      </w:tr>
      <w:tr>
        <w:trPr>
          <w:trHeight w:val="227"/>
        </w:trPr>
        <w:tc>
          <w:tcPr>
            <w:tcW w:w="4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Performance share awards earned</w:t>
            </w:r>
          </w:p>
        </w:tc>
        <w:tc>
          <w:tcPr>
            <w:tcW w:w="2300" w:type="dxa"/>
            <w:vAlign w:val="bottom"/>
            <w:shd w:val="clear" w:color="auto" w:fill="DBDBDB"/>
          </w:tcPr>
          <w:p>
            <w:pPr>
              <w:jc w:val="right"/>
              <w:ind w:right="251"/>
              <w:spacing w:after="0"/>
              <w:rPr>
                <w:sz w:val="20"/>
                <w:szCs w:val="20"/>
                <w:color w:val="auto"/>
              </w:rPr>
            </w:pPr>
            <w:r>
              <w:rPr>
                <w:rFonts w:ascii="Arial" w:cs="Arial" w:eastAsia="Arial" w:hAnsi="Arial"/>
                <w:sz w:val="18"/>
                <w:szCs w:val="18"/>
                <w:color w:val="auto"/>
              </w:rPr>
              <w:t>29,836</w:t>
            </w:r>
          </w:p>
        </w:tc>
        <w:tc>
          <w:tcPr>
            <w:tcW w:w="2240" w:type="dxa"/>
            <w:vAlign w:val="bottom"/>
            <w:shd w:val="clear" w:color="auto" w:fill="DBDBDB"/>
          </w:tcPr>
          <w:p>
            <w:pPr>
              <w:jc w:val="right"/>
              <w:ind w:right="251"/>
              <w:spacing w:after="0"/>
              <w:rPr>
                <w:sz w:val="20"/>
                <w:szCs w:val="20"/>
                <w:color w:val="auto"/>
              </w:rPr>
            </w:pPr>
            <w:r>
              <w:rPr>
                <w:rFonts w:ascii="Arial" w:cs="Arial" w:eastAsia="Arial" w:hAnsi="Arial"/>
                <w:sz w:val="18"/>
                <w:szCs w:val="18"/>
                <w:color w:val="auto"/>
              </w:rPr>
              <w:t>85,324</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46,831</w:t>
            </w:r>
          </w:p>
        </w:tc>
      </w:tr>
      <w:tr>
        <w:trPr>
          <w:trHeight w:val="173"/>
        </w:trPr>
        <w:tc>
          <w:tcPr>
            <w:tcW w:w="4780" w:type="dxa"/>
            <w:vAlign w:val="bottom"/>
          </w:tcPr>
          <w:p>
            <w:pPr>
              <w:ind w:left="20"/>
              <w:spacing w:after="0" w:line="174" w:lineRule="exact"/>
              <w:rPr>
                <w:sz w:val="20"/>
                <w:szCs w:val="20"/>
                <w:color w:val="auto"/>
              </w:rPr>
            </w:pPr>
            <w:r>
              <w:rPr>
                <w:rFonts w:ascii="Arial" w:cs="Arial" w:eastAsia="Arial" w:hAnsi="Arial"/>
                <w:sz w:val="18"/>
                <w:szCs w:val="18"/>
                <w:color w:val="auto"/>
              </w:rPr>
              <w:t>Weighted average basic shares of common stock</w:t>
            </w:r>
          </w:p>
        </w:tc>
        <w:tc>
          <w:tcPr>
            <w:tcW w:w="23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40"/>
        </w:trPr>
        <w:tc>
          <w:tcPr>
            <w:tcW w:w="4780" w:type="dxa"/>
            <w:vAlign w:val="bottom"/>
          </w:tcPr>
          <w:p>
            <w:pPr>
              <w:ind w:left="20"/>
              <w:spacing w:after="0"/>
              <w:rPr>
                <w:sz w:val="20"/>
                <w:szCs w:val="20"/>
                <w:color w:val="auto"/>
              </w:rPr>
            </w:pPr>
            <w:r>
              <w:rPr>
                <w:rFonts w:ascii="Arial" w:cs="Arial" w:eastAsia="Arial" w:hAnsi="Arial"/>
                <w:sz w:val="18"/>
                <w:szCs w:val="18"/>
                <w:color w:val="auto"/>
              </w:rPr>
              <w:t>outstanding during fiscal year</w:t>
            </w:r>
          </w:p>
        </w:tc>
        <w:tc>
          <w:tcPr>
            <w:tcW w:w="2300" w:type="dxa"/>
            <w:vAlign w:val="bottom"/>
          </w:tcPr>
          <w:p>
            <w:pPr>
              <w:jc w:val="right"/>
              <w:ind w:right="251"/>
              <w:spacing w:after="0"/>
              <w:rPr>
                <w:sz w:val="20"/>
                <w:szCs w:val="20"/>
                <w:color w:val="auto"/>
              </w:rPr>
            </w:pPr>
            <w:r>
              <w:rPr>
                <w:rFonts w:ascii="Arial" w:cs="Arial" w:eastAsia="Arial" w:hAnsi="Arial"/>
                <w:sz w:val="18"/>
                <w:szCs w:val="18"/>
                <w:color w:val="auto"/>
              </w:rPr>
              <w:t>99,500,000</w:t>
            </w:r>
          </w:p>
        </w:tc>
        <w:tc>
          <w:tcPr>
            <w:tcW w:w="2240" w:type="dxa"/>
            <w:vAlign w:val="bottom"/>
          </w:tcPr>
          <w:p>
            <w:pPr>
              <w:jc w:val="right"/>
              <w:ind w:right="251"/>
              <w:spacing w:after="0"/>
              <w:rPr>
                <w:sz w:val="20"/>
                <w:szCs w:val="20"/>
                <w:color w:val="auto"/>
              </w:rPr>
            </w:pPr>
            <w:r>
              <w:rPr>
                <w:rFonts w:ascii="Arial" w:cs="Arial" w:eastAsia="Arial" w:hAnsi="Arial"/>
                <w:sz w:val="18"/>
                <w:szCs w:val="18"/>
                <w:color w:val="auto"/>
              </w:rPr>
              <w:t>103,800,000</w:t>
            </w:r>
          </w:p>
        </w:tc>
        <w:tc>
          <w:tcPr>
            <w:tcW w:w="1920" w:type="dxa"/>
            <w:vAlign w:val="bottom"/>
          </w:tcPr>
          <w:p>
            <w:pPr>
              <w:jc w:val="right"/>
              <w:spacing w:after="0"/>
              <w:rPr>
                <w:sz w:val="20"/>
                <w:szCs w:val="20"/>
                <w:color w:val="auto"/>
              </w:rPr>
            </w:pPr>
            <w:r>
              <w:rPr>
                <w:rFonts w:ascii="Arial" w:cs="Arial" w:eastAsia="Arial" w:hAnsi="Arial"/>
                <w:sz w:val="18"/>
                <w:szCs w:val="18"/>
                <w:color w:val="auto"/>
              </w:rPr>
              <w:t>104,400,000</w:t>
            </w:r>
          </w:p>
        </w:tc>
      </w:tr>
      <w:tr>
        <w:trPr>
          <w:trHeight w:val="227"/>
        </w:trPr>
        <w:tc>
          <w:tcPr>
            <w:tcW w:w="4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Burn rate, based on performance share awards granted</w:t>
            </w:r>
          </w:p>
        </w:tc>
        <w:tc>
          <w:tcPr>
            <w:tcW w:w="2300" w:type="dxa"/>
            <w:vAlign w:val="bottom"/>
            <w:shd w:val="clear" w:color="auto" w:fill="DBDBDB"/>
          </w:tcPr>
          <w:p>
            <w:pPr>
              <w:jc w:val="right"/>
              <w:ind w:right="251"/>
              <w:spacing w:after="0"/>
              <w:rPr>
                <w:sz w:val="20"/>
                <w:szCs w:val="20"/>
                <w:color w:val="auto"/>
              </w:rPr>
            </w:pPr>
            <w:r>
              <w:rPr>
                <w:rFonts w:ascii="Arial" w:cs="Arial" w:eastAsia="Arial" w:hAnsi="Arial"/>
                <w:sz w:val="18"/>
                <w:szCs w:val="18"/>
                <w:color w:val="auto"/>
              </w:rPr>
              <w:t>0.70</w:t>
            </w:r>
          </w:p>
        </w:tc>
        <w:tc>
          <w:tcPr>
            <w:tcW w:w="2240" w:type="dxa"/>
            <w:vAlign w:val="bottom"/>
            <w:shd w:val="clear" w:color="auto" w:fill="DBDBDB"/>
          </w:tcPr>
          <w:p>
            <w:pPr>
              <w:jc w:val="right"/>
              <w:ind w:right="251"/>
              <w:spacing w:after="0"/>
              <w:rPr>
                <w:sz w:val="20"/>
                <w:szCs w:val="20"/>
                <w:color w:val="auto"/>
              </w:rPr>
            </w:pPr>
            <w:r>
              <w:rPr>
                <w:rFonts w:ascii="Arial" w:cs="Arial" w:eastAsia="Arial" w:hAnsi="Arial"/>
                <w:sz w:val="18"/>
                <w:szCs w:val="18"/>
                <w:color w:val="auto"/>
              </w:rPr>
              <w:t>0.62</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0.64</w:t>
            </w:r>
          </w:p>
        </w:tc>
      </w:tr>
      <w:tr>
        <w:trPr>
          <w:trHeight w:val="233"/>
        </w:trPr>
        <w:tc>
          <w:tcPr>
            <w:tcW w:w="4780" w:type="dxa"/>
            <w:vAlign w:val="bottom"/>
          </w:tcPr>
          <w:p>
            <w:pPr>
              <w:ind w:left="20"/>
              <w:spacing w:after="0"/>
              <w:rPr>
                <w:sz w:val="20"/>
                <w:szCs w:val="20"/>
                <w:color w:val="auto"/>
              </w:rPr>
            </w:pPr>
            <w:r>
              <w:rPr>
                <w:rFonts w:ascii="Arial" w:cs="Arial" w:eastAsia="Arial" w:hAnsi="Arial"/>
                <w:sz w:val="18"/>
                <w:szCs w:val="18"/>
                <w:color w:val="auto"/>
              </w:rPr>
              <w:t>Burn rate, based on performance share awards earned</w:t>
            </w:r>
          </w:p>
        </w:tc>
        <w:tc>
          <w:tcPr>
            <w:tcW w:w="2300" w:type="dxa"/>
            <w:vAlign w:val="bottom"/>
          </w:tcPr>
          <w:p>
            <w:pPr>
              <w:jc w:val="right"/>
              <w:ind w:right="251"/>
              <w:spacing w:after="0"/>
              <w:rPr>
                <w:sz w:val="20"/>
                <w:szCs w:val="20"/>
                <w:color w:val="auto"/>
              </w:rPr>
            </w:pPr>
            <w:r>
              <w:rPr>
                <w:rFonts w:ascii="Arial" w:cs="Arial" w:eastAsia="Arial" w:hAnsi="Arial"/>
                <w:sz w:val="18"/>
                <w:szCs w:val="18"/>
                <w:color w:val="auto"/>
              </w:rPr>
              <w:t>0.57</w:t>
            </w:r>
          </w:p>
        </w:tc>
        <w:tc>
          <w:tcPr>
            <w:tcW w:w="2240" w:type="dxa"/>
            <w:vAlign w:val="bottom"/>
          </w:tcPr>
          <w:p>
            <w:pPr>
              <w:jc w:val="right"/>
              <w:ind w:right="251"/>
              <w:spacing w:after="0"/>
              <w:rPr>
                <w:sz w:val="20"/>
                <w:szCs w:val="20"/>
                <w:color w:val="auto"/>
              </w:rPr>
            </w:pPr>
            <w:r>
              <w:rPr>
                <w:rFonts w:ascii="Arial" w:cs="Arial" w:eastAsia="Arial" w:hAnsi="Arial"/>
                <w:sz w:val="18"/>
                <w:szCs w:val="18"/>
                <w:color w:val="auto"/>
              </w:rPr>
              <w:t>0.61</w:t>
            </w:r>
          </w:p>
        </w:tc>
        <w:tc>
          <w:tcPr>
            <w:tcW w:w="1920" w:type="dxa"/>
            <w:vAlign w:val="bottom"/>
          </w:tcPr>
          <w:p>
            <w:pPr>
              <w:jc w:val="right"/>
              <w:spacing w:after="0"/>
              <w:rPr>
                <w:sz w:val="20"/>
                <w:szCs w:val="20"/>
                <w:color w:val="auto"/>
              </w:rPr>
            </w:pPr>
            <w:r>
              <w:rPr>
                <w:rFonts w:ascii="Arial" w:cs="Arial" w:eastAsia="Arial" w:hAnsi="Arial"/>
                <w:sz w:val="18"/>
                <w:szCs w:val="18"/>
                <w:color w:val="auto"/>
              </w:rPr>
              <w:t>0.61</w:t>
            </w:r>
          </w:p>
        </w:tc>
      </w:tr>
    </w:tbl>
    <w:p>
      <w:pPr>
        <w:spacing w:after="0" w:line="311"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18"/>
          <w:szCs w:val="18"/>
          <w:color w:val="auto"/>
        </w:rPr>
        <w:t>Our three-year average burn rate (Fiscal Years 2023 to 2025) is only 0.65%, based on performance share awards granted, and only 0.60%, based on performance share awards earned, which is significantly lower than the industry thresholds established by certain major proxy advisory firms. Based on our historical and anticipated granting practices and the recent trading price of our common stock, we expect the 2026 Plan to cover awards for at least five years. However, we cannot predict our future equity grant practices, the future price of our common stock or future hiring activity with any degree of certainty at this time; and therefore, the share reserve under the 2026 Plan could last for a shorter or longer period of time.</w:t>
      </w:r>
    </w:p>
    <w:p>
      <w:pPr>
        <w:spacing w:after="0" w:line="219" w:lineRule="exact"/>
        <w:rPr>
          <w:sz w:val="20"/>
          <w:szCs w:val="20"/>
          <w:color w:val="auto"/>
        </w:rPr>
      </w:pPr>
    </w:p>
    <w:p>
      <w:pPr>
        <w:jc w:val="both"/>
        <w:ind w:firstLine="640"/>
        <w:spacing w:after="0" w:line="248" w:lineRule="auto"/>
        <w:rPr>
          <w:sz w:val="20"/>
          <w:szCs w:val="20"/>
          <w:color w:val="auto"/>
        </w:rPr>
      </w:pPr>
      <w:r>
        <w:rPr>
          <w:rFonts w:ascii="Arial" w:cs="Arial" w:eastAsia="Arial" w:hAnsi="Arial"/>
          <w:sz w:val="18"/>
          <w:szCs w:val="18"/>
          <w:b w:val="1"/>
          <w:bCs w:val="1"/>
          <w:color w:val="auto"/>
        </w:rPr>
        <w:t>Potential Dilution and Overhang.   </w:t>
      </w:r>
      <w:r>
        <w:rPr>
          <w:rFonts w:ascii="Arial" w:cs="Arial" w:eastAsia="Arial" w:hAnsi="Arial"/>
          <w:sz w:val="18"/>
          <w:szCs w:val="18"/>
          <w:color w:val="auto"/>
        </w:rPr>
        <w:t> In setting the number of shares authorized for issuance under the 2026 Plan, the Board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&amp; Human Resources Committee also considered the dilution (based on total outstanding award shares) and overhang (based on total potential award shares) that would result from approval of the 2026 Plan, including the policies of certain institutional investors and major proxy advisory firms.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60" w:type="dxa"/>
            <w:vAlign w:val="bottom"/>
            <w:shd w:val="clear" w:color="auto" w:fill="BF2115"/>
          </w:tcPr>
          <w:p>
            <w:pPr>
              <w:spacing w:after="0"/>
              <w:rPr>
                <w:sz w:val="18"/>
                <w:szCs w:val="18"/>
                <w:color w:val="auto"/>
              </w:rPr>
            </w:pPr>
          </w:p>
        </w:tc>
        <w:tc>
          <w:tcPr>
            <w:tcW w:w="2580" w:type="dxa"/>
            <w:vAlign w:val="bottom"/>
            <w:shd w:val="clear" w:color="auto" w:fill="BF2115"/>
          </w:tcPr>
          <w:p>
            <w:pPr>
              <w:ind w:left="520"/>
              <w:spacing w:after="0"/>
              <w:rPr>
                <w:sz w:val="20"/>
                <w:szCs w:val="20"/>
                <w:color w:val="auto"/>
              </w:rPr>
            </w:pPr>
            <w:r>
              <w:rPr>
                <w:rFonts w:ascii="Arial" w:cs="Arial" w:eastAsia="Arial" w:hAnsi="Arial"/>
                <w:sz w:val="18"/>
                <w:szCs w:val="18"/>
                <w:b w:val="1"/>
                <w:bCs w:val="1"/>
                <w:color w:val="FFFFFF"/>
              </w:rPr>
              <w:t>Assuming Approval of</w:t>
            </w:r>
          </w:p>
        </w:tc>
      </w:tr>
      <w:tr>
        <w:trPr>
          <w:trHeight w:val="240"/>
        </w:trPr>
        <w:tc>
          <w:tcPr>
            <w:tcW w:w="8660" w:type="dxa"/>
            <w:vAlign w:val="bottom"/>
            <w:shd w:val="clear" w:color="auto" w:fill="BF2115"/>
          </w:tcPr>
          <w:p>
            <w:pPr>
              <w:spacing w:after="0"/>
              <w:rPr>
                <w:sz w:val="20"/>
                <w:szCs w:val="20"/>
                <w:color w:val="auto"/>
              </w:rPr>
            </w:pPr>
          </w:p>
        </w:tc>
        <w:tc>
          <w:tcPr>
            <w:tcW w:w="2580" w:type="dxa"/>
            <w:vAlign w:val="bottom"/>
            <w:shd w:val="clear" w:color="auto" w:fill="BF2115"/>
          </w:tcPr>
          <w:p>
            <w:pPr>
              <w:ind w:left="900"/>
              <w:spacing w:after="0"/>
              <w:rPr>
                <w:sz w:val="20"/>
                <w:szCs w:val="20"/>
                <w:color w:val="auto"/>
              </w:rPr>
            </w:pPr>
            <w:r>
              <w:rPr>
                <w:rFonts w:ascii="Arial" w:cs="Arial" w:eastAsia="Arial" w:hAnsi="Arial"/>
                <w:sz w:val="18"/>
                <w:szCs w:val="18"/>
                <w:b w:val="1"/>
                <w:bCs w:val="1"/>
                <w:color w:val="FFFFFF"/>
              </w:rPr>
              <w:t>the 2026 Plan</w:t>
            </w:r>
          </w:p>
        </w:tc>
      </w:tr>
      <w:tr>
        <w:trPr>
          <w:trHeight w:val="227"/>
        </w:trPr>
        <w:tc>
          <w:tcPr>
            <w:tcW w:w="8660" w:type="dxa"/>
            <w:vAlign w:val="bottom"/>
          </w:tcPr>
          <w:p>
            <w:pPr>
              <w:ind w:left="20"/>
              <w:spacing w:after="0"/>
              <w:rPr>
                <w:sz w:val="20"/>
                <w:szCs w:val="20"/>
                <w:color w:val="auto"/>
              </w:rPr>
            </w:pPr>
            <w:r>
              <w:rPr>
                <w:rFonts w:ascii="Arial" w:cs="Arial" w:eastAsia="Arial" w:hAnsi="Arial"/>
                <w:sz w:val="18"/>
                <w:szCs w:val="18"/>
                <w:color w:val="auto"/>
              </w:rPr>
              <w:t>Options Outstanding as of January 20, 2026</w:t>
            </w:r>
          </w:p>
        </w:tc>
        <w:tc>
          <w:tcPr>
            <w:tcW w:w="2580" w:type="dxa"/>
            <w:vAlign w:val="bottom"/>
          </w:tcPr>
          <w:p>
            <w:pPr>
              <w:ind w:left="360"/>
              <w:spacing w:after="0"/>
              <w:rPr>
                <w:sz w:val="20"/>
                <w:szCs w:val="20"/>
                <w:color w:val="auto"/>
              </w:rPr>
            </w:pPr>
            <w:r>
              <w:rPr>
                <w:rFonts w:ascii="Arial" w:cs="Arial" w:eastAsia="Arial" w:hAnsi="Arial"/>
                <w:sz w:val="18"/>
                <w:szCs w:val="18"/>
                <w:color w:val="auto"/>
              </w:rPr>
              <w:t>3,127,922</w:t>
            </w:r>
          </w:p>
        </w:tc>
      </w:tr>
      <w:tr>
        <w:trPr>
          <w:trHeight w:val="227"/>
        </w:trPr>
        <w:tc>
          <w:tcPr>
            <w:tcW w:w="8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Weighted Average Exercise Price of Options Outstanding</w:t>
            </w:r>
          </w:p>
        </w:tc>
        <w:tc>
          <w:tcPr>
            <w:tcW w:w="25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84.97</w:t>
            </w:r>
          </w:p>
        </w:tc>
      </w:tr>
      <w:tr>
        <w:trPr>
          <w:trHeight w:val="227"/>
        </w:trPr>
        <w:tc>
          <w:tcPr>
            <w:tcW w:w="8660" w:type="dxa"/>
            <w:vAlign w:val="bottom"/>
          </w:tcPr>
          <w:p>
            <w:pPr>
              <w:ind w:left="20"/>
              <w:spacing w:after="0"/>
              <w:rPr>
                <w:sz w:val="20"/>
                <w:szCs w:val="20"/>
                <w:color w:val="auto"/>
              </w:rPr>
            </w:pPr>
            <w:r>
              <w:rPr>
                <w:rFonts w:ascii="Arial" w:cs="Arial" w:eastAsia="Arial" w:hAnsi="Arial"/>
                <w:sz w:val="18"/>
                <w:szCs w:val="18"/>
                <w:color w:val="auto"/>
              </w:rPr>
              <w:t>Weighted Average Remaining Term of Options Outstanding</w:t>
            </w:r>
          </w:p>
        </w:tc>
        <w:tc>
          <w:tcPr>
            <w:tcW w:w="2580" w:type="dxa"/>
            <w:vAlign w:val="bottom"/>
          </w:tcPr>
          <w:p>
            <w:pPr>
              <w:ind w:left="360"/>
              <w:spacing w:after="0"/>
              <w:rPr>
                <w:sz w:val="20"/>
                <w:szCs w:val="20"/>
                <w:color w:val="auto"/>
              </w:rPr>
            </w:pPr>
            <w:r>
              <w:rPr>
                <w:rFonts w:ascii="Arial" w:cs="Arial" w:eastAsia="Arial" w:hAnsi="Arial"/>
                <w:sz w:val="18"/>
                <w:szCs w:val="18"/>
                <w:color w:val="auto"/>
              </w:rPr>
              <w:t>5.57</w:t>
            </w:r>
          </w:p>
        </w:tc>
      </w:tr>
      <w:tr>
        <w:trPr>
          <w:trHeight w:val="227"/>
        </w:trPr>
        <w:tc>
          <w:tcPr>
            <w:tcW w:w="8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RSU Awards Outstanding as of January 20, 2026</w:t>
            </w:r>
          </w:p>
        </w:tc>
        <w:tc>
          <w:tcPr>
            <w:tcW w:w="25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436,071</w:t>
            </w:r>
          </w:p>
        </w:tc>
      </w:tr>
      <w:tr>
        <w:trPr>
          <w:trHeight w:val="227"/>
        </w:trPr>
        <w:tc>
          <w:tcPr>
            <w:tcW w:w="8660" w:type="dxa"/>
            <w:vAlign w:val="bottom"/>
          </w:tcPr>
          <w:p>
            <w:pPr>
              <w:ind w:left="20"/>
              <w:spacing w:after="0"/>
              <w:rPr>
                <w:sz w:val="20"/>
                <w:szCs w:val="20"/>
                <w:color w:val="auto"/>
              </w:rPr>
            </w:pPr>
            <w:r>
              <w:rPr>
                <w:rFonts w:ascii="Arial" w:cs="Arial" w:eastAsia="Arial" w:hAnsi="Arial"/>
                <w:sz w:val="18"/>
                <w:szCs w:val="18"/>
                <w:color w:val="auto"/>
              </w:rPr>
              <w:t>Performance Share Awards Outstanding as of January 20, 2026, assuming Target Performance</w:t>
            </w:r>
          </w:p>
        </w:tc>
        <w:tc>
          <w:tcPr>
            <w:tcW w:w="2580" w:type="dxa"/>
            <w:vAlign w:val="bottom"/>
          </w:tcPr>
          <w:p>
            <w:pPr>
              <w:ind w:left="360"/>
              <w:spacing w:after="0"/>
              <w:rPr>
                <w:sz w:val="20"/>
                <w:szCs w:val="20"/>
                <w:color w:val="auto"/>
              </w:rPr>
            </w:pPr>
            <w:r>
              <w:rPr>
                <w:rFonts w:ascii="Arial" w:cs="Arial" w:eastAsia="Arial" w:hAnsi="Arial"/>
                <w:sz w:val="18"/>
                <w:szCs w:val="18"/>
                <w:color w:val="auto"/>
              </w:rPr>
              <w:t>342,614</w:t>
            </w:r>
          </w:p>
        </w:tc>
      </w:tr>
      <w:tr>
        <w:trPr>
          <w:trHeight w:val="227"/>
        </w:trPr>
        <w:tc>
          <w:tcPr>
            <w:tcW w:w="8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Equity Awards Outstanding (Including Options, RSU Awards and Performance Share Awards)</w:t>
            </w:r>
          </w:p>
        </w:tc>
        <w:tc>
          <w:tcPr>
            <w:tcW w:w="25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3,906,607</w:t>
            </w:r>
          </w:p>
        </w:tc>
      </w:tr>
      <w:tr>
        <w:trPr>
          <w:trHeight w:val="227"/>
        </w:trPr>
        <w:tc>
          <w:tcPr>
            <w:tcW w:w="8660" w:type="dxa"/>
            <w:vAlign w:val="bottom"/>
          </w:tcPr>
          <w:p>
            <w:pPr>
              <w:ind w:left="20"/>
              <w:spacing w:after="0"/>
              <w:rPr>
                <w:sz w:val="20"/>
                <w:szCs w:val="20"/>
                <w:color w:val="auto"/>
              </w:rPr>
            </w:pPr>
            <w:r>
              <w:rPr>
                <w:rFonts w:ascii="Arial" w:cs="Arial" w:eastAsia="Arial" w:hAnsi="Arial"/>
                <w:sz w:val="18"/>
                <w:szCs w:val="18"/>
                <w:color w:val="auto"/>
              </w:rPr>
              <w:t>Common Stock Outstanding as of January 20, 2026</w:t>
            </w:r>
          </w:p>
        </w:tc>
        <w:tc>
          <w:tcPr>
            <w:tcW w:w="2580" w:type="dxa"/>
            <w:vAlign w:val="bottom"/>
          </w:tcPr>
          <w:p>
            <w:pPr>
              <w:ind w:left="360"/>
              <w:spacing w:after="0"/>
              <w:rPr>
                <w:sz w:val="20"/>
                <w:szCs w:val="20"/>
                <w:color w:val="auto"/>
              </w:rPr>
            </w:pPr>
            <w:r>
              <w:rPr>
                <w:rFonts w:ascii="Arial" w:cs="Arial" w:eastAsia="Arial" w:hAnsi="Arial"/>
                <w:sz w:val="18"/>
                <w:szCs w:val="18"/>
                <w:color w:val="auto"/>
              </w:rPr>
              <w:t>97,480,643</w:t>
            </w:r>
          </w:p>
        </w:tc>
      </w:tr>
      <w:tr>
        <w:trPr>
          <w:trHeight w:val="227"/>
        </w:trPr>
        <w:tc>
          <w:tcPr>
            <w:tcW w:w="8660" w:type="dxa"/>
            <w:vAlign w:val="bottom"/>
            <w:shd w:val="clear" w:color="auto" w:fill="DBDBDB"/>
          </w:tcPr>
          <w:p>
            <w:pPr>
              <w:ind w:left="20"/>
              <w:spacing w:after="0" w:line="226" w:lineRule="exact"/>
              <w:rPr>
                <w:sz w:val="20"/>
                <w:szCs w:val="20"/>
                <w:color w:val="auto"/>
              </w:rPr>
            </w:pPr>
            <w:r>
              <w:rPr>
                <w:rFonts w:ascii="Arial" w:cs="Arial" w:eastAsia="Arial" w:hAnsi="Arial"/>
                <w:sz w:val="18"/>
                <w:szCs w:val="18"/>
                <w:color w:val="auto"/>
              </w:rPr>
              <w:t xml:space="preserve">Dilution as of January 20, 2026 </w:t>
            </w:r>
            <w:r>
              <w:rPr>
                <w:rFonts w:ascii="Arial" w:cs="Arial" w:eastAsia="Arial" w:hAnsi="Arial"/>
                <w:sz w:val="23"/>
                <w:szCs w:val="23"/>
                <w:color w:val="auto"/>
                <w:vertAlign w:val="superscript"/>
              </w:rPr>
              <w:t>(1)</w:t>
            </w:r>
          </w:p>
        </w:tc>
        <w:tc>
          <w:tcPr>
            <w:tcW w:w="25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4.01%</w:t>
            </w:r>
          </w:p>
        </w:tc>
      </w:tr>
      <w:tr>
        <w:trPr>
          <w:trHeight w:val="173"/>
        </w:trPr>
        <w:tc>
          <w:tcPr>
            <w:tcW w:w="8660" w:type="dxa"/>
            <w:vAlign w:val="bottom"/>
          </w:tcPr>
          <w:p>
            <w:pPr>
              <w:ind w:left="20"/>
              <w:spacing w:after="0" w:line="174" w:lineRule="exact"/>
              <w:rPr>
                <w:sz w:val="20"/>
                <w:szCs w:val="20"/>
                <w:color w:val="auto"/>
              </w:rPr>
            </w:pPr>
            <w:r>
              <w:rPr>
                <w:rFonts w:ascii="Arial" w:cs="Arial" w:eastAsia="Arial" w:hAnsi="Arial"/>
                <w:sz w:val="18"/>
                <w:szCs w:val="18"/>
                <w:color w:val="auto"/>
              </w:rPr>
              <w:t>Shares Available for Future Grant under the 2026 Plan (Including 3,650,000 New Shares Plus 1,502,701</w:t>
            </w:r>
          </w:p>
        </w:tc>
        <w:tc>
          <w:tcPr>
            <w:tcW w:w="2580" w:type="dxa"/>
            <w:vAlign w:val="bottom"/>
          </w:tcPr>
          <w:p>
            <w:pPr>
              <w:spacing w:after="0"/>
              <w:rPr>
                <w:sz w:val="15"/>
                <w:szCs w:val="15"/>
                <w:color w:val="auto"/>
              </w:rPr>
            </w:pPr>
          </w:p>
        </w:tc>
      </w:tr>
      <w:tr>
        <w:trPr>
          <w:trHeight w:val="240"/>
        </w:trPr>
        <w:tc>
          <w:tcPr>
            <w:tcW w:w="8660" w:type="dxa"/>
            <w:vAlign w:val="bottom"/>
          </w:tcPr>
          <w:p>
            <w:pPr>
              <w:ind w:left="20"/>
              <w:spacing w:after="0" w:line="240" w:lineRule="exact"/>
              <w:rPr>
                <w:sz w:val="20"/>
                <w:szCs w:val="20"/>
                <w:color w:val="auto"/>
              </w:rPr>
            </w:pPr>
            <w:r>
              <w:rPr>
                <w:rFonts w:ascii="Arial" w:cs="Arial" w:eastAsia="Arial" w:hAnsi="Arial"/>
                <w:sz w:val="18"/>
                <w:szCs w:val="18"/>
                <w:color w:val="auto"/>
              </w:rPr>
              <w:t>Carryover Shares from the 2022 Plan) as of January 20, 2026</w:t>
            </w:r>
            <w:r>
              <w:rPr>
                <w:rFonts w:ascii="Arial" w:cs="Arial" w:eastAsia="Arial" w:hAnsi="Arial"/>
                <w:sz w:val="23"/>
                <w:szCs w:val="23"/>
                <w:color w:val="auto"/>
                <w:vertAlign w:val="superscript"/>
              </w:rPr>
              <w:t>(2)</w:t>
            </w:r>
          </w:p>
        </w:tc>
        <w:tc>
          <w:tcPr>
            <w:tcW w:w="2580" w:type="dxa"/>
            <w:vAlign w:val="bottom"/>
          </w:tcPr>
          <w:p>
            <w:pPr>
              <w:ind w:left="360"/>
              <w:spacing w:after="0"/>
              <w:rPr>
                <w:sz w:val="20"/>
                <w:szCs w:val="20"/>
                <w:color w:val="auto"/>
              </w:rPr>
            </w:pPr>
            <w:r>
              <w:rPr>
                <w:rFonts w:ascii="Arial" w:cs="Arial" w:eastAsia="Arial" w:hAnsi="Arial"/>
                <w:sz w:val="18"/>
                <w:szCs w:val="18"/>
                <w:color w:val="auto"/>
              </w:rPr>
              <w:t>5,152,701</w:t>
            </w:r>
          </w:p>
        </w:tc>
      </w:tr>
      <w:tr>
        <w:trPr>
          <w:trHeight w:val="227"/>
        </w:trPr>
        <w:tc>
          <w:tcPr>
            <w:tcW w:w="8660" w:type="dxa"/>
            <w:vAlign w:val="bottom"/>
            <w:shd w:val="clear" w:color="auto" w:fill="DBDBDB"/>
          </w:tcPr>
          <w:p>
            <w:pPr>
              <w:ind w:left="20"/>
              <w:spacing w:after="0" w:line="226" w:lineRule="exact"/>
              <w:rPr>
                <w:sz w:val="20"/>
                <w:szCs w:val="20"/>
                <w:color w:val="auto"/>
              </w:rPr>
            </w:pPr>
            <w:r>
              <w:rPr>
                <w:rFonts w:ascii="Arial" w:cs="Arial" w:eastAsia="Arial" w:hAnsi="Arial"/>
                <w:sz w:val="18"/>
                <w:szCs w:val="18"/>
                <w:color w:val="auto"/>
              </w:rPr>
              <w:t>Overhang under the 2026 Plan, as a Percentage of Common Stock Outstanding as of January 20, 2026</w:t>
            </w:r>
            <w:r>
              <w:rPr>
                <w:rFonts w:ascii="Arial" w:cs="Arial" w:eastAsia="Arial" w:hAnsi="Arial"/>
                <w:sz w:val="23"/>
                <w:szCs w:val="23"/>
                <w:color w:val="auto"/>
                <w:vertAlign w:val="superscript"/>
              </w:rPr>
              <w:t>(3)</w:t>
            </w:r>
          </w:p>
        </w:tc>
        <w:tc>
          <w:tcPr>
            <w:tcW w:w="25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9.29%</w:t>
            </w:r>
          </w:p>
        </w:tc>
      </w:tr>
    </w:tbl>
    <w:p>
      <w:pPr>
        <w:spacing w:after="0" w:line="71" w:lineRule="exact"/>
        <w:rPr>
          <w:sz w:val="20"/>
          <w:szCs w:val="20"/>
          <w:color w:val="auto"/>
        </w:rPr>
      </w:pPr>
    </w:p>
    <w:p>
      <w:pPr>
        <w:ind w:left="320" w:right="120" w:hanging="313"/>
        <w:spacing w:after="0" w:line="280" w:lineRule="auto"/>
        <w:tabs>
          <w:tab w:leader="none" w:pos="332" w:val="left"/>
        </w:tabs>
        <w:numPr>
          <w:ilvl w:val="0"/>
          <w:numId w:val="87"/>
        </w:numPr>
        <w:rPr>
          <w:rFonts w:ascii="Arial" w:cs="Arial" w:eastAsia="Arial" w:hAnsi="Arial"/>
          <w:sz w:val="14"/>
          <w:szCs w:val="14"/>
          <w:color w:val="auto"/>
        </w:rPr>
      </w:pPr>
      <w:r>
        <w:rPr>
          <w:rFonts w:ascii="Arial" w:cs="Arial" w:eastAsia="Arial" w:hAnsi="Arial"/>
          <w:sz w:val="14"/>
          <w:szCs w:val="14"/>
          <w:color w:val="auto"/>
        </w:rPr>
        <w:t>Dilution consists of the number of shares subject to equity awards outstanding as of January 20, 2026 divided by the number of shares of our common stock outstanding as of January 20, 2026.</w:t>
      </w:r>
    </w:p>
    <w:p>
      <w:pPr>
        <w:spacing w:after="0" w:line="171" w:lineRule="exact"/>
        <w:rPr>
          <w:rFonts w:ascii="Arial" w:cs="Arial" w:eastAsia="Arial" w:hAnsi="Arial"/>
          <w:sz w:val="14"/>
          <w:szCs w:val="14"/>
          <w:color w:val="auto"/>
        </w:rPr>
      </w:pPr>
    </w:p>
    <w:p>
      <w:pPr>
        <w:ind w:left="220" w:hanging="213"/>
        <w:spacing w:after="0"/>
        <w:tabs>
          <w:tab w:leader="none" w:pos="2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Carryover shares are solely from the 2022 Plan; no shares are available for issuance under any other equity based compensation plan.</w:t>
      </w:r>
    </w:p>
    <w:p>
      <w:pPr>
        <w:spacing w:after="0" w:line="252" w:lineRule="exact"/>
        <w:rPr>
          <w:rFonts w:ascii="Arial" w:cs="Arial" w:eastAsia="Arial" w:hAnsi="Arial"/>
          <w:sz w:val="14"/>
          <w:szCs w:val="14"/>
          <w:color w:val="auto"/>
        </w:rPr>
      </w:pPr>
    </w:p>
    <w:p>
      <w:pPr>
        <w:ind w:left="320" w:right="120" w:hanging="313"/>
        <w:spacing w:after="0" w:line="299" w:lineRule="auto"/>
        <w:tabs>
          <w:tab w:leader="none" w:pos="332" w:val="left"/>
        </w:tabs>
        <w:numPr>
          <w:ilvl w:val="0"/>
          <w:numId w:val="87"/>
        </w:numPr>
        <w:rPr>
          <w:rFonts w:ascii="Arial" w:cs="Arial" w:eastAsia="Arial" w:hAnsi="Arial"/>
          <w:sz w:val="14"/>
          <w:szCs w:val="14"/>
          <w:color w:val="auto"/>
        </w:rPr>
      </w:pPr>
      <w:r>
        <w:rPr>
          <w:rFonts w:ascii="Arial" w:cs="Arial" w:eastAsia="Arial" w:hAnsi="Arial"/>
          <w:sz w:val="14"/>
          <w:szCs w:val="14"/>
          <w:color w:val="auto"/>
        </w:rPr>
        <w:t>Overhang consists of the number of shares subject to equity awards outstanding as of January 20, 2026 and the number of shares available for future grant under the 2026 Plan, divided by the number of shares of common stock outstanding as of January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84" w:name="page85"/>
    <w:bookmarkEnd w:id="84"/>
    <w:p>
      <w:pPr>
        <w:spacing w:after="0"/>
        <w:rPr>
          <w:sz w:val="20"/>
          <w:szCs w:val="20"/>
          <w:color w:val="auto"/>
        </w:rPr>
      </w:pPr>
      <w:r>
        <w:rPr>
          <w:rFonts w:ascii="Arial" w:cs="Arial" w:eastAsia="Arial" w:hAnsi="Arial"/>
          <w:sz w:val="21"/>
          <w:szCs w:val="21"/>
          <w:b w:val="1"/>
          <w:bCs w:val="1"/>
          <w:color w:val="BF2115"/>
        </w:rPr>
        <w:t>Summary of the 2026 Plan Features</w:t>
      </w:r>
    </w:p>
    <w:p>
      <w:pPr>
        <w:spacing w:after="0" w:line="250"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The major features of the 2026 Plan are summarized below. The summary is qualified in its entirety by reference to the full text of the 2026 Plan, a copy of which may be obtained upon request to our Vice President, General Counsel and Corporate Secretary at 8111 Lyndale Avenue South, Bloomington, Minnesota, 55420-1196 or by email to invest@toro.com. A copy of the 2026 Plan also has been filed electronically with the SEC as an appendix to this proxy statement and is available through the SEC’s website at www.sec.gov.</w:t>
      </w:r>
    </w:p>
    <w:p>
      <w:pPr>
        <w:spacing w:after="0" w:line="213"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purpose of the 2026 Plan is to provide a means whereby our employees, including executive officers, directors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third-party service providers develop a sense of ownership and personal involvement in the development and financial success of our Company, and to encourage them to devote their best efforts to the business of our Company, thereby advancing the interests of our Company and our stockholders. A further purpose of the 2026 Plan is to provide a means through which we may attract talented and qualified individuals to become employees or serve as directors or third-party service providers and provide a means for such individuals to acquire and maintain stock ownership which facilitates alignment of interests with our Company’s stockholders.</w:t>
      </w:r>
    </w:p>
    <w:p>
      <w:pPr>
        <w:spacing w:after="0" w:line="221" w:lineRule="exact"/>
        <w:rPr>
          <w:sz w:val="20"/>
          <w:szCs w:val="20"/>
          <w:color w:val="auto"/>
        </w:rPr>
      </w:pPr>
    </w:p>
    <w:p>
      <w:pPr>
        <w:jc w:val="both"/>
        <w:ind w:firstLine="640"/>
        <w:spacing w:after="0" w:line="248" w:lineRule="auto"/>
        <w:rPr>
          <w:sz w:val="20"/>
          <w:szCs w:val="20"/>
          <w:color w:val="auto"/>
        </w:rPr>
      </w:pPr>
      <w:r>
        <w:rPr>
          <w:rFonts w:ascii="Arial" w:cs="Arial" w:eastAsia="Arial" w:hAnsi="Arial"/>
          <w:sz w:val="18"/>
          <w:szCs w:val="18"/>
          <w:b w:val="1"/>
          <w:bCs w:val="1"/>
          <w:color w:val="auto"/>
        </w:rPr>
        <w:t>Plan Administration.  </w:t>
      </w:r>
      <w:r>
        <w:rPr>
          <w:rFonts w:ascii="Arial" w:cs="Arial" w:eastAsia="Arial" w:hAnsi="Arial"/>
          <w:sz w:val="18"/>
          <w:szCs w:val="18"/>
          <w:color w:val="auto"/>
        </w:rPr>
        <w:t>  The 2026 Plan will be administered by the Compensation &amp; Human Resources Committee. All members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are “non-employee directors” within the meaning of Rule 16b-3 under the Exchange Act and “independent” under the NYSE listing standards, the rules and regulations of the SEC and applicable law. Any decision of the Committee on any matter affecting the 2026 Plan and obligations arising under the 2026 Plan or any award granted under the 2026 Plan will be final and binding.</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the terms of the 2026 Plan, the Committee will have the authority to, among other things:</w:t>
      </w:r>
    </w:p>
    <w:p>
      <w:pPr>
        <w:spacing w:after="0" w:line="233" w:lineRule="exact"/>
        <w:rPr>
          <w:sz w:val="20"/>
          <w:szCs w:val="20"/>
          <w:color w:val="auto"/>
        </w:rPr>
      </w:pPr>
    </w:p>
    <w:p>
      <w:pPr>
        <w:ind w:left="640" w:hanging="313"/>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select eligible individuals to whom awards are granted;</w:t>
      </w:r>
    </w:p>
    <w:p>
      <w:pPr>
        <w:spacing w:after="0" w:line="246" w:lineRule="exact"/>
        <w:rPr>
          <w:rFonts w:ascii="Arial" w:cs="Arial" w:eastAsia="Arial" w:hAnsi="Arial"/>
          <w:sz w:val="18"/>
          <w:szCs w:val="18"/>
          <w:color w:val="auto"/>
        </w:rPr>
      </w:pPr>
    </w:p>
    <w:p>
      <w:pPr>
        <w:ind w:left="640" w:hanging="313"/>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determine the types of awards to be granted and when;</w:t>
      </w:r>
    </w:p>
    <w:p>
      <w:pPr>
        <w:spacing w:after="0" w:line="233" w:lineRule="exact"/>
        <w:rPr>
          <w:rFonts w:ascii="Arial" w:cs="Arial" w:eastAsia="Arial" w:hAnsi="Arial"/>
          <w:sz w:val="18"/>
          <w:szCs w:val="18"/>
          <w:color w:val="auto"/>
        </w:rPr>
      </w:pPr>
    </w:p>
    <w:p>
      <w:pPr>
        <w:ind w:left="640" w:hanging="313"/>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determine the provisions of such awards, including the number of shares of our common stock subject to an award;</w:t>
      </w:r>
    </w:p>
    <w:p>
      <w:pPr>
        <w:spacing w:after="0" w:line="233" w:lineRule="exact"/>
        <w:rPr>
          <w:rFonts w:ascii="Arial" w:cs="Arial" w:eastAsia="Arial" w:hAnsi="Arial"/>
          <w:sz w:val="18"/>
          <w:szCs w:val="18"/>
          <w:color w:val="auto"/>
        </w:rPr>
      </w:pPr>
    </w:p>
    <w:p>
      <w:pPr>
        <w:ind w:left="640" w:hanging="313"/>
        <w:spacing w:after="0" w:line="277" w:lineRule="auto"/>
        <w:tabs>
          <w:tab w:leader="none" w:pos="6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interpret the 2026 Plan and any agreement evidencing an award under the 2026 Plan and establish rules and regulations pertaining to the administration of the 2026 Plan; and</w:t>
      </w:r>
    </w:p>
    <w:p>
      <w:pPr>
        <w:spacing w:after="0" w:line="176" w:lineRule="exact"/>
        <w:rPr>
          <w:rFonts w:ascii="Arial" w:cs="Arial" w:eastAsia="Arial" w:hAnsi="Arial"/>
          <w:sz w:val="18"/>
          <w:szCs w:val="18"/>
          <w:color w:val="auto"/>
        </w:rPr>
      </w:pPr>
    </w:p>
    <w:p>
      <w:pPr>
        <w:jc w:val="both"/>
        <w:ind w:left="640" w:hanging="313"/>
        <w:spacing w:after="0" w:line="254" w:lineRule="auto"/>
        <w:tabs>
          <w:tab w:leader="none" w:pos="6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make any other determination and take any other action that the Committee deems necessary or desirable for administration of the 2026 Plan, including adopting subplans and/or special provisions applicable to stock awards regulated by the laws of a jurisdiction other than, and outside of, the United States</w:t>
      </w:r>
    </w:p>
    <w:p>
      <w:pPr>
        <w:spacing w:after="0" w:line="195" w:lineRule="exact"/>
        <w:rPr>
          <w:sz w:val="20"/>
          <w:szCs w:val="20"/>
          <w:color w:val="auto"/>
        </w:rPr>
      </w:pPr>
    </w:p>
    <w:p>
      <w:pPr>
        <w:jc w:val="both"/>
        <w:ind w:firstLine="640"/>
        <w:spacing w:after="0" w:line="248" w:lineRule="auto"/>
        <w:rPr>
          <w:sz w:val="20"/>
          <w:szCs w:val="20"/>
          <w:color w:val="auto"/>
        </w:rPr>
      </w:pPr>
      <w:r>
        <w:rPr>
          <w:rFonts w:ascii="Arial" w:cs="Arial" w:eastAsia="Arial" w:hAnsi="Arial"/>
          <w:sz w:val="18"/>
          <w:szCs w:val="18"/>
          <w:b w:val="1"/>
          <w:bCs w:val="1"/>
          <w:color w:val="auto"/>
        </w:rPr>
        <w:t>Delegation. </w:t>
      </w:r>
      <w:r>
        <w:rPr>
          <w:rFonts w:ascii="Arial" w:cs="Arial" w:eastAsia="Arial" w:hAnsi="Arial"/>
          <w:sz w:val="18"/>
          <w:szCs w:val="18"/>
          <w:color w:val="auto"/>
        </w:rPr>
        <w:t>   The Committee may delegate to one or more of its members or to one or more officers of the Company such</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duties or powers as it may deem advisable. The Committee may authorize one or more directors or officers of the Company to designate employees, other than officers, and directors of the Company, to receive awards under the 2026 Plan and determine the size of any such awards, subject to certain limitations</w:t>
      </w:r>
    </w:p>
    <w:p>
      <w:pPr>
        <w:spacing w:after="0" w:line="199" w:lineRule="exact"/>
        <w:rPr>
          <w:sz w:val="20"/>
          <w:szCs w:val="20"/>
          <w:color w:val="auto"/>
        </w:rPr>
      </w:pPr>
    </w:p>
    <w:p>
      <w:pPr>
        <w:ind w:firstLine="640"/>
        <w:spacing w:after="0" w:line="242" w:lineRule="auto"/>
        <w:rPr>
          <w:sz w:val="20"/>
          <w:szCs w:val="20"/>
          <w:color w:val="auto"/>
        </w:rPr>
      </w:pPr>
      <w:r>
        <w:rPr>
          <w:rFonts w:ascii="Arial" w:cs="Arial" w:eastAsia="Arial" w:hAnsi="Arial"/>
          <w:sz w:val="18"/>
          <w:szCs w:val="18"/>
          <w:b w:val="1"/>
          <w:bCs w:val="1"/>
          <w:color w:val="auto"/>
        </w:rPr>
        <w:t xml:space="preserve">Shares Authorized.  </w:t>
      </w:r>
      <w:r>
        <w:rPr>
          <w:rFonts w:ascii="Arial" w:cs="Arial" w:eastAsia="Arial" w:hAnsi="Arial"/>
          <w:sz w:val="18"/>
          <w:szCs w:val="18"/>
          <w:color w:val="auto"/>
        </w:rPr>
        <w:t>Subject to adjustment (as described below), the maximum aggregate number of shares of our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for issuance under the 2026 Plan is equal to the sum of: (a) 3,650,000 shares, plus (b) the number of shares remaining available for grant under the 2022 Plan but not subject to outstanding awards thereunder as of the effective date of the 2026 Plan, and plus (c) the number of shares subject to awards outstanding under the 2022 Plan as of the effective date of the 2026 Plan but only to the extent that such outstanding awards are forfeited, expire or otherwise terminate without the issuance of such shares after the effective date of the 2026 Plan. No more than 2,500,000 shares authorized for issuance under the 2026 Plan may be granted as “full value” awards and no more than 3,650,000 shares may be granted as incentive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85" w:name="page86"/>
    <w:bookmarkEnd w:id="85"/>
    <w:p>
      <w:pPr>
        <w:jc w:val="both"/>
        <w:ind w:firstLine="640"/>
        <w:spacing w:after="0" w:line="241" w:lineRule="auto"/>
        <w:rPr>
          <w:sz w:val="20"/>
          <w:szCs w:val="20"/>
          <w:color w:val="auto"/>
        </w:rPr>
      </w:pPr>
      <w:r>
        <w:rPr>
          <w:rFonts w:ascii="Arial" w:cs="Arial" w:eastAsia="Arial" w:hAnsi="Arial"/>
          <w:sz w:val="18"/>
          <w:szCs w:val="18"/>
          <w:b w:val="1"/>
          <w:bCs w:val="1"/>
          <w:color w:val="auto"/>
        </w:rPr>
        <w:t>Non-Employee Director Compensation Limit.  </w:t>
      </w:r>
      <w:r>
        <w:rPr>
          <w:rFonts w:ascii="Arial" w:cs="Arial" w:eastAsia="Arial" w:hAnsi="Arial"/>
          <w:sz w:val="18"/>
          <w:szCs w:val="18"/>
          <w:color w:val="auto"/>
        </w:rPr>
        <w:t>  The 2026 Plan contains an upper total limit on annual non-employee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equal to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fiscal year may not exceed $750,000 (increased to $ 950,000 with respect to any non-employee director serving as Chairman of the Board or Lead Independent Director or in the fiscal year of a non-employee director's initial service as a non-employee director). Any compensation that is deferred counts towards this limit for the year in which the compensation is first earned, and not a later year of settlement. Note that this limit is different than the actual amounts paid to our non-employee directors which are described under “Director Compensation.”</w:t>
      </w:r>
    </w:p>
    <w:p>
      <w:pPr>
        <w:spacing w:after="0" w:line="219" w:lineRule="exact"/>
        <w:rPr>
          <w:sz w:val="20"/>
          <w:szCs w:val="20"/>
          <w:color w:val="auto"/>
        </w:rPr>
      </w:pPr>
    </w:p>
    <w:p>
      <w:pPr>
        <w:jc w:val="both"/>
        <w:ind w:firstLine="640"/>
        <w:spacing w:after="0" w:line="239" w:lineRule="auto"/>
        <w:rPr>
          <w:sz w:val="20"/>
          <w:szCs w:val="20"/>
          <w:color w:val="auto"/>
        </w:rPr>
      </w:pPr>
      <w:r>
        <w:rPr>
          <w:rFonts w:ascii="Arial" w:cs="Arial" w:eastAsia="Arial" w:hAnsi="Arial"/>
          <w:sz w:val="18"/>
          <w:szCs w:val="18"/>
          <w:b w:val="1"/>
          <w:bCs w:val="1"/>
          <w:color w:val="auto"/>
        </w:rPr>
        <w:t>Share Counting.</w:t>
      </w:r>
      <w:r>
        <w:rPr>
          <w:rFonts w:ascii="Arial" w:cs="Arial" w:eastAsia="Arial" w:hAnsi="Arial"/>
          <w:sz w:val="18"/>
          <w:szCs w:val="18"/>
          <w:color w:val="auto"/>
        </w:rPr>
        <w:t>    Shares of our common stock covered by an award granted under the 2026 Plan will not be counted as used unless</w:t>
      </w:r>
      <w:r>
        <w:rPr>
          <w:rFonts w:ascii="Arial" w:cs="Arial" w:eastAsia="Arial" w:hAnsi="Arial"/>
          <w:sz w:val="18"/>
          <w:szCs w:val="18"/>
          <w:b w:val="1"/>
          <w:bCs w:val="1"/>
          <w:color w:val="auto"/>
        </w:rPr>
        <w:t xml:space="preserve"> </w:t>
      </w:r>
      <w:r>
        <w:rPr>
          <w:rFonts w:ascii="Arial" w:cs="Arial" w:eastAsia="Arial" w:hAnsi="Arial"/>
          <w:sz w:val="18"/>
          <w:szCs w:val="18"/>
          <w:color w:val="auto"/>
        </w:rPr>
        <w:t>and until the shares are issued and delivered to a participant, except that the full number of shares granted subject to a SAR that is settled by the issuance of shares will be counted against the shares authorized for issuance under the 2026 Plan. Shares tendered or withheld to satisfy tax withholding obligations on awards or to pay the exercise price of awards and any shares not issued or delivered as a result of a “net exercise” of an option will not be counted against the shares authorized for issuance under the 2026 Plan. Any shares of our common stock repurchased by the Company on the open market using the proceeds from the exercise of an award under the 2026 Plan will not increase the number of shares available for future grants of awards under the 2026 Plan. Any shares of our common stock that are subject to an award under the 2026 Plan or under the 2022 Plan that terminate by expiration, forfeiture, cancellation, or otherwise without the issuance of shares or are settled in cash in lieu of shares, or are exchanged to the extent permitted under the 2026 Plan, prior to the issuance of shares, will be available again for grant under the 2026 Plan. The shares of our common stock available for issuance under the 2026 Plan may be authorized and unissued shares or treasury shares.</w:t>
      </w:r>
    </w:p>
    <w:p>
      <w:pPr>
        <w:spacing w:after="0" w:line="214" w:lineRule="exact"/>
        <w:rPr>
          <w:sz w:val="20"/>
          <w:szCs w:val="20"/>
          <w:color w:val="auto"/>
        </w:rPr>
      </w:pPr>
    </w:p>
    <w:p>
      <w:pPr>
        <w:jc w:val="both"/>
        <w:ind w:firstLine="640"/>
        <w:spacing w:after="0" w:line="244" w:lineRule="auto"/>
        <w:rPr>
          <w:sz w:val="20"/>
          <w:szCs w:val="20"/>
          <w:color w:val="auto"/>
        </w:rPr>
      </w:pPr>
      <w:r>
        <w:rPr>
          <w:rFonts w:ascii="Arial" w:cs="Arial" w:eastAsia="Arial" w:hAnsi="Arial"/>
          <w:sz w:val="18"/>
          <w:szCs w:val="18"/>
          <w:b w:val="1"/>
          <w:bCs w:val="1"/>
          <w:color w:val="auto"/>
        </w:rPr>
        <w:t>Adjustments. </w:t>
      </w:r>
      <w:r>
        <w:rPr>
          <w:rFonts w:ascii="Arial" w:cs="Arial" w:eastAsia="Arial" w:hAnsi="Arial"/>
          <w:sz w:val="18"/>
          <w:szCs w:val="18"/>
          <w:color w:val="auto"/>
        </w:rPr>
        <w:t>   In the event of a corporate event or transaction involving the Company, including any merger, consolidation,</w:t>
      </w:r>
      <w:r>
        <w:rPr>
          <w:rFonts w:ascii="Arial" w:cs="Arial" w:eastAsia="Arial" w:hAnsi="Arial"/>
          <w:sz w:val="18"/>
          <w:szCs w:val="18"/>
          <w:b w:val="1"/>
          <w:bCs w:val="1"/>
          <w:color w:val="auto"/>
        </w:rPr>
        <w:t xml:space="preserve"> </w:t>
      </w:r>
      <w:r>
        <w:rPr>
          <w:rFonts w:ascii="Arial" w:cs="Arial" w:eastAsia="Arial" w:hAnsi="Arial"/>
          <w:sz w:val="18"/>
          <w:szCs w:val="18"/>
          <w:color w:val="auto"/>
        </w:rPr>
        <w:t>reorganization, recapitalization, separation, partial or complete liquidation, stock dividend, stock split, reverse stock split, split up, spin-off or other similar corporate transaction or change in our corporate structure affecting our common stock, the Committee will substitute or adjust the number and kind of shares of our common stock that may be issued under the 2026 Plan or under particular forms of awards, the number and kind of shares subject to outstanding awards, the stock option or grant price applicable to outstanding awards and other value determinations as applicable to outstanding awards.</w:t>
      </w:r>
    </w:p>
    <w:p>
      <w:pPr>
        <w:spacing w:after="0" w:line="205" w:lineRule="exact"/>
        <w:rPr>
          <w:sz w:val="20"/>
          <w:szCs w:val="20"/>
          <w:color w:val="auto"/>
        </w:rPr>
      </w:pPr>
    </w:p>
    <w:p>
      <w:pPr>
        <w:jc w:val="both"/>
        <w:ind w:firstLine="640"/>
        <w:spacing w:after="0" w:line="256" w:lineRule="auto"/>
        <w:rPr>
          <w:sz w:val="20"/>
          <w:szCs w:val="20"/>
          <w:color w:val="auto"/>
        </w:rPr>
      </w:pPr>
      <w:r>
        <w:rPr>
          <w:rFonts w:ascii="Arial" w:cs="Arial" w:eastAsia="Arial" w:hAnsi="Arial"/>
          <w:sz w:val="18"/>
          <w:szCs w:val="18"/>
          <w:b w:val="1"/>
          <w:bCs w:val="1"/>
          <w:color w:val="auto"/>
        </w:rPr>
        <w:t>Minimum Vesting Requirements. </w:t>
      </w:r>
      <w:r>
        <w:rPr>
          <w:rFonts w:ascii="Arial" w:cs="Arial" w:eastAsia="Arial" w:hAnsi="Arial"/>
          <w:sz w:val="18"/>
          <w:szCs w:val="18"/>
          <w:color w:val="auto"/>
        </w:rPr>
        <w:t>   Subject to limited exceptions as noted in the 2026 Plan, the 2026 Plan provides that no stock-based awards will vest earlier than one year from the grant date and any awards that vest upon the attainment of performance goals will have a minimum performance period of one year.</w:t>
      </w:r>
    </w:p>
    <w:p>
      <w:pPr>
        <w:spacing w:after="0" w:line="192" w:lineRule="exact"/>
        <w:rPr>
          <w:sz w:val="20"/>
          <w:szCs w:val="20"/>
          <w:color w:val="auto"/>
        </w:rPr>
      </w:pPr>
    </w:p>
    <w:p>
      <w:pPr>
        <w:jc w:val="both"/>
        <w:ind w:firstLine="640"/>
        <w:spacing w:after="0" w:line="248" w:lineRule="auto"/>
        <w:rPr>
          <w:sz w:val="20"/>
          <w:szCs w:val="20"/>
          <w:color w:val="auto"/>
        </w:rPr>
      </w:pPr>
      <w:r>
        <w:rPr>
          <w:rFonts w:ascii="Arial" w:cs="Arial" w:eastAsia="Arial" w:hAnsi="Arial"/>
          <w:sz w:val="18"/>
          <w:szCs w:val="18"/>
          <w:b w:val="1"/>
          <w:bCs w:val="1"/>
          <w:color w:val="auto"/>
        </w:rPr>
        <w:t>Eligibility and Participation.  </w:t>
      </w:r>
      <w:r>
        <w:rPr>
          <w:rFonts w:ascii="Arial" w:cs="Arial" w:eastAsia="Arial" w:hAnsi="Arial"/>
          <w:sz w:val="18"/>
          <w:szCs w:val="18"/>
          <w:color w:val="auto"/>
        </w:rPr>
        <w:t>  Awards may be granted under the 2026 Plan to employees and third-party service providers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of its affiliates or subsidiaries and to non-employee directors of the Company. As of January 20, 2026, approximately 9,511 employees and 8 non-employee directors were eligible to participate in the 2022 Plan and would have been eligible to participate in the 2026 Plan had it been approved by our stockholders at such time. The Company does not typically make grants to third-party service providers.</w:t>
      </w:r>
    </w:p>
    <w:p>
      <w:pPr>
        <w:spacing w:after="0" w:line="212" w:lineRule="exact"/>
        <w:rPr>
          <w:sz w:val="20"/>
          <w:szCs w:val="20"/>
          <w:color w:val="auto"/>
        </w:rPr>
      </w:pPr>
    </w:p>
    <w:p>
      <w:pPr>
        <w:jc w:val="both"/>
        <w:ind w:firstLine="640"/>
        <w:spacing w:after="0" w:line="242" w:lineRule="auto"/>
        <w:rPr>
          <w:sz w:val="20"/>
          <w:szCs w:val="20"/>
          <w:color w:val="auto"/>
        </w:rPr>
      </w:pPr>
      <w:r>
        <w:rPr>
          <w:rFonts w:ascii="Arial" w:cs="Arial" w:eastAsia="Arial" w:hAnsi="Arial"/>
          <w:sz w:val="18"/>
          <w:szCs w:val="18"/>
          <w:b w:val="1"/>
          <w:bCs w:val="1"/>
          <w:color w:val="auto"/>
        </w:rPr>
        <w:t>Types of Awards.</w:t>
      </w:r>
      <w:r>
        <w:rPr>
          <w:rFonts w:ascii="Arial" w:cs="Arial" w:eastAsia="Arial" w:hAnsi="Arial"/>
          <w:sz w:val="18"/>
          <w:szCs w:val="18"/>
          <w:color w:val="auto"/>
        </w:rPr>
        <w:t>    Nonqualified and incentive stock options, stock appreciation rights or SARs, restricted stock, 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or RSUs, performance shares, performance units, annual performance awards, non-employee director awards and other cash-based and stock-based awards may be granted under the 2026 Plan. Awards may be granted either alone or in addition to or in tandem with any other type of award.</w:t>
      </w:r>
    </w:p>
    <w:p>
      <w:pPr>
        <w:spacing w:after="0" w:line="221" w:lineRule="exact"/>
        <w:rPr>
          <w:sz w:val="20"/>
          <w:szCs w:val="20"/>
          <w:color w:val="auto"/>
        </w:rPr>
      </w:pPr>
    </w:p>
    <w:p>
      <w:pPr>
        <w:jc w:val="both"/>
        <w:ind w:firstLine="640"/>
        <w:spacing w:after="0" w:line="242" w:lineRule="auto"/>
        <w:rPr>
          <w:sz w:val="20"/>
          <w:szCs w:val="20"/>
          <w:color w:val="auto"/>
        </w:rPr>
      </w:pPr>
      <w:r>
        <w:rPr>
          <w:rFonts w:ascii="Arial" w:cs="Arial" w:eastAsia="Arial" w:hAnsi="Arial"/>
          <w:sz w:val="18"/>
          <w:szCs w:val="18"/>
          <w:b w:val="1"/>
          <w:bCs w:val="1"/>
          <w:i w:val="1"/>
          <w:iCs w:val="1"/>
          <w:color w:val="auto"/>
        </w:rPr>
        <w:t>Stock Options.  </w:t>
      </w:r>
      <w:r>
        <w:rPr>
          <w:rFonts w:ascii="Arial" w:cs="Arial" w:eastAsia="Arial" w:hAnsi="Arial"/>
          <w:sz w:val="18"/>
          <w:szCs w:val="18"/>
          <w:color w:val="auto"/>
        </w:rPr>
        <w:t>  Stock options entitle the holder to purchase a specified number of shares of our common stock at a specified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is called the exercise price, subject to the terms and conditions of the award agreement. The 2026 Plan permits the grant of both nonqualified and incentive stock options. Each stock option granted under the 2026 Plan must be evidenced by an award agreement that specifies the exercise price, the term, the number of shares underlying the stock option, the vesting and any other conditions. The exercise price of each stock option must be at least 100% of the fair market value of a share of our common stock as of the date the award is granted to a participant. Stock options may be exercised, in whole or in part, by payment in full of the exercise price in one or a combination of the following forms of payment: cash or its equivalent; the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86" w:name="page87"/>
    <w:bookmarkEnd w:id="86"/>
    <w:p>
      <w:pPr>
        <w:jc w:val="both"/>
        <w:spacing w:after="0" w:line="247" w:lineRule="auto"/>
        <w:rPr>
          <w:sz w:val="20"/>
          <w:szCs w:val="20"/>
          <w:color w:val="auto"/>
        </w:rPr>
      </w:pPr>
      <w:r>
        <w:rPr>
          <w:rFonts w:ascii="Arial" w:cs="Arial" w:eastAsia="Arial" w:hAnsi="Arial"/>
          <w:sz w:val="18"/>
          <w:szCs w:val="18"/>
          <w:color w:val="auto"/>
        </w:rPr>
        <w:t>of common stock already owned by the participant prior to such delivery; broker-assisted cashless exercise; by “net exercise”; a combination of such methods; or such other method as may be permitted by the Committee. In the sole discretion of the Committee, the Committee may establish procedures for the automatic exercise of any stock options that are exercisable but unexercised as of the day immediately preceding the expiration date of the option.</w:t>
      </w:r>
    </w:p>
    <w:p>
      <w:pPr>
        <w:spacing w:after="0" w:line="202" w:lineRule="exact"/>
        <w:rPr>
          <w:sz w:val="20"/>
          <w:szCs w:val="20"/>
          <w:color w:val="auto"/>
        </w:rPr>
      </w:pPr>
    </w:p>
    <w:p>
      <w:pPr>
        <w:jc w:val="both"/>
        <w:ind w:firstLine="640"/>
        <w:spacing w:after="0" w:line="244" w:lineRule="auto"/>
        <w:rPr>
          <w:sz w:val="20"/>
          <w:szCs w:val="20"/>
          <w:color w:val="auto"/>
        </w:rPr>
      </w:pPr>
      <w:r>
        <w:rPr>
          <w:rFonts w:ascii="Arial" w:cs="Arial" w:eastAsia="Arial" w:hAnsi="Arial"/>
          <w:sz w:val="18"/>
          <w:szCs w:val="18"/>
          <w:b w:val="1"/>
          <w:bCs w:val="1"/>
          <w:i w:val="1"/>
          <w:iCs w:val="1"/>
          <w:color w:val="auto"/>
        </w:rPr>
        <w:t>Stock Appreciation Rights.  </w:t>
      </w:r>
      <w:r>
        <w:rPr>
          <w:rFonts w:ascii="Arial" w:cs="Arial" w:eastAsia="Arial" w:hAnsi="Arial"/>
          <w:sz w:val="18"/>
          <w:szCs w:val="18"/>
          <w:color w:val="auto"/>
        </w:rPr>
        <w:t>  Each SAR granted must be evidenced by an award agreement that specifies the grant price, the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such other provisions as the Committee may determine. The grant price of a SAR must be at least 100% of the fair market value of our common stock on the date of grant. Upon the exercise of a SAR, the holder is entitled to receive the excess of the fair market value of the shares for which the right is exercised over the grant price of the SAR. Payment upon the exercise of a SAR will be in cash, shares of our common stock, or some combination of cash and shares of our common stock as determined by the Committee. The Committee may impose any conditions or restrictions on the exercise of a SAR as it deems appropriate.</w:t>
      </w:r>
    </w:p>
    <w:p>
      <w:pPr>
        <w:spacing w:after="0" w:line="205"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b w:val="1"/>
          <w:bCs w:val="1"/>
          <w:i w:val="1"/>
          <w:iCs w:val="1"/>
          <w:color w:val="auto"/>
        </w:rPr>
        <w:t>Restricted Stock and Restricted Stock Units.</w:t>
      </w:r>
      <w:r>
        <w:rPr>
          <w:rFonts w:ascii="Arial" w:cs="Arial" w:eastAsia="Arial" w:hAnsi="Arial"/>
          <w:sz w:val="18"/>
          <w:szCs w:val="18"/>
          <w:color w:val="auto"/>
        </w:rPr>
        <w:t>    Shares of restricted stock and/or RSUs may be granted under the 2026 Plan. RSUs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similar to restricted stock except that no shares are actually awarded to the participant on the grant date. The period(s) of restriction, the number of shares of restricted stock or the number of RSUs granted, the purchase price, if any, and such other conditions and/or restrictions as the Committee shall determine shall be set forth in an award agreement. Participants holding shares of restricted stock may be granted voting rights with respect to their shares, but participants holding RSUs will not have voting rights with respect to their RSUs.</w:t>
      </w:r>
    </w:p>
    <w:p>
      <w:pPr>
        <w:spacing w:after="0" w:line="202" w:lineRule="exact"/>
        <w:rPr>
          <w:sz w:val="20"/>
          <w:szCs w:val="20"/>
          <w:color w:val="auto"/>
        </w:rPr>
      </w:pPr>
    </w:p>
    <w:p>
      <w:pPr>
        <w:jc w:val="both"/>
        <w:ind w:firstLine="640"/>
        <w:spacing w:after="0" w:line="242" w:lineRule="auto"/>
        <w:rPr>
          <w:sz w:val="20"/>
          <w:szCs w:val="20"/>
          <w:color w:val="auto"/>
        </w:rPr>
      </w:pPr>
      <w:r>
        <w:rPr>
          <w:rFonts w:ascii="Arial" w:cs="Arial" w:eastAsia="Arial" w:hAnsi="Arial"/>
          <w:sz w:val="18"/>
          <w:szCs w:val="18"/>
          <w:color w:val="auto"/>
        </w:rPr>
        <w:t>Unless otherwise determined by the Committee and set forth in a participant’s award agreement, participants holding shares of restricted stock have the same dividend rights as the Company’s other stockholders; provided, however, that the dividends will be subject to forfeiture and termination to the same extent as the shares of restricted stock to which such dividends relate and the award agreement may require that any cash dividends be reinvested in additional shares of restricted stock subject to the same conditions and restrictions as the shares of restricted stock with respect to which the dividends were paid. In no event, however, will dividends with respect to shares of restricted stock that are subject to performance-based vesting be paid out until the performance-based vesting provisions of such restricted stock lapse.</w:t>
      </w:r>
    </w:p>
    <w:p>
      <w:pPr>
        <w:spacing w:after="0" w:line="207" w:lineRule="exact"/>
        <w:rPr>
          <w:sz w:val="20"/>
          <w:szCs w:val="20"/>
          <w:color w:val="auto"/>
        </w:rPr>
      </w:pPr>
    </w:p>
    <w:p>
      <w:pPr>
        <w:jc w:val="both"/>
        <w:ind w:firstLine="640"/>
        <w:spacing w:after="0" w:line="242" w:lineRule="auto"/>
        <w:rPr>
          <w:sz w:val="20"/>
          <w:szCs w:val="20"/>
          <w:color w:val="auto"/>
        </w:rPr>
      </w:pPr>
      <w:r>
        <w:rPr>
          <w:rFonts w:ascii="Arial" w:cs="Arial" w:eastAsia="Arial" w:hAnsi="Arial"/>
          <w:sz w:val="18"/>
          <w:szCs w:val="18"/>
          <w:color w:val="auto"/>
        </w:rPr>
        <w:t>Unless otherwise determined by the Committee and set forth in a participant’s award agreement, prior to settlement or forfeiture, any RSUs awarded under the 2026 Plan may, at the Committee’s discretion, carry with it a right to dividend equivalents. Such right, if applicable, would entitle the participant to be credited with an amount equal to all cash dividends paid on one share of our common stock while the RSU is outstanding or may be converted into additional RSUs. Such dividend equivalents will be made subject to the same conditions and restrictions as the RSUs to which they attach and settlement of such dividend equivalents may be made in the form of cash, in the form of shares of our common stock, or in a combination of both. In no event shall any dividends or dividend equivalents be paid out until the performance-based vesting provisions of such RSUs lapse.</w:t>
      </w:r>
    </w:p>
    <w:p>
      <w:pPr>
        <w:spacing w:after="0" w:line="220" w:lineRule="exact"/>
        <w:rPr>
          <w:sz w:val="20"/>
          <w:szCs w:val="20"/>
          <w:color w:val="auto"/>
        </w:rPr>
      </w:pPr>
    </w:p>
    <w:p>
      <w:pPr>
        <w:jc w:val="both"/>
        <w:ind w:firstLine="640"/>
        <w:spacing w:after="0" w:line="243" w:lineRule="auto"/>
        <w:rPr>
          <w:sz w:val="20"/>
          <w:szCs w:val="20"/>
          <w:color w:val="auto"/>
        </w:rPr>
      </w:pPr>
      <w:r>
        <w:rPr>
          <w:rFonts w:ascii="Arial" w:cs="Arial" w:eastAsia="Arial" w:hAnsi="Arial"/>
          <w:sz w:val="18"/>
          <w:szCs w:val="18"/>
          <w:color w:val="auto"/>
        </w:rPr>
        <w:t>After all conditions and restrictions applicable to restricted shares and/or RSUs have been satisfied or have lapsed (including the satisfaction of any applicable tax withholding obligations), shares of restricted stock will become freely transferable (except as otherwise provided in the 2026 Plan) and RSUs will be paid in cash, shares of our common stock, or some combination of cash and shares of our common stock as determined by the Committee. The Committee may provide that an award of restricted stock is conditioned upon the participant making or refraining from making an election with respect to the award under Code Section 83(b).</w:t>
      </w:r>
    </w:p>
    <w:p>
      <w:pPr>
        <w:spacing w:after="0" w:line="206" w:lineRule="exact"/>
        <w:rPr>
          <w:sz w:val="20"/>
          <w:szCs w:val="20"/>
          <w:color w:val="auto"/>
        </w:rPr>
      </w:pPr>
    </w:p>
    <w:p>
      <w:pPr>
        <w:jc w:val="both"/>
        <w:ind w:firstLine="640"/>
        <w:spacing w:after="0"/>
        <w:rPr>
          <w:sz w:val="20"/>
          <w:szCs w:val="20"/>
          <w:color w:val="auto"/>
        </w:rPr>
      </w:pPr>
      <w:r>
        <w:rPr>
          <w:rFonts w:ascii="Arial" w:cs="Arial" w:eastAsia="Arial" w:hAnsi="Arial"/>
          <w:sz w:val="18"/>
          <w:szCs w:val="18"/>
          <w:b w:val="1"/>
          <w:bCs w:val="1"/>
          <w:i w:val="1"/>
          <w:iCs w:val="1"/>
          <w:color w:val="auto"/>
        </w:rPr>
        <w:t>Performance Shares and Performance Units.</w:t>
      </w:r>
      <w:r>
        <w:rPr>
          <w:rFonts w:ascii="Arial" w:cs="Arial" w:eastAsia="Arial" w:hAnsi="Arial"/>
          <w:sz w:val="18"/>
          <w:szCs w:val="18"/>
          <w:color w:val="auto"/>
        </w:rPr>
        <w:t>    Performance shares and/or performance units may be granted under the 2026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such amounts and upon such terms as the Committee may determine. Each performance unit will have an initial value that is established by the Committee on the grant date, and each performance share will have an initial value equal to the fair market value of a share on the grant date. With respect to an award of performance shares and/or performance units, the Committee will establish performance periods and performance goals, which may be based on one or more of the performance measures set forth in the 2026 Plan. The performance period set forth in any award agreement for any performance shares must be at least one year, except under certain circumstances. The extent to which the participant achieves the performance goals during the applicable performance period will determine the value and/or the number of performance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87" w:name="page88"/>
    <w:bookmarkEnd w:id="87"/>
    <w:p>
      <w:pPr>
        <w:jc w:val="both"/>
        <w:spacing w:after="0" w:line="254" w:lineRule="auto"/>
        <w:rPr>
          <w:sz w:val="20"/>
          <w:szCs w:val="20"/>
          <w:color w:val="auto"/>
        </w:rPr>
      </w:pPr>
      <w:r>
        <w:rPr>
          <w:rFonts w:ascii="Arial" w:cs="Arial" w:eastAsia="Arial" w:hAnsi="Arial"/>
          <w:sz w:val="18"/>
          <w:szCs w:val="18"/>
          <w:color w:val="auto"/>
        </w:rPr>
        <w:t>and/or performance units earned by a participant. Payment of earned performance shares and/or performance units will be in cash, shares of our common stock, or some combination of cash and shares of our common stock, as determined by the Committee and stated in the award agreement.</w:t>
      </w:r>
    </w:p>
    <w:p>
      <w:pPr>
        <w:spacing w:after="0" w:line="197" w:lineRule="exact"/>
        <w:rPr>
          <w:sz w:val="20"/>
          <w:szCs w:val="20"/>
          <w:color w:val="auto"/>
        </w:rPr>
      </w:pPr>
    </w:p>
    <w:p>
      <w:pPr>
        <w:jc w:val="both"/>
        <w:ind w:firstLine="640"/>
        <w:spacing w:after="0" w:line="244" w:lineRule="auto"/>
        <w:rPr>
          <w:sz w:val="20"/>
          <w:szCs w:val="20"/>
          <w:color w:val="auto"/>
        </w:rPr>
      </w:pPr>
      <w:r>
        <w:rPr>
          <w:rFonts w:ascii="Arial" w:cs="Arial" w:eastAsia="Arial" w:hAnsi="Arial"/>
          <w:sz w:val="18"/>
          <w:szCs w:val="18"/>
          <w:color w:val="auto"/>
        </w:rPr>
        <w:t>At any time during a performance period of more than one fiscal year, the Committee may, in its discretion, cancel a portion of an award or performance shares or performance units prior to the conclusion of the performance period if the award has not already vested, the Committee determines that the performance goals cannot be achieved at the maximum levels established at the time of grant, the awards are scaled back in proportion to the estimated shortfall in achievement of performance goals, and all awards for the same performance period are scaled back by the same percentage. Once an award is scaled back, it may not again be increased to add or recover performance shares or performance units that were canceled.</w:t>
      </w:r>
    </w:p>
    <w:p>
      <w:pPr>
        <w:spacing w:after="0" w:line="205" w:lineRule="exact"/>
        <w:rPr>
          <w:sz w:val="20"/>
          <w:szCs w:val="20"/>
          <w:color w:val="auto"/>
        </w:rPr>
      </w:pPr>
    </w:p>
    <w:p>
      <w:pPr>
        <w:jc w:val="both"/>
        <w:ind w:firstLine="640"/>
        <w:spacing w:after="0" w:line="242" w:lineRule="auto"/>
        <w:rPr>
          <w:sz w:val="20"/>
          <w:szCs w:val="20"/>
          <w:color w:val="auto"/>
        </w:rPr>
      </w:pPr>
      <w:r>
        <w:rPr>
          <w:rFonts w:ascii="Arial" w:cs="Arial" w:eastAsia="Arial" w:hAnsi="Arial"/>
          <w:sz w:val="18"/>
          <w:szCs w:val="18"/>
          <w:color w:val="auto"/>
        </w:rPr>
        <w:t>If provided specifically in an award agreement and only to the extent permitted by law, a participant holding performance units or performance shares awarded under the 2026 Plan may receive dividend equivalents based on the cash dividends declared on our common stock that are subject to such performance units or performance shares during the period between the date that such performance units or performance shares are granted and the date such performance units or performance shares are settled. Dividend equivalents may be converted into additional performance units or performance shares, as the case may be, and will be made subject to the same conditions and restrictions as the performance units or performance shares to which they attach. In no event shall any dividends or dividend equivalents be paid out until the performance-based vesting provisions of such performance units or performance shares, as the case may be, lapse.</w:t>
      </w:r>
    </w:p>
    <w:p>
      <w:pPr>
        <w:spacing w:after="0" w:line="207" w:lineRule="exact"/>
        <w:rPr>
          <w:sz w:val="20"/>
          <w:szCs w:val="20"/>
          <w:color w:val="auto"/>
        </w:rPr>
      </w:pPr>
    </w:p>
    <w:p>
      <w:pPr>
        <w:jc w:val="both"/>
        <w:ind w:firstLine="640"/>
        <w:spacing w:after="0" w:line="308" w:lineRule="auto"/>
        <w:rPr>
          <w:sz w:val="20"/>
          <w:szCs w:val="20"/>
          <w:color w:val="auto"/>
        </w:rPr>
      </w:pPr>
      <w:r>
        <w:rPr>
          <w:rFonts w:ascii="Arial" w:cs="Arial" w:eastAsia="Arial" w:hAnsi="Arial"/>
          <w:sz w:val="17"/>
          <w:szCs w:val="17"/>
          <w:color w:val="auto"/>
        </w:rPr>
        <w:t>Any shares issued under a deferred compensation plan that relate to the deferral of performance shares or performance units granted under the 2026 Plan (including without limitation any dividend equivalents paid in shares) will be deemed to be issued under the 2026 Plan.</w:t>
      </w:r>
    </w:p>
    <w:p>
      <w:pPr>
        <w:spacing w:after="0" w:line="152" w:lineRule="exact"/>
        <w:rPr>
          <w:sz w:val="20"/>
          <w:szCs w:val="20"/>
          <w:color w:val="auto"/>
        </w:rPr>
      </w:pPr>
    </w:p>
    <w:p>
      <w:pPr>
        <w:jc w:val="both"/>
        <w:ind w:firstLine="640"/>
        <w:spacing w:after="0" w:line="242" w:lineRule="auto"/>
        <w:rPr>
          <w:sz w:val="20"/>
          <w:szCs w:val="20"/>
          <w:color w:val="auto"/>
        </w:rPr>
      </w:pP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Other stock-based or stock-related awards (including the grant or offer for sale of unrestricted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common stock or the payment in cash or otherwise of amounts based on the value of shares of our common stock) may be granted in such amounts and subject to such terms and conditions (including performance goals) as determined by the Committee. Each other stock-based award shall be expressed in terms of shares of our common stock or units based on shares of our common stock, as determined by the Committee. Other stock-based awards will be paid in cash or shares of our common stock, as determined by the Committee. If the other stock-based awards are subject to performance goals, the number and/or value of other stock-based awards that will be paid out to the participant will depend on the extent to which the performance goals are met.</w:t>
      </w:r>
    </w:p>
    <w:p>
      <w:pPr>
        <w:spacing w:after="0" w:line="205"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b w:val="1"/>
          <w:bCs w:val="1"/>
          <w:color w:val="auto"/>
        </w:rPr>
        <w:t>Performance Goals. </w:t>
      </w:r>
      <w:r>
        <w:rPr>
          <w:rFonts w:ascii="Arial" w:cs="Arial" w:eastAsia="Arial" w:hAnsi="Arial"/>
          <w:sz w:val="18"/>
          <w:szCs w:val="18"/>
          <w:color w:val="auto"/>
        </w:rPr>
        <w:t>   The performance goals selected by the Committee may be based on any one or more performance measures,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those listed in the 2026 Plan. Any performance goal can be based on the performance of the Company or any subsidiary, as a whole, or any division or business unit, or subsidiary, or any combination thereof, as the Committee deems appropriate. Any performance goal can be compared to the performance of a peer group or a published or special index that the Committee deems appropriate. The Committee also may provide for accelerated vesting of any award based on the achievement of performance goals.</w:t>
      </w:r>
    </w:p>
    <w:p>
      <w:pPr>
        <w:spacing w:after="0" w:line="204" w:lineRule="exact"/>
        <w:rPr>
          <w:sz w:val="20"/>
          <w:szCs w:val="20"/>
          <w:color w:val="auto"/>
        </w:rPr>
      </w:pPr>
    </w:p>
    <w:p>
      <w:pPr>
        <w:jc w:val="both"/>
        <w:ind w:firstLine="640"/>
        <w:spacing w:after="0" w:line="243" w:lineRule="auto"/>
        <w:rPr>
          <w:sz w:val="20"/>
          <w:szCs w:val="20"/>
          <w:color w:val="auto"/>
        </w:rPr>
      </w:pPr>
      <w:r>
        <w:rPr>
          <w:rFonts w:ascii="Arial" w:cs="Arial" w:eastAsia="Arial" w:hAnsi="Arial"/>
          <w:sz w:val="18"/>
          <w:szCs w:val="18"/>
          <w:color w:val="auto"/>
        </w:rPr>
        <w:t>The Committee may amend or modify the vesting criteria (including any performance goals or performance periods) of any outstanding awards based in whole or in part on the financial performance of the Company (or any subsidiary or division or business unit) in recognition of unusual or nonrecurring events affecting the Company or the financial statements of the Company or of changes in applicable laws, regulations or accounting principles, whenever the Committee determines that such adjustments are appropriate in order to prevent unintended dilution or enlargement of the benefits or potential benefits intended to be made available under the 2026 Plan.</w:t>
      </w:r>
    </w:p>
    <w:p>
      <w:pPr>
        <w:spacing w:after="0" w:line="200" w:lineRule="exact"/>
        <w:rPr>
          <w:sz w:val="20"/>
          <w:szCs w:val="20"/>
          <w:color w:val="auto"/>
        </w:rPr>
      </w:pPr>
    </w:p>
    <w:p>
      <w:pPr>
        <w:spacing w:after="0" w:line="245" w:lineRule="exact"/>
        <w:rPr>
          <w:sz w:val="20"/>
          <w:szCs w:val="20"/>
          <w:color w:val="auto"/>
        </w:rPr>
      </w:pPr>
    </w:p>
    <w:p>
      <w:pPr>
        <w:jc w:val="both"/>
        <w:ind w:firstLine="640"/>
        <w:spacing w:after="0" w:line="248" w:lineRule="auto"/>
        <w:rPr>
          <w:sz w:val="20"/>
          <w:szCs w:val="20"/>
          <w:color w:val="auto"/>
        </w:rPr>
      </w:pPr>
      <w:r>
        <w:rPr>
          <w:rFonts w:ascii="Arial" w:cs="Arial" w:eastAsia="Arial" w:hAnsi="Arial"/>
          <w:sz w:val="18"/>
          <w:szCs w:val="18"/>
          <w:b w:val="1"/>
          <w:bCs w:val="1"/>
          <w:color w:val="auto"/>
        </w:rPr>
        <w:t>Dividend Equivalents.</w:t>
      </w:r>
      <w:r>
        <w:rPr>
          <w:rFonts w:ascii="Arial" w:cs="Arial" w:eastAsia="Arial" w:hAnsi="Arial"/>
          <w:sz w:val="18"/>
          <w:szCs w:val="18"/>
          <w:color w:val="auto"/>
        </w:rPr>
        <w:t>    With the exception of stock options and SARs, awards under the 2026 Plan (including deferred awards) may,</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Committee’s discretion, earn dividend equivalents with respect to the cash dividends that would have been paid on the shares of our common stock covered by such award had such shares been issued and outstanding on the dividend payment date. Such dividend equivalents will be converted to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88" w:name="page89"/>
    <w:bookmarkEnd w:id="88"/>
    <w:p>
      <w:pPr>
        <w:jc w:val="both"/>
        <w:spacing w:after="0" w:line="244" w:lineRule="auto"/>
        <w:rPr>
          <w:sz w:val="20"/>
          <w:szCs w:val="20"/>
          <w:color w:val="auto"/>
        </w:rPr>
      </w:pPr>
      <w:r>
        <w:rPr>
          <w:rFonts w:ascii="Arial" w:cs="Arial" w:eastAsia="Arial" w:hAnsi="Arial"/>
          <w:sz w:val="18"/>
          <w:szCs w:val="18"/>
          <w:color w:val="auto"/>
        </w:rPr>
        <w:t>or additional shares of our common stock by such formula and at such time and subject to such limitations as determined by the Committee and the Committee may provide that such amounts will be deemed to have been reinvested in additional shares of common stock or otherwise reinvested. Any dividend equivalents will be subject to the same conditions and restrictions and will be subject to forfeiture and termination to the same extent as the corresponding award as to which the dividend equivalents relate. In no event will participants holding performance shares, performance units or other performance-based awards receive any dividend payments until the performance-based vesting provisions of such awards lapse.</w:t>
      </w:r>
    </w:p>
    <w:p>
      <w:pPr>
        <w:spacing w:after="0" w:line="203" w:lineRule="exact"/>
        <w:rPr>
          <w:sz w:val="20"/>
          <w:szCs w:val="20"/>
          <w:color w:val="auto"/>
        </w:rPr>
      </w:pPr>
    </w:p>
    <w:p>
      <w:pPr>
        <w:jc w:val="both"/>
        <w:ind w:firstLine="640"/>
        <w:spacing w:after="0"/>
        <w:rPr>
          <w:sz w:val="20"/>
          <w:szCs w:val="20"/>
          <w:color w:val="auto"/>
        </w:rPr>
      </w:pPr>
      <w:r>
        <w:rPr>
          <w:rFonts w:ascii="Arial" w:cs="Arial" w:eastAsia="Arial" w:hAnsi="Arial"/>
          <w:sz w:val="18"/>
          <w:szCs w:val="18"/>
          <w:b w:val="1"/>
          <w:bCs w:val="1"/>
          <w:color w:val="auto"/>
        </w:rPr>
        <w:t>Forfeiture and Recoupment or “Clawback”. </w:t>
      </w:r>
      <w:r>
        <w:rPr>
          <w:rFonts w:ascii="Arial" w:cs="Arial" w:eastAsia="Arial" w:hAnsi="Arial"/>
          <w:sz w:val="18"/>
          <w:szCs w:val="18"/>
          <w:color w:val="auto"/>
        </w:rPr>
        <w:t>   If a participant is determined by the Committee to have taken any action that would</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an “adverse action,” all rights of the participant under the 2026 Plan and any agreements evidencing an award then held by the participant will terminate and be forfeited and the Committee may require the participant to surrender and return to the Company any shares received, or to disgorge all or any profits or any other economic value made or realized by the participant during the period beginning one year prior to the participant’s termination of employment or other service with the Company or any affiliate or subsidiary, in connection with any awards or any shares issued upon the exercise or vesting of any awards. An “adverse action” includes any of the following actions that occur during or within one year after the termination of employment or other service with the Company or any affiliate or subsidiary, in each case as reasonably determined by the Committee: (a) being employed or retained by or rendering services to any organization that, directly or indirectly, competes with the Company or its affiliates or subsidiaries; (b) rendering services that are prejudicial or in conflict with the interests of the Company or any affiliate or subsidiary; (c) violating any confidentiality agreement or agreement governing the ownership or assignment of intellectual property rights with the Company; or (d) engaging in any misconduct or significant act reasonably determined by the Committee to be injurious, detrimental or prejudicial to any interest of the Company or any affiliate or subsidiary.</w:t>
      </w:r>
    </w:p>
    <w:p>
      <w:pPr>
        <w:spacing w:after="0" w:line="213"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In addition, all awards under the 2026 Plan also will be subject to forfeiture or other penalties pursuant to any clawback or forfeiture policy of the Company, as in effect from time to time (including, but not limited to, the Company’s Clawback Policy), and such forfeiture and/or penalty conditions or provisions as determined by the Committee and set forth in the applicable award agreement, or as otherwise required or permitted under applicable law.</w:t>
      </w:r>
    </w:p>
    <w:p>
      <w:pPr>
        <w:spacing w:after="0" w:line="200" w:lineRule="exact"/>
        <w:rPr>
          <w:sz w:val="20"/>
          <w:szCs w:val="20"/>
          <w:color w:val="auto"/>
        </w:rPr>
      </w:pPr>
    </w:p>
    <w:p>
      <w:pPr>
        <w:jc w:val="both"/>
        <w:ind w:firstLine="640"/>
        <w:spacing w:after="0" w:line="278" w:lineRule="auto"/>
        <w:rPr>
          <w:sz w:val="20"/>
          <w:szCs w:val="20"/>
          <w:color w:val="auto"/>
        </w:rPr>
      </w:pPr>
      <w:r>
        <w:rPr>
          <w:rFonts w:ascii="Arial" w:cs="Arial" w:eastAsia="Arial" w:hAnsi="Arial"/>
          <w:sz w:val="17"/>
          <w:szCs w:val="17"/>
          <w:b w:val="1"/>
          <w:bCs w:val="1"/>
          <w:color w:val="auto"/>
        </w:rPr>
        <w:t>Effect of Change in Control.</w:t>
      </w:r>
      <w:r>
        <w:rPr>
          <w:rFonts w:ascii="Arial" w:cs="Arial" w:eastAsia="Arial" w:hAnsi="Arial"/>
          <w:sz w:val="17"/>
          <w:szCs w:val="17"/>
          <w:color w:val="auto"/>
        </w:rPr>
        <w:t>    If a change in control of the Company occurs and an award is continued, assumed or substituted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successor entity on terms as provided in the 2026 Plan, then the following vesting rules will apply to the continued, assumed or substituted awards, in each case effective immediately prior to such change in control but conditioned upon the completion of such change in control:</w:t>
      </w:r>
    </w:p>
    <w:p>
      <w:pPr>
        <w:spacing w:after="0" w:line="177" w:lineRule="exact"/>
        <w:rPr>
          <w:sz w:val="20"/>
          <w:szCs w:val="20"/>
          <w:color w:val="auto"/>
        </w:rPr>
      </w:pPr>
    </w:p>
    <w:p>
      <w:pPr>
        <w:ind w:left="640" w:hanging="313"/>
        <w:spacing w:after="0" w:line="277" w:lineRule="auto"/>
        <w:tabs>
          <w:tab w:leader="none" w:pos="63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and all options and SARs shall vest and become immediately exercisable and remain exercisable until the expiration of its full specified term, regardless of any termination of employment or other service of the participant.</w:t>
      </w:r>
    </w:p>
    <w:p>
      <w:pPr>
        <w:spacing w:after="0" w:line="176" w:lineRule="exact"/>
        <w:rPr>
          <w:rFonts w:ascii="Arial" w:cs="Arial" w:eastAsia="Arial" w:hAnsi="Arial"/>
          <w:sz w:val="18"/>
          <w:szCs w:val="18"/>
          <w:color w:val="auto"/>
        </w:rPr>
      </w:pPr>
    </w:p>
    <w:p>
      <w:pPr>
        <w:jc w:val="both"/>
        <w:ind w:left="640" w:hanging="313"/>
        <w:spacing w:after="0" w:line="247" w:lineRule="auto"/>
        <w:tabs>
          <w:tab w:leader="none" w:pos="63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restrictions and vesting requirements applicable to any award based solely on the continued service of the participant shall terminate and such awards shall be settled and paid in cash or shares of our common stock as provided in the award agreement as soon as practicable thereafter but in any event within 30 days following the date of such change in control, subject to the delay, if any, required under the 2026 Plan.</w:t>
      </w:r>
    </w:p>
    <w:p>
      <w:pPr>
        <w:spacing w:after="0" w:line="201" w:lineRule="exact"/>
        <w:rPr>
          <w:rFonts w:ascii="Arial" w:cs="Arial" w:eastAsia="Arial" w:hAnsi="Arial"/>
          <w:sz w:val="18"/>
          <w:szCs w:val="18"/>
          <w:color w:val="auto"/>
        </w:rPr>
      </w:pPr>
    </w:p>
    <w:p>
      <w:pPr>
        <w:jc w:val="both"/>
        <w:ind w:left="640" w:hanging="313"/>
        <w:spacing w:after="0" w:line="241" w:lineRule="auto"/>
        <w:tabs>
          <w:tab w:leader="none" w:pos="63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vested and earned awards that are performance-based for which the performance period has been completed as of the date of such change in control but have not yet been paid shall be paid in cash or shares and at such time as provided in the award agreement as soon as practicable thereafter but in any event within 30 days following the date of such change in control, subject to the delay, if any, required under the 2026 Plan, and all performance-based awards for which the performance period has not been completed as of the date of such change in control shall immediately vest and be earned in full, and paid out with respect to each performance goal based on the greater of (i) target performance; or (ii) actual performance achieved through the date of such change in control, in each case with the manner of payment to be made in cash or shares as provided in the award agreement as soon as practicable thereafter but in any event within 30 days following the date of such change in control, subject to the delay, if any, required under the 2026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89" w:name="page90"/>
    <w:bookmarkEnd w:id="89"/>
    <w:p>
      <w:pPr>
        <w:jc w:val="both"/>
        <w:spacing w:after="0" w:line="254" w:lineRule="auto"/>
        <w:rPr>
          <w:sz w:val="20"/>
          <w:szCs w:val="20"/>
          <w:color w:val="auto"/>
        </w:rPr>
      </w:pPr>
      <w:r>
        <w:rPr>
          <w:rFonts w:ascii="Arial" w:cs="Arial" w:eastAsia="Arial" w:hAnsi="Arial"/>
          <w:sz w:val="18"/>
          <w:szCs w:val="18"/>
          <w:color w:val="auto"/>
        </w:rPr>
        <w:t>If a change in control of the Company occurs, any outstanding awards that are not continued, assumed or substituted with equivalent awards by the successor entity will be subject to the following rules, in each case effective immediately prior to such change in control but conditioned upon the completion of such change in control:</w:t>
      </w:r>
    </w:p>
    <w:p>
      <w:pPr>
        <w:spacing w:after="0" w:line="197" w:lineRule="exact"/>
        <w:rPr>
          <w:sz w:val="20"/>
          <w:szCs w:val="20"/>
          <w:color w:val="auto"/>
        </w:rPr>
      </w:pPr>
    </w:p>
    <w:p>
      <w:pPr>
        <w:jc w:val="both"/>
        <w:ind w:left="640" w:hanging="313"/>
        <w:spacing w:after="0"/>
        <w:tabs>
          <w:tab w:leader="none" w:pos="63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and all options and SARs shall be fully vested and exercisable and the Committee shall (1) give a participant a reasonable opportunity to exercise the option and SAR before the transaction resulting in the change in control (including cashless exercise by a participant) and (2) pay the participant the difference between the exercise price for any option or the grant price for any SAR remaining outstanding as of the change in control and the per share consideration provided to other similarly situated stockholders in such change in control; provided, however, that if any portion of the consideration pursuant to a change of control may be received by holders of shares on a contingent or delayed basis, the Committee shall determine the fair market value per share of such consideration as of the time of the change of control on the basis of the Committee’s good faith estimate of the present value of the probable future payment of such consideration; and provided, further, that if the exercise price of such option or the grant price of such SAR exceeds the aforementioned consideration provided, then the option or SAR shall be canceled and terminated without any payment.</w:t>
      </w:r>
    </w:p>
    <w:p>
      <w:pPr>
        <w:spacing w:after="0" w:line="211" w:lineRule="exact"/>
        <w:rPr>
          <w:rFonts w:ascii="Arial" w:cs="Arial" w:eastAsia="Arial" w:hAnsi="Arial"/>
          <w:sz w:val="18"/>
          <w:szCs w:val="18"/>
          <w:color w:val="auto"/>
        </w:rPr>
      </w:pPr>
    </w:p>
    <w:p>
      <w:pPr>
        <w:jc w:val="both"/>
        <w:ind w:left="640" w:hanging="313"/>
        <w:spacing w:after="0" w:line="247" w:lineRule="auto"/>
        <w:tabs>
          <w:tab w:leader="none" w:pos="63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restrictions and vesting requirements applicable to any award based solely on the continued service of the participant shall terminate and such awards shall be settled and paid in cash or shares of our common stock as provided in the award agreement as soon as practicable thereafter but in any event within 30 days following the date of such change in control, subject to the delay, if any, required under the 2026 Plan; provided, however that if any such payment is to be made in shares of our common stock, the holders thereof shall receive the same consideration provided to other similarly situated stockholders in such change in control.</w:t>
      </w:r>
    </w:p>
    <w:p>
      <w:pPr>
        <w:spacing w:after="0" w:line="202" w:lineRule="exact"/>
        <w:rPr>
          <w:rFonts w:ascii="Arial" w:cs="Arial" w:eastAsia="Arial" w:hAnsi="Arial"/>
          <w:sz w:val="18"/>
          <w:szCs w:val="18"/>
          <w:color w:val="auto"/>
        </w:rPr>
      </w:pPr>
    </w:p>
    <w:p>
      <w:pPr>
        <w:jc w:val="both"/>
        <w:ind w:left="640" w:hanging="313"/>
        <w:spacing w:after="0"/>
        <w:tabs>
          <w:tab w:leader="none" w:pos="63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vested and earned awards that are performance-based for which the performance period has been completed as of the date of such change in control but have not yet been paid shall be paid in cash or shares of our common stock and at such time as provided in the award agreement as soon as practicable thereafter but in any event within 30 days following the date of such change in control, subject to the delay, if any, required under the 2026 Plan; provided, however that if any such payment is to be made in shares of our common stock, the holders thereof shall receive the same consideration provided to other similarly situated stockholders in such change in control and all performance-based awards for which the performance period has not been completed as of the date of such change in control shall immediately vest and be earned in full, and paid out with respect to each performance goal based on the greater of (i) target performance; or (ii) actual performance achieved through the date of such change in control, in each case with the manner of payment to be made in cash or shares of our common stock as provided in the award agreement as soon as practicable thereafter but in any event within 30 days following the date of such change in control, subject to the delay, if any, required under the 2026 Plan; provided, however that if any such payment is to be made in shares of our common stock, the holders thereof shall receive the same consideration provided to other similarly situated stockholders in such change in control.</w:t>
      </w:r>
    </w:p>
    <w:p>
      <w:pPr>
        <w:spacing w:after="0" w:line="21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Generally, and subject to some exceptions, a change of control is deemed to have occurred if: (a) another person becomes the beneficial owner of at least 20% of our then-outstanding common stock or the combined voting power of our then-outstanding voting stock; (b) a majority of the Board becomes comprised of persons other than those for whom election proxies have been solicited by the Board; (c) the completion of certain business combinations, including certain reorganizations, mergers, consolidations, the sale of all or substantially all of our assets or the acquisition by us of assets or stock of another entity, where the stockholders before the business combination fail to beneficially own and have voting power for more than 50% of our Company or the resulting Company after the business combination; or (d) our stockholders approve a complete liquidation or dissolution of our Company.</w:t>
      </w:r>
    </w:p>
    <w:p>
      <w:pPr>
        <w:spacing w:after="0" w:line="205" w:lineRule="exact"/>
        <w:rPr>
          <w:sz w:val="20"/>
          <w:szCs w:val="20"/>
          <w:color w:val="auto"/>
        </w:rPr>
      </w:pPr>
    </w:p>
    <w:p>
      <w:pPr>
        <w:jc w:val="both"/>
        <w:ind w:firstLine="640"/>
        <w:spacing w:after="0" w:line="248" w:lineRule="auto"/>
        <w:rPr>
          <w:sz w:val="20"/>
          <w:szCs w:val="20"/>
          <w:color w:val="auto"/>
        </w:rPr>
      </w:pPr>
      <w:r>
        <w:rPr>
          <w:rFonts w:ascii="Arial" w:cs="Arial" w:eastAsia="Arial" w:hAnsi="Arial"/>
          <w:sz w:val="18"/>
          <w:szCs w:val="18"/>
          <w:b w:val="1"/>
          <w:bCs w:val="1"/>
          <w:color w:val="auto"/>
        </w:rPr>
        <w:t>No Repricing.</w:t>
      </w:r>
      <w:r>
        <w:rPr>
          <w:rFonts w:ascii="Arial" w:cs="Arial" w:eastAsia="Arial" w:hAnsi="Arial"/>
          <w:sz w:val="18"/>
          <w:szCs w:val="18"/>
          <w:color w:val="auto"/>
        </w:rPr>
        <w:t>    The Committee may not, without prior approval of the Company’s stockholders, seek to effect any repricing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granted, “underwater” option or SAR by: (a) amending or modifying the terms of the option or SAR to lower the exercise price or grant price; (b) canceling the underwater option or SAR in exchange for (i) cash; (ii) replacement options or SARs having a lower exercise price or grant price; or (iii) other awards; or (c) repurchasing the underwater options or SARs and granting new awards under the 2026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bookmarkStart w:id="90" w:name="page91"/>
    <w:bookmarkEnd w:id="90"/>
    <w:p>
      <w:pPr>
        <w:jc w:val="both"/>
        <w:spacing w:after="0" w:line="262" w:lineRule="auto"/>
        <w:rPr>
          <w:sz w:val="20"/>
          <w:szCs w:val="20"/>
          <w:color w:val="auto"/>
        </w:rPr>
      </w:pPr>
      <w:r>
        <w:rPr>
          <w:rFonts w:ascii="Arial" w:cs="Arial" w:eastAsia="Arial" w:hAnsi="Arial"/>
          <w:sz w:val="18"/>
          <w:szCs w:val="18"/>
          <w:color w:val="auto"/>
        </w:rPr>
        <w:t>except for any adjustments required in connection with certain corporate transactions and other actions as described under the heading “Summary of the 2026 Plan Features—Adjustments.”</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Term.  </w:t>
      </w:r>
      <w:r>
        <w:rPr>
          <w:rFonts w:ascii="Arial" w:cs="Arial" w:eastAsia="Arial" w:hAnsi="Arial"/>
          <w:sz w:val="17"/>
          <w:szCs w:val="17"/>
          <w:color w:val="auto"/>
        </w:rPr>
        <w:t>  Unless sooner terminated by the Board, the 2026 Plan will terminate 10 years from the date it is approved by our stockholders.</w:t>
      </w:r>
    </w:p>
    <w:p>
      <w:pPr>
        <w:spacing w:after="0" w:line="245" w:lineRule="exact"/>
        <w:rPr>
          <w:sz w:val="20"/>
          <w:szCs w:val="20"/>
          <w:color w:val="auto"/>
        </w:rPr>
      </w:pPr>
    </w:p>
    <w:p>
      <w:pPr>
        <w:jc w:val="both"/>
        <w:ind w:firstLine="640"/>
        <w:spacing w:after="0" w:line="242" w:lineRule="auto"/>
        <w:rPr>
          <w:sz w:val="20"/>
          <w:szCs w:val="20"/>
          <w:color w:val="auto"/>
        </w:rPr>
      </w:pPr>
      <w:r>
        <w:rPr>
          <w:rFonts w:ascii="Arial" w:cs="Arial" w:eastAsia="Arial" w:hAnsi="Arial"/>
          <w:sz w:val="18"/>
          <w:szCs w:val="18"/>
          <w:b w:val="1"/>
          <w:bCs w:val="1"/>
          <w:color w:val="auto"/>
        </w:rPr>
        <w:t>Termination or Amendment.  </w:t>
      </w:r>
      <w:r>
        <w:rPr>
          <w:rFonts w:ascii="Arial" w:cs="Arial" w:eastAsia="Arial" w:hAnsi="Arial"/>
          <w:sz w:val="18"/>
          <w:szCs w:val="18"/>
          <w:color w:val="auto"/>
        </w:rPr>
        <w:t>  Subject to certain exceptions, the Board has the authority to terminate and the Committee has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to amend the 2026 Plan or any outstanding award agreement at any time and from time to time provided that any amendment to the 2026 Plan will not become effective without stockholder approval (a) to increase the maximum number of shares of our common stock which may be issued pursuant to the 2026 Plan, (b) to increase any limitation set forth in the 2026 Plan on the number of shares of our common stock which may be issued, (c) to change the class of individuals eligible to participate in the 2026 Plan, (d) to reduce the minimum exercise price of any option or SAR, (e) reduce the minimum one-year vesting periods, or (f) if such approval is otherwise required to comply with applicable laws, rules or regulations.</w:t>
      </w:r>
    </w:p>
    <w:p>
      <w:pPr>
        <w:spacing w:after="0" w:line="209" w:lineRule="exact"/>
        <w:rPr>
          <w:sz w:val="20"/>
          <w:szCs w:val="20"/>
          <w:color w:val="auto"/>
        </w:rPr>
      </w:pPr>
    </w:p>
    <w:p>
      <w:pPr>
        <w:jc w:val="both"/>
        <w:ind w:firstLine="640"/>
        <w:spacing w:after="0" w:line="277" w:lineRule="auto"/>
        <w:rPr>
          <w:sz w:val="20"/>
          <w:szCs w:val="20"/>
          <w:color w:val="auto"/>
        </w:rPr>
      </w:pPr>
      <w:r>
        <w:rPr>
          <w:rFonts w:ascii="Arial" w:cs="Arial" w:eastAsia="Arial" w:hAnsi="Arial"/>
          <w:sz w:val="18"/>
          <w:szCs w:val="18"/>
          <w:color w:val="auto"/>
        </w:rPr>
        <w:t>No termination or amendment of the 2026 Plan or an award agreement shall adversely affect in any material way any award previously granted under the 2026 Plan without the written consent of the participant holding such award.</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U.S. Federal Income Tax Information</w:t>
      </w:r>
    </w:p>
    <w:p>
      <w:pPr>
        <w:spacing w:after="0" w:line="244"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18"/>
          <w:szCs w:val="18"/>
          <w:color w:val="auto"/>
        </w:rPr>
        <w:t>The following is a general summary, as of the date of this proxy statement, of the U.S. federal income tax consequences to participants and the Company of transactions under the 2026 Plan. This summary is intended for the information of stockholders considering how to vote at the annual meeting and not as tax guidance to participants in the 2026 Plan, as the consequences may vary with the types of grants made, the identity of the participant and the method of payment or settlement. This summary does not address the effects of other federal taxes or taxes imposed under state, local or foreign tax laws. Participants are encouraged to seek the advice of a qualified tax advisor regarding the tax consequences of participation in the 2026 Plan.</w:t>
      </w:r>
    </w:p>
    <w:p>
      <w:pPr>
        <w:spacing w:after="0" w:line="219" w:lineRule="exact"/>
        <w:rPr>
          <w:sz w:val="20"/>
          <w:szCs w:val="20"/>
          <w:color w:val="auto"/>
        </w:rPr>
      </w:pPr>
    </w:p>
    <w:p>
      <w:pPr>
        <w:jc w:val="both"/>
        <w:ind w:firstLine="640"/>
        <w:spacing w:after="0"/>
        <w:rPr>
          <w:sz w:val="20"/>
          <w:szCs w:val="20"/>
          <w:color w:val="auto"/>
        </w:rPr>
      </w:pPr>
      <w:r>
        <w:rPr>
          <w:rFonts w:ascii="Arial" w:cs="Arial" w:eastAsia="Arial" w:hAnsi="Arial"/>
          <w:sz w:val="18"/>
          <w:szCs w:val="18"/>
          <w:b w:val="1"/>
          <w:bCs w:val="1"/>
          <w:color w:val="auto"/>
        </w:rPr>
        <w:t>Incentive Stock Options.   </w:t>
      </w:r>
      <w:r>
        <w:rPr>
          <w:rFonts w:ascii="Arial" w:cs="Arial" w:eastAsia="Arial" w:hAnsi="Arial"/>
          <w:sz w:val="18"/>
          <w:szCs w:val="18"/>
          <w:color w:val="auto"/>
        </w:rPr>
        <w:t> With respect to incentive stock options, generally, the stock option holder is not taxed, and we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a deduction, on either the grant or the exercise of an incentive stock option so long as the requirements of Code Section 422 continue to be met. If the stock option holder meets the employment requirements and does not dispose of the shares of our common stock acquired upon exercise of an incentive stock option until at least one year after date of the exercise of the stock option and at least two years after the date the stock option was granted, gain or loss realized on sale of the shares will be treated as long-term capital gain or loss. If the shares of our common stock are disposed of before those periods expire, which is called a disqualifying disposition, the stock option holder will be required to recognize ordinary income in an amount equal to the lesser of (i) the excess, if any, of the fair market value of our common stock on the date of exercise over the exercise price, or (ii) if the disposition is a taxable sale or exchange, the amount of gain realized. Upon a disqualifying disposition, we will generally be entitled, in the same tax year, to a deduction equal to the amount of ordinary income recognized by the stock option holder, assuming a deduction is allowed under Code Section 162(m).</w:t>
      </w:r>
    </w:p>
    <w:p>
      <w:pPr>
        <w:spacing w:after="0" w:line="212" w:lineRule="exact"/>
        <w:rPr>
          <w:sz w:val="20"/>
          <w:szCs w:val="20"/>
          <w:color w:val="auto"/>
        </w:rPr>
      </w:pPr>
    </w:p>
    <w:p>
      <w:pPr>
        <w:jc w:val="both"/>
        <w:ind w:firstLine="640"/>
        <w:spacing w:after="0" w:line="242" w:lineRule="auto"/>
        <w:rPr>
          <w:sz w:val="20"/>
          <w:szCs w:val="20"/>
          <w:color w:val="auto"/>
        </w:rPr>
      </w:pPr>
      <w:r>
        <w:rPr>
          <w:rFonts w:ascii="Arial" w:cs="Arial" w:eastAsia="Arial" w:hAnsi="Arial"/>
          <w:sz w:val="18"/>
          <w:szCs w:val="18"/>
          <w:b w:val="1"/>
          <w:bCs w:val="1"/>
          <w:color w:val="auto"/>
        </w:rPr>
        <w:t>Non-Qualified Stock Options.</w:t>
      </w:r>
      <w:r>
        <w:rPr>
          <w:rFonts w:ascii="Arial" w:cs="Arial" w:eastAsia="Arial" w:hAnsi="Arial"/>
          <w:sz w:val="18"/>
          <w:szCs w:val="18"/>
          <w:color w:val="auto"/>
        </w:rPr>
        <w:t>    The grant of a stock option that does not qualify for treatment as an incentive stock option,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referred to as a non-qualified or non-statutory stock option, is generally not a taxable event for the stock option holder. Upon exercise of the stock option, the stock option holder will generally be required to recognize ordinary income in an amount equal to the excess of the fair market value of our common stock acquired upon exercise (determined as of the date of exercise) over the exercise price of the stock option, and we will be entitled to a deduction in an equal amount in the same tax year, assuming a deduction is allowed under Code Section 162(m). At the time of a subsequent sale or disposition of shares obtained upon exercise of the stock option, any gain or loss will be a capital gain or loss, which will be either a long-term or short-term capital gain or loss, depending on how long the shares have been held.</w:t>
      </w:r>
    </w:p>
    <w:p>
      <w:pPr>
        <w:spacing w:after="0" w:line="207" w:lineRule="exact"/>
        <w:rPr>
          <w:sz w:val="20"/>
          <w:szCs w:val="20"/>
          <w:color w:val="auto"/>
        </w:rPr>
      </w:pPr>
    </w:p>
    <w:p>
      <w:pPr>
        <w:jc w:val="both"/>
        <w:ind w:firstLine="640"/>
        <w:spacing w:after="0" w:line="256" w:lineRule="auto"/>
        <w:rPr>
          <w:sz w:val="20"/>
          <w:szCs w:val="20"/>
          <w:color w:val="auto"/>
        </w:rPr>
      </w:pPr>
      <w:r>
        <w:rPr>
          <w:rFonts w:ascii="Arial" w:cs="Arial" w:eastAsia="Arial" w:hAnsi="Arial"/>
          <w:sz w:val="18"/>
          <w:szCs w:val="18"/>
          <w:b w:val="1"/>
          <w:bCs w:val="1"/>
          <w:color w:val="auto"/>
        </w:rPr>
        <w:t>SARs. </w:t>
      </w:r>
      <w:r>
        <w:rPr>
          <w:rFonts w:ascii="Arial" w:cs="Arial" w:eastAsia="Arial" w:hAnsi="Arial"/>
          <w:sz w:val="18"/>
          <w:szCs w:val="18"/>
          <w:color w:val="auto"/>
        </w:rPr>
        <w:t>   The grant of an SAR will not cause the participant to recognize ordinary income or entitle us to a deduction for federal income</w:t>
      </w:r>
      <w:r>
        <w:rPr>
          <w:rFonts w:ascii="Arial" w:cs="Arial" w:eastAsia="Arial" w:hAnsi="Arial"/>
          <w:sz w:val="18"/>
          <w:szCs w:val="18"/>
          <w:b w:val="1"/>
          <w:bCs w:val="1"/>
          <w:color w:val="auto"/>
        </w:rPr>
        <w:t xml:space="preserve"> </w:t>
      </w:r>
      <w:r>
        <w:rPr>
          <w:rFonts w:ascii="Arial" w:cs="Arial" w:eastAsia="Arial" w:hAnsi="Arial"/>
          <w:sz w:val="18"/>
          <w:szCs w:val="18"/>
          <w:color w:val="auto"/>
        </w:rPr>
        <w:t>tax purposes. Upon the exercise of an SAR, the participant will recognize ordinary income in the amount of the cash or the value of shares payable to the participant (before reduction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91" w:name="page92"/>
    <w:bookmarkEnd w:id="91"/>
    <w:p>
      <w:pPr>
        <w:jc w:val="both"/>
        <w:spacing w:after="0" w:line="262" w:lineRule="auto"/>
        <w:rPr>
          <w:sz w:val="20"/>
          <w:szCs w:val="20"/>
          <w:color w:val="auto"/>
        </w:rPr>
      </w:pPr>
      <w:r>
        <w:rPr>
          <w:rFonts w:ascii="Arial" w:cs="Arial" w:eastAsia="Arial" w:hAnsi="Arial"/>
          <w:sz w:val="18"/>
          <w:szCs w:val="18"/>
          <w:color w:val="auto"/>
        </w:rPr>
        <w:t>withholding taxes), and we will receive a corresponding deduction in an amount equal to the ordinary income recognized by the participant, assuming a deduction is allowed under Code Section 162(m).</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Restricted Stock, RSUs, Performance Shares, Performance Units and Other Stock-Based Awards. </w:t>
      </w:r>
      <w:r>
        <w:rPr>
          <w:rFonts w:ascii="Arial" w:cs="Arial" w:eastAsia="Arial" w:hAnsi="Arial"/>
          <w:sz w:val="18"/>
          <w:szCs w:val="18"/>
          <w:color w:val="auto"/>
        </w:rPr>
        <w:t>The federal income tax</w:t>
      </w:r>
    </w:p>
    <w:p>
      <w:pPr>
        <w:spacing w:after="0" w:line="2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consequences with respect to restricted stock, RSUs, performance shares and performance units, and other stock unit and stock-based awards depend on the facts and circumstances of each award, including, in particular, the nature of any restrictions imposed with respect to the awards. In general, if an award of stock granted to the participant is subject to a “substantial risk of forfeiture” (e.g., the award is conditioned upon the future performance of substantial services by the participant) and is nontransferable, a taxable event occurs when the risk of forfeiture ceases or the awards become transferable, whichever first occurs. At such time, the participant will recognize ordinary income to the extent of the excess of the fair market value of the stock on such date over the participant’s cost for such stock (if any), and the same amount is deductible by us, assuming a deduction is allowed under Code Section 162(m). Under certain circumstances, the participant, by making an election under Code Section 83(b), can accelerate federal income tax recognition with respect to an award of stock subject to a substantial risk of forfeiture and transferability restrictions, in which event the ordinary income amount and our deduction (assuming a deduction is allowed under Code Section 162(m)) will be measured and timed as of the grant date of the award. If the stock award granted to the participant is not subject to a substantial risk of forfeiture or transferability restrictions, the participant will recognize ordinary income with respect to the award to the extent of the excess of the fair market value of the stock at the time of grant over the participant’s cost, if any, and the same amount is deductible by us, assuming a deduction is allowed under Code Section 162(m). If a stock unit award or other stock-based award is granted but no stock is actually issued to the participant at the time the award is granted, the participant will recognize ordinary income at the time the participant receives the stock free of any substantial risk of forfeiture (or receives cash in lieu of such stock) and the amount of such income will be equal to the fair market value of the stock at such time over the participant’s cost, if any, and the same amount is then deductible by us, assuming a deduction is allowed under Code Section 162(m).</w:t>
      </w:r>
    </w:p>
    <w:p>
      <w:pPr>
        <w:spacing w:after="0" w:line="230"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18"/>
          <w:szCs w:val="18"/>
          <w:b w:val="1"/>
          <w:bCs w:val="1"/>
          <w:color w:val="auto"/>
        </w:rPr>
        <w:t>Withholding Obligations.  </w:t>
      </w:r>
      <w:r>
        <w:rPr>
          <w:rFonts w:ascii="Arial" w:cs="Arial" w:eastAsia="Arial" w:hAnsi="Arial"/>
          <w:sz w:val="18"/>
          <w:szCs w:val="18"/>
          <w:color w:val="auto"/>
        </w:rPr>
        <w:t>  We are entitled to withhold and deduct from future wages of the participant, to make other arrangements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collection of, or to require the recipient to pay to us, an amount necessary for us to satisfy the recipient’s federal, state or local tax withholding obligations with respect to awards granted under the 2026 Plan. Withholding for taxes may be calculated based on the maximum applicable tax rate for the participant’s jurisdiction or such other rate that will not trigger a negative accounting impact on the Company. The Committee may permit a participant to satisfy a tax withholding obligation by withholding shares of common stock underlying an award, tendering previously acquired shares, delivery of a broker exercise notice or a combination of these methods.</w:t>
      </w:r>
    </w:p>
    <w:p>
      <w:pPr>
        <w:spacing w:after="0" w:line="221" w:lineRule="exact"/>
        <w:rPr>
          <w:sz w:val="20"/>
          <w:szCs w:val="20"/>
          <w:color w:val="auto"/>
        </w:rPr>
      </w:pPr>
    </w:p>
    <w:p>
      <w:pPr>
        <w:jc w:val="both"/>
        <w:ind w:firstLine="640"/>
        <w:spacing w:after="0" w:line="248" w:lineRule="auto"/>
        <w:rPr>
          <w:sz w:val="20"/>
          <w:szCs w:val="20"/>
          <w:color w:val="auto"/>
        </w:rPr>
      </w:pPr>
      <w:r>
        <w:rPr>
          <w:rFonts w:ascii="Arial" w:cs="Arial" w:eastAsia="Arial" w:hAnsi="Arial"/>
          <w:sz w:val="18"/>
          <w:szCs w:val="18"/>
          <w:b w:val="1"/>
          <w:bCs w:val="1"/>
          <w:color w:val="auto"/>
        </w:rPr>
        <w:t>Code Section 409A.</w:t>
      </w:r>
      <w:r>
        <w:rPr>
          <w:rFonts w:ascii="Arial" w:cs="Arial" w:eastAsia="Arial" w:hAnsi="Arial"/>
          <w:sz w:val="18"/>
          <w:szCs w:val="18"/>
          <w:color w:val="auto"/>
        </w:rPr>
        <w:t>    A grant may be subject to a 20% penalty tax, in addition to ordinary income tax, at the time the grant becomes</w:t>
      </w:r>
      <w:r>
        <w:rPr>
          <w:rFonts w:ascii="Arial" w:cs="Arial" w:eastAsia="Arial" w:hAnsi="Arial"/>
          <w:sz w:val="18"/>
          <w:szCs w:val="18"/>
          <w:b w:val="1"/>
          <w:bCs w:val="1"/>
          <w:color w:val="auto"/>
        </w:rPr>
        <w:t xml:space="preserve"> </w:t>
      </w:r>
      <w:r>
        <w:rPr>
          <w:rFonts w:ascii="Arial" w:cs="Arial" w:eastAsia="Arial" w:hAnsi="Arial"/>
          <w:sz w:val="18"/>
          <w:szCs w:val="18"/>
          <w:color w:val="auto"/>
        </w:rPr>
        <w:t>vested, plus an interest penalty tax, if the grant constitutes deferred compensation under Code Section 409A and the requirements of Code Section 409A are not satisfied.</w:t>
      </w:r>
    </w:p>
    <w:p>
      <w:pPr>
        <w:spacing w:after="0" w:line="212" w:lineRule="exact"/>
        <w:rPr>
          <w:sz w:val="20"/>
          <w:szCs w:val="20"/>
          <w:color w:val="auto"/>
        </w:rPr>
      </w:pPr>
    </w:p>
    <w:p>
      <w:pPr>
        <w:jc w:val="both"/>
        <w:ind w:firstLine="640"/>
        <w:spacing w:after="0"/>
        <w:rPr>
          <w:sz w:val="20"/>
          <w:szCs w:val="20"/>
          <w:color w:val="auto"/>
        </w:rPr>
      </w:pPr>
      <w:r>
        <w:rPr>
          <w:rFonts w:ascii="Arial" w:cs="Arial" w:eastAsia="Arial" w:hAnsi="Arial"/>
          <w:sz w:val="18"/>
          <w:szCs w:val="18"/>
          <w:b w:val="1"/>
          <w:bCs w:val="1"/>
          <w:color w:val="auto"/>
        </w:rPr>
        <w:t>Code Section 162(m). </w:t>
      </w:r>
      <w:r>
        <w:rPr>
          <w:rFonts w:ascii="Arial" w:cs="Arial" w:eastAsia="Arial" w:hAnsi="Arial"/>
          <w:sz w:val="18"/>
          <w:szCs w:val="18"/>
          <w:color w:val="auto"/>
        </w:rPr>
        <w:t>   Pursuant to Code Section 162(m), the annual compensation paid to an individual who is a “covered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is not deductible to the extent it exceeds $1 million. The Tax Cut and Jobs Act, signed into law on December 22, 2017 (the Tax Act), amended Code Section 162(m), effective for tax years beginning after December 31, 2017, (i) to expand the definition of a “covered employee” to include any person who was the Chief Executive Officer or the Chief Financial Officer at any time during the year and the three most highly compensated officers (other than the Chief Executive Officer or the Chief Financial Officer) who were employed at any time during the year whether or not the compensation is reported in the Summary Compensation Table included in our proxy statement for our Annual Meeting of Stockholders; (ii) to treat any individual who is considered a covered employee at any time during a tax year beginning after December 31, 2017, as remaining a covered employee permanently; and (iii) to eliminate the performance-based compensation exception to the $ 1 million deduction limit (with a transition provision continuing the performance-based exception for certain compensation covered by a written binding contract in existence on November 2, 2017).</w:t>
      </w:r>
    </w:p>
    <w:p>
      <w:pPr>
        <w:spacing w:after="0" w:line="212" w:lineRule="exact"/>
        <w:rPr>
          <w:sz w:val="20"/>
          <w:szCs w:val="20"/>
          <w:color w:val="auto"/>
        </w:rPr>
      </w:pPr>
    </w:p>
    <w:p>
      <w:pPr>
        <w:jc w:val="both"/>
        <w:ind w:firstLine="640"/>
        <w:spacing w:after="0" w:line="256" w:lineRule="auto"/>
        <w:rPr>
          <w:sz w:val="20"/>
          <w:szCs w:val="20"/>
          <w:color w:val="auto"/>
        </w:rPr>
      </w:pPr>
      <w:r>
        <w:rPr>
          <w:rFonts w:ascii="Arial" w:cs="Arial" w:eastAsia="Arial" w:hAnsi="Arial"/>
          <w:sz w:val="18"/>
          <w:szCs w:val="18"/>
          <w:b w:val="1"/>
          <w:bCs w:val="1"/>
          <w:color w:val="auto"/>
        </w:rPr>
        <w:t>Excise Tax on Parachute Payments.  </w:t>
      </w:r>
      <w:r>
        <w:rPr>
          <w:rFonts w:ascii="Arial" w:cs="Arial" w:eastAsia="Arial" w:hAnsi="Arial"/>
          <w:sz w:val="18"/>
          <w:szCs w:val="18"/>
          <w:color w:val="auto"/>
        </w:rPr>
        <w:t>  Unless otherwise provided in a separate agreement between a participant and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if, with respect to a participant, the acceleration of the vesting of an award or the payment of cash in exchange for all or part of an award, together with any other payments such participant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92" w:name="page93"/>
    <w:bookmarkEnd w:id="92"/>
    <w:p>
      <w:pPr>
        <w:jc w:val="both"/>
        <w:spacing w:after="0" w:line="242" w:lineRule="auto"/>
        <w:rPr>
          <w:sz w:val="20"/>
          <w:szCs w:val="20"/>
          <w:color w:val="auto"/>
        </w:rPr>
      </w:pPr>
      <w:r>
        <w:rPr>
          <w:rFonts w:ascii="Arial" w:cs="Arial" w:eastAsia="Arial" w:hAnsi="Arial"/>
          <w:sz w:val="18"/>
          <w:szCs w:val="18"/>
          <w:color w:val="auto"/>
        </w:rPr>
        <w:t>the right to receive from the Company, would constitute a “parachute payment” then the payments to such participant will be reduced to the largest amount as will result in no portion of such payments being subject to the excise tax imposed by Code Section 4999. Such reduction, however, will only be made if the aggregate amount of the payments after such reduction exceeds the difference between the amount of such payments absent such reduction minus the aggregate amount of the excise tax imposed under Code Section 4999 attributable to any such excess parachute payments. If such provisions are applicable and if an employee will be subject to a 20% excise tax on any “excess parachute payment” pursuant to Code Section 4999, we will be denied a deduction with respect to such excess parachute payment pursuant to Code Section 280G.</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New Plan Benefits</w:t>
      </w:r>
    </w:p>
    <w:p>
      <w:pPr>
        <w:spacing w:after="0" w:line="244" w:lineRule="exact"/>
        <w:rPr>
          <w:sz w:val="20"/>
          <w:szCs w:val="20"/>
          <w:color w:val="auto"/>
        </w:rPr>
      </w:pPr>
    </w:p>
    <w:p>
      <w:pPr>
        <w:jc w:val="both"/>
        <w:spacing w:after="0"/>
        <w:rPr>
          <w:sz w:val="20"/>
          <w:szCs w:val="20"/>
          <w:color w:val="auto"/>
        </w:rPr>
      </w:pPr>
      <w:r>
        <w:rPr>
          <w:rFonts w:ascii="Arial" w:cs="Arial" w:eastAsia="Arial" w:hAnsi="Arial"/>
          <w:sz w:val="18"/>
          <w:szCs w:val="18"/>
          <w:color w:val="auto"/>
        </w:rPr>
        <w:t>No awards have been granted under the 2026 Plan. It presently is not possible to determine the benefits or amounts that will be received by or allocated to participants under the 2026 Plan or would have been received by or allocated to participants for the last completed fiscal year if the 2026 Plan then had been in effect because awards under the 2026 Plan will be made at the discretion of the Committee. Further, since any automatic awards to our non-employee directors will depend on the nonemployee directors’ continued service and the Board’s discretion to vary the type and terms of those awards in the future, it is not possible to determine the exact number of shares of our common stock that will be subject to such awards. However, under the policy currently in effect, each person serving as a nonemployee director on the first business day of our fiscal year is automatically granted a stock award and stock option award, as described in more detail under the heading “Director Compensation.”</w:t>
      </w:r>
    </w:p>
    <w:p>
      <w:pPr>
        <w:spacing w:after="0" w:line="124" w:lineRule="exact"/>
        <w:rPr>
          <w:sz w:val="20"/>
          <w:szCs w:val="20"/>
          <w:color w:val="auto"/>
        </w:rPr>
      </w:pPr>
    </w:p>
    <w:tbl>
      <w:tblPr>
        <w:tblLayout w:type="fixed"/>
        <w:tblInd w:w="240" w:type="dxa"/>
        <w:tblCellMar>
          <w:top w:w="0" w:type="dxa"/>
          <w:left w:w="0" w:type="dxa"/>
          <w:bottom w:w="0" w:type="dxa"/>
          <w:right w:w="0" w:type="dxa"/>
        </w:tblCellMar>
      </w:tblPr>
      <w:tr>
        <w:trPr>
          <w:trHeight w:val="424"/>
        </w:trPr>
        <w:tc>
          <w:tcPr>
            <w:tcW w:w="9740" w:type="dxa"/>
            <w:vAlign w:val="bottom"/>
          </w:tcPr>
          <w:p>
            <w:pPr>
              <w:jc w:val="center"/>
              <w:ind w:right="193"/>
              <w:spacing w:after="0"/>
              <w:rPr>
                <w:sz w:val="20"/>
                <w:szCs w:val="20"/>
                <w:color w:val="auto"/>
              </w:rPr>
            </w:pPr>
            <w:r>
              <w:rPr>
                <w:rFonts w:ascii="Arial" w:cs="Arial" w:eastAsia="Arial" w:hAnsi="Arial"/>
                <w:sz w:val="21"/>
                <w:szCs w:val="21"/>
                <w:b w:val="1"/>
                <w:bCs w:val="1"/>
                <w:color w:val="FFFFFF"/>
              </w:rPr>
              <w:t>The Board of Directors Recommends a Vote FOR Approval of The Toro Company 2026 Equity</w:t>
            </w:r>
          </w:p>
        </w:tc>
        <w:tc>
          <w:tcPr>
            <w:tcW w:w="720" w:type="dxa"/>
            <w:vAlign w:val="bottom"/>
            <w:vMerge w:val="restart"/>
          </w:tcPr>
          <w:p>
            <w:pPr>
              <w:ind w:left="280"/>
              <w:spacing w:after="0" w:line="501" w:lineRule="exact"/>
              <w:rPr>
                <w:sz w:val="20"/>
                <w:szCs w:val="20"/>
                <w:color w:val="auto"/>
              </w:rPr>
            </w:pPr>
            <w:r>
              <w:rPr>
                <w:rFonts w:ascii="MS PGothic" w:cs="MS PGothic" w:eastAsia="MS PGothic" w:hAnsi="MS PGothic"/>
                <w:sz w:val="50"/>
                <w:szCs w:val="50"/>
                <w:color w:val="auto"/>
                <w:highlight w:val="white"/>
                <w:w w:val="83"/>
              </w:rPr>
              <w:t>☑</w:t>
            </w:r>
          </w:p>
        </w:tc>
        <w:tc>
          <w:tcPr>
            <w:tcW w:w="0" w:type="dxa"/>
            <w:vAlign w:val="bottom"/>
          </w:tcPr>
          <w:p>
            <w:pPr>
              <w:spacing w:after="0"/>
              <w:rPr>
                <w:sz w:val="1"/>
                <w:szCs w:val="1"/>
                <w:color w:val="auto"/>
              </w:rPr>
            </w:pPr>
          </w:p>
        </w:tc>
      </w:tr>
      <w:tr>
        <w:trPr>
          <w:trHeight w:val="419"/>
        </w:trPr>
        <w:tc>
          <w:tcPr>
            <w:tcW w:w="9740" w:type="dxa"/>
            <w:vAlign w:val="bottom"/>
          </w:tcPr>
          <w:p>
            <w:pPr>
              <w:jc w:val="center"/>
              <w:ind w:right="193"/>
              <w:spacing w:after="0"/>
              <w:rPr>
                <w:sz w:val="20"/>
                <w:szCs w:val="20"/>
                <w:color w:val="auto"/>
              </w:rPr>
            </w:pPr>
            <w:r>
              <w:rPr>
                <w:rFonts w:ascii="Arial" w:cs="Arial" w:eastAsia="Arial" w:hAnsi="Arial"/>
                <w:sz w:val="21"/>
                <w:szCs w:val="21"/>
                <w:b w:val="1"/>
                <w:bCs w:val="1"/>
                <w:color w:val="FFFFFF"/>
              </w:rPr>
              <w:t>Plan.</w:t>
            </w:r>
          </w:p>
        </w:tc>
        <w:tc>
          <w:tcPr>
            <w:tcW w:w="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-441960</wp:posOffset>
            </wp:positionV>
            <wp:extent cx="6998335" cy="398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8335" cy="39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93" w:name="page94"/>
    <w:bookmarkEnd w:id="93"/>
    <w:p>
      <w:pPr>
        <w:spacing w:after="0" w:line="19" w:lineRule="exact"/>
        <w:rPr>
          <w:sz w:val="20"/>
          <w:szCs w:val="20"/>
          <w:color w:val="auto"/>
        </w:rPr>
      </w:pPr>
    </w:p>
    <w:p>
      <w:pPr>
        <w:jc w:val="center"/>
        <w:ind w:left="340" w:right="80"/>
        <w:spacing w:after="0" w:line="265" w:lineRule="auto"/>
        <w:rPr>
          <w:sz w:val="20"/>
          <w:szCs w:val="20"/>
          <w:color w:val="auto"/>
        </w:rPr>
      </w:pPr>
      <w:r>
        <w:rPr>
          <w:rFonts w:ascii="Arial" w:cs="Arial" w:eastAsia="Arial" w:hAnsi="Arial"/>
          <w:sz w:val="21"/>
          <w:szCs w:val="21"/>
          <w:b w:val="1"/>
          <w:bCs w:val="1"/>
          <w:color w:val="FFFFFF"/>
        </w:rPr>
        <w:t>PROPOSAL FIVE—APPROVAL OF AN AMENDMENT TO THE COMPANY'S RESTATED CERTIFICATE OF INCORPORATION TO ELIMINATE OR LIMIT LIABILITY OF OFFICERS AS PROVIDED UNDER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-328295</wp:posOffset>
            </wp:positionV>
            <wp:extent cx="7134225" cy="3048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Overview of Proposed Exculpation Charter Amendment</w:t>
      </w:r>
    </w:p>
    <w:p>
      <w:pPr>
        <w:spacing w:after="0" w:line="250" w:lineRule="exact"/>
        <w:rPr>
          <w:sz w:val="20"/>
          <w:szCs w:val="20"/>
          <w:color w:val="auto"/>
        </w:rPr>
      </w:pPr>
    </w:p>
    <w:p>
      <w:pPr>
        <w:jc w:val="both"/>
        <w:ind w:firstLine="640"/>
        <w:spacing w:after="0" w:line="243" w:lineRule="auto"/>
        <w:rPr>
          <w:sz w:val="20"/>
          <w:szCs w:val="20"/>
          <w:color w:val="auto"/>
        </w:rPr>
      </w:pPr>
      <w:r>
        <w:rPr>
          <w:rFonts w:ascii="Arial" w:cs="Arial" w:eastAsia="Arial" w:hAnsi="Arial"/>
          <w:sz w:val="18"/>
          <w:szCs w:val="18"/>
          <w:color w:val="auto"/>
        </w:rPr>
        <w:t>Our Board of Directors has approved, adopted and declared advisable, and recommends that the Company’s stockholders approve and adopt an amendment to the Company's Amended and Restated Certificate of Incorporation (the “Charter”) to eliminate or limit the liability of officers to the fullest extent permitted by the General Corporation Law of the State of Delaware (the “DGCL”) and to make clear that exculpation for officers and directors are to the fullest extent permitted by the DGCL (the “Exculpation Charter Amendment”). The current exculpation protections available to the directors will remain unchanged as a result of the Exculpation Charter Amendment.</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Background of Proposed Exculpation Charter Amendment</w:t>
      </w:r>
    </w:p>
    <w:p>
      <w:pPr>
        <w:spacing w:after="0" w:line="237" w:lineRule="exact"/>
        <w:rPr>
          <w:sz w:val="20"/>
          <w:szCs w:val="20"/>
          <w:color w:val="auto"/>
        </w:rPr>
      </w:pPr>
    </w:p>
    <w:p>
      <w:pPr>
        <w:jc w:val="both"/>
        <w:ind w:firstLine="640"/>
        <w:spacing w:after="0" w:line="237" w:lineRule="auto"/>
        <w:rPr>
          <w:sz w:val="20"/>
          <w:szCs w:val="20"/>
          <w:color w:val="auto"/>
        </w:rPr>
      </w:pPr>
      <w:r>
        <w:rPr>
          <w:rFonts w:ascii="Arial" w:cs="Arial" w:eastAsia="Arial" w:hAnsi="Arial"/>
          <w:sz w:val="18"/>
          <w:szCs w:val="18"/>
          <w:color w:val="auto"/>
        </w:rPr>
        <w:t>Pursuant to and consistent with Section 102(b)(7) of the DGCL, Article X, Section 1 of the Charter already eliminates the monetary liability of directors to the fullest extent permitted by the DGCL. Effective August 1, 2022, Section 102(b)(7) was amended to permit Delaware corporations, like the Company, to include in their certificates of incorporation limitations of monetary liability for certain senior corporate officers, such as a president, chief executive officer, chief operating officer, chief financial officer, chief legal officer, controller, treasurer, and chief accounting officer, and any other person who is or was identified in our public filings with the SEC as one of our most highly compensated executive officers and any person who has, by written agreement with us, consented to being identified as an officer for purposes of being served process in the State of Delaware for certain proceedings relating to breach of duty as an officer.</w:t>
      </w:r>
    </w:p>
    <w:p>
      <w:pPr>
        <w:spacing w:after="0" w:line="224" w:lineRule="exact"/>
        <w:rPr>
          <w:sz w:val="20"/>
          <w:szCs w:val="20"/>
          <w:color w:val="auto"/>
        </w:rPr>
      </w:pPr>
    </w:p>
    <w:p>
      <w:pPr>
        <w:jc w:val="both"/>
        <w:ind w:firstLine="640"/>
        <w:spacing w:after="0"/>
        <w:rPr>
          <w:sz w:val="20"/>
          <w:szCs w:val="20"/>
          <w:color w:val="auto"/>
        </w:rPr>
      </w:pPr>
      <w:r>
        <w:rPr>
          <w:rFonts w:ascii="Arial" w:cs="Arial" w:eastAsia="Arial" w:hAnsi="Arial"/>
          <w:sz w:val="18"/>
          <w:szCs w:val="18"/>
          <w:color w:val="auto"/>
        </w:rPr>
        <w:t>Consistent with Section 102(b)(7), the proposed Exculpation Charter Amendment would eliminate the personal liability of these officers to the Company and its stockholders for monetary damages for breaches of their fiduciary duty of care in any direct claim to the fullest extent permitted by Delaware law, as it currently exists or as it may be amended in the future. Like the provision limiting the monetary liability of directors, the DGCL does not permit the elimination of liability of these officers for any breach of their duty of loyalty to the company or its stockholders, any acts or omissions not in good faith or which involve intentional misconduct or a knowing violation of the law, or any transaction from which the officer derived an improper personal benefit. The DGCL also does not permit the limitation of monetary liability of these officers in any action by or in the right of the company, such as a derivative claim. To gain the added protection for officers, we must amend our Charter to add an officer exculpation provision.</w:t>
      </w: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Reasons for Proposed Exculpation Charter Amendment</w:t>
      </w:r>
    </w:p>
    <w:p>
      <w:pPr>
        <w:spacing w:after="0" w:line="264" w:lineRule="exact"/>
        <w:rPr>
          <w:sz w:val="20"/>
          <w:szCs w:val="20"/>
          <w:color w:val="auto"/>
        </w:rPr>
      </w:pPr>
    </w:p>
    <w:p>
      <w:pPr>
        <w:jc w:val="both"/>
        <w:ind w:firstLine="640"/>
        <w:spacing w:after="0" w:line="262" w:lineRule="auto"/>
        <w:rPr>
          <w:sz w:val="20"/>
          <w:szCs w:val="20"/>
          <w:color w:val="auto"/>
        </w:rPr>
      </w:pPr>
      <w:r>
        <w:rPr>
          <w:rFonts w:ascii="Arial" w:cs="Arial" w:eastAsia="Arial" w:hAnsi="Arial"/>
          <w:sz w:val="18"/>
          <w:szCs w:val="18"/>
          <w:color w:val="auto"/>
        </w:rPr>
        <w:t>After a review of evolving corporate governance practices, the Board has determined that it is advisable and in the best interests of the Company and its stockholders to limit the liability of officers as and to the extent permitted by the DGCL.</w:t>
      </w:r>
    </w:p>
    <w:p>
      <w:pPr>
        <w:spacing w:after="0" w:line="189" w:lineRule="exact"/>
        <w:rPr>
          <w:sz w:val="20"/>
          <w:szCs w:val="20"/>
          <w:color w:val="auto"/>
        </w:rPr>
      </w:pPr>
    </w:p>
    <w:p>
      <w:pPr>
        <w:jc w:val="both"/>
        <w:ind w:firstLine="640"/>
        <w:spacing w:after="0" w:line="242" w:lineRule="auto"/>
        <w:rPr>
          <w:sz w:val="20"/>
          <w:szCs w:val="20"/>
          <w:color w:val="auto"/>
        </w:rPr>
      </w:pPr>
      <w:r>
        <w:rPr>
          <w:rFonts w:ascii="Arial" w:cs="Arial" w:eastAsia="Arial" w:hAnsi="Arial"/>
          <w:sz w:val="18"/>
          <w:szCs w:val="18"/>
          <w:color w:val="auto"/>
        </w:rPr>
        <w:t>An exculpation provision is one of three tools, in addition to indemnification and directors’ and officers’ (D&amp;O) liability insurance, that can be used by directors and officers to protect themselves from personal liability incurred as a result of serving as a director or officer of a corporation. In general, exculpation provisions seek to prevent liability attaching to directors or officers in the first instance, while indemnification and D&amp;O insurance seek to compensate and hold directors and officers harmless when they have incurred liability or are faced with defending liability claims. The Board believes it is important to provide not only its directors but also its officers protection from certain liabilities and expenses that may discourage prospective or current officers from serving as officers of the Company. The Exculpation Charter Amendment would mitigate the risk of personal financial liability in certain circumstances and help attract and retain officers, while keeping narrow the type of claims for which officers may be exculpated from liability.</w:t>
      </w:r>
    </w:p>
    <w:p>
      <w:pPr>
        <w:spacing w:after="0" w:line="212" w:lineRule="exact"/>
        <w:rPr>
          <w:sz w:val="20"/>
          <w:szCs w:val="20"/>
          <w:color w:val="auto"/>
        </w:rPr>
      </w:pPr>
    </w:p>
    <w:p>
      <w:pPr>
        <w:jc w:val="both"/>
        <w:ind w:right="20" w:firstLine="640"/>
        <w:spacing w:after="0" w:line="262" w:lineRule="auto"/>
        <w:rPr>
          <w:sz w:val="20"/>
          <w:szCs w:val="20"/>
          <w:color w:val="auto"/>
        </w:rPr>
      </w:pPr>
      <w:r>
        <w:rPr>
          <w:rFonts w:ascii="Arial" w:cs="Arial" w:eastAsia="Arial" w:hAnsi="Arial"/>
          <w:sz w:val="18"/>
          <w:szCs w:val="18"/>
          <w:color w:val="auto"/>
        </w:rPr>
        <w:t>In the absence of such protection, the Board believes qualified officers might be deterred from serving as officers of the Company due to potential exposure to personal liability and the risk that substantial expense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jc w:val="both"/>
        <w:spacing w:after="0" w:line="256" w:lineRule="auto"/>
        <w:rPr>
          <w:sz w:val="20"/>
          <w:szCs w:val="20"/>
          <w:color w:val="auto"/>
        </w:rPr>
      </w:pPr>
      <w:r>
        <w:rPr>
          <w:rFonts w:ascii="Arial" w:cs="Arial" w:eastAsia="Arial" w:hAnsi="Arial"/>
          <w:sz w:val="17"/>
          <w:szCs w:val="17"/>
          <w:color w:val="auto"/>
        </w:rPr>
        <w:t>be incurred in defending lawsuits, regardless of merit. In approving the proposed Exculpation Charter Amendment, the Board took into account several factors, such as the narrow class and type of claims that such officers would be exculpated from liability pursuant to amended DGCL Section 102(b)(7), the limited number of our officers who would be impacted, and the benefits the Board believes would accrue to the Company by providing officer exculpation in accordance with DGCL Section 102(b)(7), including, without limitation, the ability to attract and retain key officers and the potential to reduce litigation costs associated with frivolous lawsuits. The Board balanced these considerations with our corporate governance practices and determined that it is advisable and in the best interests of the Company and our stockholders to amend our Charter to add an officer exculpation provision to eliminate or limit the personal liability of certain officers, except to the extent such exemption from liability or limitation thereof is not permitted under the DGCL as the same exists or may hereafter be amended.</w:t>
      </w:r>
    </w:p>
    <w:p>
      <w:pPr>
        <w:spacing w:after="0" w:line="213"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In light of these considerations, and based on the recommendation of the Nominating and Governance Committee, the Board has approved, adopted and declared advisable, and recommends that the Company’s stockholders approve and adopt, the Exculpation Charter Amendment.</w:t>
      </w:r>
    </w:p>
    <w:p>
      <w:pPr>
        <w:spacing w:after="0" w:line="215" w:lineRule="exact"/>
        <w:rPr>
          <w:sz w:val="20"/>
          <w:szCs w:val="20"/>
          <w:color w:val="auto"/>
        </w:rPr>
      </w:pPr>
    </w:p>
    <w:p>
      <w:pPr>
        <w:jc w:val="both"/>
        <w:ind w:right="20" w:firstLine="640"/>
        <w:spacing w:after="0" w:line="262" w:lineRule="auto"/>
        <w:rPr>
          <w:sz w:val="20"/>
          <w:szCs w:val="20"/>
          <w:color w:val="auto"/>
        </w:rPr>
      </w:pPr>
      <w:r>
        <w:rPr>
          <w:rFonts w:ascii="Arial" w:cs="Arial" w:eastAsia="Arial" w:hAnsi="Arial"/>
          <w:sz w:val="18"/>
          <w:szCs w:val="18"/>
          <w:color w:val="auto"/>
        </w:rPr>
        <w:t>The text of the Exculpation Charter Amendment, with proposed deletions reflected by “strike-through” text and proposed additions reflected by “underline” text, is set forth in Appendix C. This summary is qualified in its entirety by reference to Appendix C.</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Timing and Effect of Proposed Exculpation Charter Amendment</w:t>
      </w:r>
    </w:p>
    <w:p>
      <w:pPr>
        <w:spacing w:after="0" w:line="264"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18"/>
          <w:szCs w:val="18"/>
          <w:color w:val="auto"/>
        </w:rPr>
        <w:t>If the proposed Exculpation Charter Amendment is approved by our stockholders, it would become effective immediately upon the filing of the Certificate of Amendment with the Secretary of State of the State of Delaware, which we would expect to file promptly after the Annual Meeting. Other than the changes contemplated by the text of the Exculpation Charter Amendment and except for any changes contemplated by the Par Value Amendment as provided in Proposal Six, the remainder of our Charter would remain unchanged after effectiveness of the Exculpation Charter Amendment. After effectiveness of the Exculpation Charter Amendment, the new officer exculpation provision would apply only with respect to acts or omissions by our officers occurring after the date of the Exculpation Charter Amendment.</w:t>
      </w:r>
    </w:p>
    <w:p>
      <w:pPr>
        <w:spacing w:after="0" w:line="221" w:lineRule="exact"/>
        <w:rPr>
          <w:sz w:val="20"/>
          <w:szCs w:val="20"/>
          <w:color w:val="auto"/>
        </w:rPr>
      </w:pPr>
    </w:p>
    <w:p>
      <w:pPr>
        <w:jc w:val="both"/>
        <w:ind w:firstLine="640"/>
        <w:spacing w:after="0" w:line="262" w:lineRule="auto"/>
        <w:rPr>
          <w:sz w:val="20"/>
          <w:szCs w:val="20"/>
          <w:color w:val="auto"/>
        </w:rPr>
      </w:pPr>
      <w:r>
        <w:rPr>
          <w:rFonts w:ascii="Arial" w:cs="Arial" w:eastAsia="Arial" w:hAnsi="Arial"/>
          <w:sz w:val="18"/>
          <w:szCs w:val="18"/>
          <w:color w:val="auto"/>
        </w:rPr>
        <w:t>If the proposed Exculpation Charter Amendment is not approved by our stockholders, our Charter would remain unchanged, subject to any changes contemplated by the Par Value Amendment as provided in Proposal Six.</w:t>
      </w:r>
    </w:p>
    <w:p>
      <w:pPr>
        <w:spacing w:after="0" w:line="189" w:lineRule="exact"/>
        <w:rPr>
          <w:sz w:val="20"/>
          <w:szCs w:val="20"/>
          <w:color w:val="auto"/>
        </w:rPr>
      </w:pPr>
    </w:p>
    <w:p>
      <w:pPr>
        <w:jc w:val="both"/>
        <w:ind w:firstLine="640"/>
        <w:spacing w:after="0" w:line="254" w:lineRule="auto"/>
        <w:rPr>
          <w:sz w:val="20"/>
          <w:szCs w:val="20"/>
          <w:color w:val="auto"/>
        </w:rPr>
      </w:pPr>
      <w:r>
        <w:rPr>
          <w:rFonts w:ascii="Arial" w:cs="Arial" w:eastAsia="Arial" w:hAnsi="Arial"/>
          <w:sz w:val="18"/>
          <w:szCs w:val="18"/>
          <w:color w:val="auto"/>
        </w:rPr>
        <w:t>In accordance with the DGCL, our Board may elect to abandon the proposed Exculpation Charter Amendment without further action by our stockholders at any time prior to the effectiveness of the filing of the Certificate of Amendment with the Secretary of State of the State of Delaware, notwithstanding stockholder approval of the proposed Exculpation Charter Amendment at the Annual Meeting.</w:t>
      </w:r>
    </w:p>
    <w:p>
      <w:pPr>
        <w:spacing w:after="0" w:line="225" w:lineRule="exact"/>
        <w:rPr>
          <w:sz w:val="20"/>
          <w:szCs w:val="20"/>
          <w:color w:val="auto"/>
        </w:rPr>
      </w:pPr>
    </w:p>
    <w:p>
      <w:pPr>
        <w:ind w:left="280" w:right="340" w:firstLine="84"/>
        <w:spacing w:after="0" w:line="224" w:lineRule="exact"/>
        <w:rPr>
          <w:sz w:val="20"/>
          <w:szCs w:val="20"/>
          <w:color w:val="auto"/>
        </w:rPr>
      </w:pPr>
      <w:r>
        <w:rPr>
          <w:rFonts w:ascii="Arial" w:cs="Arial" w:eastAsia="Arial" w:hAnsi="Arial"/>
          <w:sz w:val="17"/>
          <w:szCs w:val="17"/>
          <w:b w:val="1"/>
          <w:bCs w:val="1"/>
          <w:color w:val="FFFFFF"/>
        </w:rPr>
        <w:t xml:space="preserve">The Board of Directors Recommends a Vote FOR Approval of the Amendment to the Company's Restated Certificate of Incorporation to eliminate or limit the liability of officers as provided under </w:t>
      </w:r>
      <w:r>
        <w:rPr>
          <w:rFonts w:ascii="MS PGothic" w:cs="MS PGothic" w:eastAsia="MS PGothic" w:hAnsi="MS PGothic"/>
          <w:sz w:val="34"/>
          <w:szCs w:val="34"/>
          <w:color w:val="000000"/>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-273685</wp:posOffset>
            </wp:positionV>
            <wp:extent cx="7134225" cy="4406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4225" cy="440690"/>
                    </a:xfrm>
                    <a:prstGeom prst="rect">
                      <a:avLst/>
                    </a:prstGeom>
                    <a:noFill/>
                  </pic:spPr>
                </pic:pic>
              </a:graphicData>
            </a:graphic>
          </wp:anchor>
        </w:drawing>
      </w:r>
    </w:p>
    <w:p>
      <w:pPr>
        <w:ind w:left="4500"/>
        <w:spacing w:after="0"/>
        <w:rPr>
          <w:sz w:val="20"/>
          <w:szCs w:val="20"/>
          <w:color w:val="auto"/>
        </w:rPr>
      </w:pPr>
      <w:r>
        <w:rPr>
          <w:rFonts w:ascii="Arial" w:cs="Arial" w:eastAsia="Arial" w:hAnsi="Arial"/>
          <w:sz w:val="21"/>
          <w:szCs w:val="21"/>
          <w:b w:val="1"/>
          <w:bCs w:val="1"/>
          <w:color w:val="FFFFFF"/>
        </w:rPr>
        <w:t>Delaware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95" w:name="page96"/>
    <w:bookmarkEnd w:id="95"/>
    <w:p>
      <w:pPr>
        <w:spacing w:after="0" w:line="19" w:lineRule="exact"/>
        <w:rPr>
          <w:sz w:val="20"/>
          <w:szCs w:val="20"/>
          <w:color w:val="auto"/>
        </w:rPr>
      </w:pPr>
    </w:p>
    <w:p>
      <w:pPr>
        <w:jc w:val="center"/>
        <w:spacing w:after="0" w:line="265" w:lineRule="auto"/>
        <w:rPr>
          <w:sz w:val="20"/>
          <w:szCs w:val="20"/>
          <w:color w:val="auto"/>
        </w:rPr>
      </w:pPr>
      <w:r>
        <w:rPr>
          <w:rFonts w:ascii="Arial" w:cs="Arial" w:eastAsia="Arial" w:hAnsi="Arial"/>
          <w:sz w:val="21"/>
          <w:szCs w:val="21"/>
          <w:b w:val="1"/>
          <w:bCs w:val="1"/>
          <w:color w:val="FFFFFF"/>
        </w:rPr>
        <w:t>PROPOSAL SIX—APPROVAL OF AN AMENDMENT TO THE COMPANY'S RESTATED CERTIFICATE OF INCORPORATION TO CHANGE THE PAR VALUE OF ALL CAPITAL STOCK FROM $1.00 to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-328295</wp:posOffset>
            </wp:positionV>
            <wp:extent cx="7134225" cy="3048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Overview of Proposed Par Value Amendment</w:t>
      </w:r>
    </w:p>
    <w:p>
      <w:pPr>
        <w:spacing w:after="0" w:line="250" w:lineRule="exact"/>
        <w:rPr>
          <w:sz w:val="20"/>
          <w:szCs w:val="20"/>
          <w:color w:val="auto"/>
        </w:rPr>
      </w:pPr>
    </w:p>
    <w:p>
      <w:pPr>
        <w:jc w:val="both"/>
        <w:ind w:firstLine="640"/>
        <w:spacing w:after="0" w:line="254" w:lineRule="auto"/>
        <w:rPr>
          <w:sz w:val="20"/>
          <w:szCs w:val="20"/>
          <w:color w:val="auto"/>
        </w:rPr>
      </w:pPr>
      <w:r>
        <w:rPr>
          <w:rFonts w:ascii="Arial" w:cs="Arial" w:eastAsia="Arial" w:hAnsi="Arial"/>
          <w:sz w:val="18"/>
          <w:szCs w:val="18"/>
          <w:color w:val="auto"/>
        </w:rPr>
        <w:t>Our Board of Directors has approved, adopted and declared advisable, and recommends that the Company’s stockholders approve, an amendment to the Company's Charter to decrease the par value of all capital stock, including our common stock and authorized "blank check" preferred stock from $1.00 to $0.01 per share. (the “Par Value Amendment”).</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Reasons for Proposed Par Value Amendment</w:t>
      </w:r>
    </w:p>
    <w:p>
      <w:pPr>
        <w:spacing w:after="0" w:line="250" w:lineRule="exact"/>
        <w:rPr>
          <w:sz w:val="20"/>
          <w:szCs w:val="20"/>
          <w:color w:val="auto"/>
        </w:rPr>
      </w:pPr>
    </w:p>
    <w:p>
      <w:pPr>
        <w:jc w:val="both"/>
        <w:ind w:firstLine="640"/>
        <w:spacing w:after="0"/>
        <w:rPr>
          <w:sz w:val="20"/>
          <w:szCs w:val="20"/>
          <w:color w:val="auto"/>
        </w:rPr>
      </w:pPr>
      <w:r>
        <w:rPr>
          <w:rFonts w:ascii="Arial" w:cs="Arial" w:eastAsia="Arial" w:hAnsi="Arial"/>
          <w:sz w:val="18"/>
          <w:szCs w:val="18"/>
          <w:color w:val="auto"/>
        </w:rPr>
        <w:t>Stockholders are being asked to approve an amendment to our Charter to reduce the par value per share of all capital stock from $1.00 to $0.01. The purpose of the Par Value Amendment is to bring the par value of our capital stock in line with the par value of the capital stock of many other public companies incorporated in Delaware. Historically, the concept of par value served to protect creditors and senior security holders by ensuring that a company received a meaningful amount of consideration for issuances of stock. Over time, the concept of par value has lost its significance as lenders, creditors and other persons doing business with a company tend to rely on the total financial strength of the company as shown by its financial statements and earnings prospects, and especially in the case of financial institutions that lend money to a company, on contractual restrictions that establish financial requirements that the company must satisfy. Many companies that incorporate today use a nominal par value, such as $0.01 per share, or have no par value. Accordingly, the intent of the Par Value Amendment is to align the par value of the Company’s capital stock, including our common stock and authorized “blank check” preferred stock, with the par values of other similar companies.</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Effect of Proposed Par Value Amendment</w:t>
      </w:r>
    </w:p>
    <w:p>
      <w:pPr>
        <w:spacing w:after="0" w:line="250" w:lineRule="exact"/>
        <w:rPr>
          <w:sz w:val="20"/>
          <w:szCs w:val="20"/>
          <w:color w:val="auto"/>
        </w:rPr>
      </w:pPr>
    </w:p>
    <w:p>
      <w:pPr>
        <w:jc w:val="both"/>
        <w:ind w:firstLine="640"/>
        <w:spacing w:after="0" w:line="244" w:lineRule="auto"/>
        <w:rPr>
          <w:sz w:val="20"/>
          <w:szCs w:val="20"/>
          <w:color w:val="auto"/>
        </w:rPr>
      </w:pPr>
      <w:r>
        <w:rPr>
          <w:rFonts w:ascii="Arial" w:cs="Arial" w:eastAsia="Arial" w:hAnsi="Arial"/>
          <w:sz w:val="18"/>
          <w:szCs w:val="18"/>
          <w:color w:val="auto"/>
        </w:rPr>
        <w:t>The Par Value Amendment will have no impact on the value of the Company’s capital stock, including our common stock. In addition, the Par Value Amendment will have no effect on the dollar amount of the Company’s total stockholders’ equity. The Par Value Amendment will not change the number of authorized shares of common stock or our preferred stock nor will it have any impact on our outstanding common stock or any options or rights to purchase our common stock. The Par Value Amendment will have no effect on the rights of the holders of our common stock or our authorized preferred stock, none of which are currently outstanding, except for reducing the minimum amount per share the Company must receive upon the issuance of any shares of our capital stock from $1.00 to $0.01.</w:t>
      </w:r>
    </w:p>
    <w:p>
      <w:pPr>
        <w:spacing w:after="0" w:line="205"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If the Par Value Amendment is approved, the Company's capital under the DGCL will be adjusted to reflect the effectiveness of the Par Value Amendment. Specifically, the common stock account on the Company’s consolidated balance sheet at $ 1.00 per share will be reduced to reflect the respective product of the number of shares outstanding and the new par value of $0.01 per share, thereby increasing the Company's surplus under the DGCL available for the payment of dividends and the repurchase of common stock.</w:t>
      </w:r>
    </w:p>
    <w:p>
      <w:pPr>
        <w:spacing w:after="0" w:line="202"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Note that we have omitted our consolidated financial statements from this proxy statement, as management believes that such information is not material in determining whether to vote in favor or against the Par Value Amendment. However, stockholders may refer to our Annual Report to Stockholders for fiscal 2025, which includes our Annual Report on Form 10-K for the fiscal year ended October 31, 2025, which is being made available together with this proxy statement.</w:t>
      </w:r>
    </w:p>
    <w:p>
      <w:pPr>
        <w:spacing w:after="0" w:line="215"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If the Par Value Amendment is approved, certificates or book-entry notations representing shares of our common, par value $1.00 per share, issued and outstanding prior to the effectiveness of the Par Value Amendment will be deemed to represent the same number of shares of our common and preferred stock, par value $0.01 per share, as they did prior to such effectiveness, respectively. Existing stock certificates will not be exchanged for new stock certificates in connection with the Par Value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jc w:val="both"/>
        <w:ind w:firstLine="640"/>
        <w:spacing w:after="0" w:line="291" w:lineRule="auto"/>
        <w:rPr>
          <w:sz w:val="20"/>
          <w:szCs w:val="20"/>
          <w:color w:val="auto"/>
        </w:rPr>
      </w:pPr>
      <w:r>
        <w:rPr>
          <w:rFonts w:ascii="Arial" w:cs="Arial" w:eastAsia="Arial" w:hAnsi="Arial"/>
          <w:sz w:val="17"/>
          <w:szCs w:val="17"/>
          <w:color w:val="auto"/>
        </w:rPr>
        <w:t>In light of these considerations, and based on the recommendation of the Nominating and Governance Committee, the Board has approved, adopted and declared advisable, and recommends that the Company’s stockholders approve and adopt, the Par Value Amendment.</w:t>
      </w:r>
    </w:p>
    <w:p>
      <w:pPr>
        <w:spacing w:after="0" w:line="180" w:lineRule="exact"/>
        <w:rPr>
          <w:sz w:val="20"/>
          <w:szCs w:val="20"/>
          <w:color w:val="auto"/>
        </w:rPr>
      </w:pPr>
    </w:p>
    <w:p>
      <w:pPr>
        <w:jc w:val="both"/>
        <w:ind w:firstLine="640"/>
        <w:spacing w:after="0" w:line="262" w:lineRule="auto"/>
        <w:rPr>
          <w:sz w:val="20"/>
          <w:szCs w:val="20"/>
          <w:color w:val="auto"/>
        </w:rPr>
      </w:pPr>
      <w:r>
        <w:rPr>
          <w:rFonts w:ascii="Arial" w:cs="Arial" w:eastAsia="Arial" w:hAnsi="Arial"/>
          <w:sz w:val="18"/>
          <w:szCs w:val="18"/>
          <w:color w:val="auto"/>
        </w:rPr>
        <w:t>The text of the Par Value Amendment, with proposed deletions reflected by “strike-through” text and proposed additions reflected by “underline” text, is set forth in Appendix D. This summary is qualified in its entirety by reference to Appendix D.</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Timing and Effect of Proposed Par Value Amendment</w:t>
      </w:r>
    </w:p>
    <w:p>
      <w:pPr>
        <w:spacing w:after="0" w:line="264" w:lineRule="exact"/>
        <w:rPr>
          <w:sz w:val="20"/>
          <w:szCs w:val="20"/>
          <w:color w:val="auto"/>
        </w:rPr>
      </w:pPr>
    </w:p>
    <w:p>
      <w:pPr>
        <w:jc w:val="both"/>
        <w:ind w:firstLine="640"/>
        <w:spacing w:after="0" w:line="243" w:lineRule="auto"/>
        <w:rPr>
          <w:sz w:val="20"/>
          <w:szCs w:val="20"/>
          <w:color w:val="auto"/>
        </w:rPr>
      </w:pPr>
      <w:r>
        <w:rPr>
          <w:rFonts w:ascii="Arial" w:cs="Arial" w:eastAsia="Arial" w:hAnsi="Arial"/>
          <w:sz w:val="18"/>
          <w:szCs w:val="18"/>
          <w:color w:val="auto"/>
        </w:rPr>
        <w:t>If the proposed Par Value Amendment is approved by our stockholders, it would become effective immediately upon the filing of the Certificate of Amendment with the Secretary of State of the State of Delaware, which we would expect to file promptly after the Annual Meeting. Other than the changes contemplated by the text of the Par Value Amendment as provided in Appendix D and except for any changes contemplated by the Exculpation Charter Amendment as provided in Proposal Five, the remainder of our Charter would remain unchanged after effectiveness of the Par Value Amendment.</w:t>
      </w:r>
    </w:p>
    <w:p>
      <w:pPr>
        <w:spacing w:after="0" w:line="206" w:lineRule="exact"/>
        <w:rPr>
          <w:sz w:val="20"/>
          <w:szCs w:val="20"/>
          <w:color w:val="auto"/>
        </w:rPr>
      </w:pPr>
    </w:p>
    <w:p>
      <w:pPr>
        <w:jc w:val="both"/>
        <w:ind w:firstLine="640"/>
        <w:spacing w:after="0" w:line="277" w:lineRule="auto"/>
        <w:rPr>
          <w:sz w:val="20"/>
          <w:szCs w:val="20"/>
          <w:color w:val="auto"/>
        </w:rPr>
      </w:pPr>
      <w:r>
        <w:rPr>
          <w:rFonts w:ascii="Arial" w:cs="Arial" w:eastAsia="Arial" w:hAnsi="Arial"/>
          <w:sz w:val="18"/>
          <w:szCs w:val="18"/>
          <w:color w:val="auto"/>
        </w:rPr>
        <w:t>If the proposed Par Value Amendment is not approved by our stockholders, our Charter would remain unchanged, subject to any changes contemplated by the Exculpation Charter Amendment as provided in Proposal Five.</w:t>
      </w:r>
    </w:p>
    <w:p>
      <w:pPr>
        <w:spacing w:after="0" w:line="176" w:lineRule="exact"/>
        <w:rPr>
          <w:sz w:val="20"/>
          <w:szCs w:val="20"/>
          <w:color w:val="auto"/>
        </w:rPr>
      </w:pPr>
    </w:p>
    <w:p>
      <w:pPr>
        <w:jc w:val="both"/>
        <w:ind w:firstLine="640"/>
        <w:spacing w:after="0" w:line="254" w:lineRule="auto"/>
        <w:rPr>
          <w:sz w:val="20"/>
          <w:szCs w:val="20"/>
          <w:color w:val="auto"/>
        </w:rPr>
      </w:pPr>
      <w:r>
        <w:rPr>
          <w:rFonts w:ascii="Arial" w:cs="Arial" w:eastAsia="Arial" w:hAnsi="Arial"/>
          <w:sz w:val="18"/>
          <w:szCs w:val="18"/>
          <w:color w:val="auto"/>
        </w:rPr>
        <w:t>In accordance with the DGCL, our Board may elect to abandon the proposed Par Value Amendment without further action by our stockholders at any time prior to the effectiveness of the filing of the Certificate of Amendment with the Secretary of State of the State of Delaware, notwithstanding stockholder approval of the proposed Par Value Amendment at the Annual Meeting</w:t>
      </w:r>
    </w:p>
    <w:p>
      <w:pPr>
        <w:spacing w:after="0" w:line="225" w:lineRule="exact"/>
        <w:rPr>
          <w:sz w:val="20"/>
          <w:szCs w:val="20"/>
          <w:color w:val="auto"/>
        </w:rPr>
      </w:pPr>
    </w:p>
    <w:p>
      <w:pPr>
        <w:ind w:left="100" w:right="340" w:firstLine="251"/>
        <w:spacing w:after="0" w:line="224" w:lineRule="exact"/>
        <w:rPr>
          <w:sz w:val="20"/>
          <w:szCs w:val="20"/>
          <w:color w:val="auto"/>
        </w:rPr>
      </w:pPr>
      <w:r>
        <w:rPr>
          <w:rFonts w:ascii="Arial" w:cs="Arial" w:eastAsia="Arial" w:hAnsi="Arial"/>
          <w:sz w:val="17"/>
          <w:szCs w:val="17"/>
          <w:b w:val="1"/>
          <w:bCs w:val="1"/>
          <w:color w:val="FFFFFF"/>
        </w:rPr>
        <w:t xml:space="preserve">The Board of Directors Recommends a Vote FOR Approval of the Amendment to the Company's Restated Certificate of Incorporation to change the par value of all the Company's Capital Stock from </w:t>
      </w:r>
      <w:r>
        <w:rPr>
          <w:rFonts w:ascii="MS PGothic" w:cs="MS PGothic" w:eastAsia="MS PGothic" w:hAnsi="MS PGothic"/>
          <w:sz w:val="34"/>
          <w:szCs w:val="34"/>
          <w:color w:val="000000"/>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-273685</wp:posOffset>
            </wp:positionV>
            <wp:extent cx="7134225" cy="4406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4225" cy="4406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21"/>
          <w:szCs w:val="21"/>
          <w:b w:val="1"/>
          <w:bCs w:val="1"/>
          <w:color w:val="FFFFFF"/>
        </w:rPr>
        <w:t>$1.00 to $0.01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21"/>
          <w:szCs w:val="21"/>
          <w:b w:val="1"/>
          <w:bCs w:val="1"/>
          <w:color w:val="FFFFFF"/>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-151765</wp:posOffset>
            </wp:positionV>
            <wp:extent cx="6998335" cy="1866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8335" cy="1866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Significant Beneficial Owners</w:t>
      </w:r>
    </w:p>
    <w:p>
      <w:pPr>
        <w:spacing w:after="0" w:line="1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following table sets forth information known to us as of January 20, 2026, as to entities that have reported to the SEC or have otherwise advised us that they are a beneficial owner, as defined by the SEC's rules and regulations, of more than five percent of our outstanding common stock.</w:t>
      </w:r>
    </w:p>
    <w:p>
      <w:pPr>
        <w:spacing w:after="0" w:line="18"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1560" w:type="dxa"/>
            <w:vAlign w:val="bottom"/>
            <w:shd w:val="clear" w:color="auto" w:fill="BF2115"/>
          </w:tcPr>
          <w:p>
            <w:pPr>
              <w:spacing w:after="0"/>
              <w:rPr>
                <w:sz w:val="15"/>
                <w:szCs w:val="15"/>
                <w:color w:val="auto"/>
              </w:rPr>
            </w:pPr>
          </w:p>
        </w:tc>
        <w:tc>
          <w:tcPr>
            <w:tcW w:w="5020" w:type="dxa"/>
            <w:vAlign w:val="bottom"/>
            <w:shd w:val="clear" w:color="auto" w:fill="BF2115"/>
          </w:tcPr>
          <w:p>
            <w:pPr>
              <w:ind w:left="480"/>
              <w:spacing w:after="0"/>
              <w:rPr>
                <w:sz w:val="20"/>
                <w:szCs w:val="20"/>
                <w:color w:val="auto"/>
              </w:rPr>
            </w:pPr>
            <w:r>
              <w:rPr>
                <w:rFonts w:ascii="Arial" w:cs="Arial" w:eastAsia="Arial" w:hAnsi="Arial"/>
                <w:sz w:val="14"/>
                <w:szCs w:val="14"/>
                <w:b w:val="1"/>
                <w:bCs w:val="1"/>
                <w:color w:val="FFFFFF"/>
              </w:rPr>
              <w:t>Name and Address</w:t>
            </w:r>
          </w:p>
        </w:tc>
        <w:tc>
          <w:tcPr>
            <w:tcW w:w="270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Amount and Nature</w:t>
            </w:r>
          </w:p>
        </w:tc>
        <w:tc>
          <w:tcPr>
            <w:tcW w:w="1580" w:type="dxa"/>
            <w:vAlign w:val="bottom"/>
            <w:shd w:val="clear" w:color="auto" w:fill="BF2115"/>
          </w:tcPr>
          <w:p>
            <w:pPr>
              <w:jc w:val="center"/>
              <w:ind w:left="23"/>
              <w:spacing w:after="0"/>
              <w:rPr>
                <w:sz w:val="20"/>
                <w:szCs w:val="20"/>
                <w:color w:val="auto"/>
              </w:rPr>
            </w:pPr>
            <w:r>
              <w:rPr>
                <w:rFonts w:ascii="Arial" w:cs="Arial" w:eastAsia="Arial" w:hAnsi="Arial"/>
                <w:sz w:val="14"/>
                <w:szCs w:val="14"/>
                <w:b w:val="1"/>
                <w:bCs w:val="1"/>
                <w:color w:val="FFFFFF"/>
              </w:rPr>
              <w:t>Percent</w:t>
            </w:r>
          </w:p>
        </w:tc>
      </w:tr>
      <w:tr>
        <w:trPr>
          <w:trHeight w:val="240"/>
        </w:trPr>
        <w:tc>
          <w:tcPr>
            <w:tcW w:w="1560" w:type="dxa"/>
            <w:vAlign w:val="bottom"/>
            <w:shd w:val="clear" w:color="auto" w:fill="BF2115"/>
          </w:tcPr>
          <w:p>
            <w:pPr>
              <w:spacing w:after="0"/>
              <w:rPr>
                <w:sz w:val="20"/>
                <w:szCs w:val="20"/>
                <w:color w:val="auto"/>
              </w:rPr>
            </w:pPr>
            <w:r>
              <w:rPr>
                <w:rFonts w:ascii="Arial" w:cs="Arial" w:eastAsia="Arial" w:hAnsi="Arial"/>
                <w:sz w:val="14"/>
                <w:szCs w:val="14"/>
                <w:b w:val="1"/>
                <w:bCs w:val="1"/>
                <w:color w:val="FFFFFF"/>
              </w:rPr>
              <w:t>Title of Class</w:t>
            </w:r>
          </w:p>
        </w:tc>
        <w:tc>
          <w:tcPr>
            <w:tcW w:w="5020" w:type="dxa"/>
            <w:vAlign w:val="bottom"/>
            <w:shd w:val="clear" w:color="auto" w:fill="BF2115"/>
          </w:tcPr>
          <w:p>
            <w:pPr>
              <w:ind w:left="480"/>
              <w:spacing w:after="0"/>
              <w:rPr>
                <w:sz w:val="20"/>
                <w:szCs w:val="20"/>
                <w:color w:val="auto"/>
              </w:rPr>
            </w:pPr>
            <w:r>
              <w:rPr>
                <w:rFonts w:ascii="Arial" w:cs="Arial" w:eastAsia="Arial" w:hAnsi="Arial"/>
                <w:sz w:val="14"/>
                <w:szCs w:val="14"/>
                <w:b w:val="1"/>
                <w:bCs w:val="1"/>
                <w:color w:val="FFFFFF"/>
              </w:rPr>
              <w:t>of Beneficial Owner</w:t>
            </w:r>
          </w:p>
        </w:tc>
        <w:tc>
          <w:tcPr>
            <w:tcW w:w="270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of Beneficial Ownership</w:t>
            </w:r>
          </w:p>
        </w:tc>
        <w:tc>
          <w:tcPr>
            <w:tcW w:w="1580" w:type="dxa"/>
            <w:vAlign w:val="bottom"/>
            <w:shd w:val="clear" w:color="auto" w:fill="BF2115"/>
          </w:tcPr>
          <w:p>
            <w:pPr>
              <w:jc w:val="center"/>
              <w:ind w:left="3"/>
              <w:spacing w:after="0" w:line="240" w:lineRule="exact"/>
              <w:rPr>
                <w:sz w:val="20"/>
                <w:szCs w:val="20"/>
                <w:color w:val="auto"/>
              </w:rPr>
            </w:pPr>
            <w:r>
              <w:rPr>
                <w:rFonts w:ascii="Arial" w:cs="Arial" w:eastAsia="Arial" w:hAnsi="Arial"/>
                <w:sz w:val="14"/>
                <w:szCs w:val="14"/>
                <w:b w:val="1"/>
                <w:bCs w:val="1"/>
                <w:color w:val="FFFFFF"/>
                <w:w w:val="96"/>
              </w:rPr>
              <w:t>of Class</w:t>
            </w:r>
            <w:r>
              <w:rPr>
                <w:rFonts w:ascii="Arial" w:cs="Arial" w:eastAsia="Arial" w:hAnsi="Arial"/>
                <w:sz w:val="27"/>
                <w:szCs w:val="27"/>
                <w:b w:val="1"/>
                <w:bCs w:val="1"/>
                <w:color w:val="FFFFFF"/>
                <w:w w:val="96"/>
                <w:vertAlign w:val="superscript"/>
              </w:rPr>
              <w:t>1</w:t>
            </w:r>
          </w:p>
        </w:tc>
      </w:tr>
      <w:tr>
        <w:trPr>
          <w:trHeight w:val="199"/>
        </w:trPr>
        <w:tc>
          <w:tcPr>
            <w:tcW w:w="1560" w:type="dxa"/>
            <w:vAlign w:val="bottom"/>
            <w:shd w:val="clear" w:color="auto" w:fill="DBDBDB"/>
          </w:tcPr>
          <w:p>
            <w:pPr>
              <w:spacing w:after="0"/>
              <w:rPr>
                <w:sz w:val="20"/>
                <w:szCs w:val="20"/>
                <w:color w:val="auto"/>
              </w:rPr>
            </w:pPr>
            <w:r>
              <w:rPr>
                <w:rFonts w:ascii="Arial" w:cs="Arial" w:eastAsia="Arial" w:hAnsi="Arial"/>
                <w:sz w:val="16"/>
                <w:szCs w:val="16"/>
                <w:color w:val="auto"/>
              </w:rPr>
              <w:t>Common Stock</w:t>
            </w:r>
          </w:p>
        </w:tc>
        <w:tc>
          <w:tcPr>
            <w:tcW w:w="5020" w:type="dxa"/>
            <w:vAlign w:val="bottom"/>
            <w:shd w:val="clear" w:color="auto" w:fill="DBDBDB"/>
          </w:tcPr>
          <w:p>
            <w:pPr>
              <w:ind w:left="480"/>
              <w:spacing w:after="0"/>
              <w:rPr>
                <w:sz w:val="20"/>
                <w:szCs w:val="20"/>
                <w:color w:val="auto"/>
              </w:rPr>
            </w:pPr>
            <w:r>
              <w:rPr>
                <w:rFonts w:ascii="Arial" w:cs="Arial" w:eastAsia="Arial" w:hAnsi="Arial"/>
                <w:sz w:val="16"/>
                <w:szCs w:val="16"/>
                <w:color w:val="auto"/>
              </w:rPr>
              <w:t>The Vanguard Group, Inc.</w:t>
            </w:r>
          </w:p>
        </w:tc>
        <w:tc>
          <w:tcPr>
            <w:tcW w:w="2700" w:type="dxa"/>
            <w:vAlign w:val="bottom"/>
            <w:shd w:val="clear" w:color="auto" w:fill="DBDBDB"/>
          </w:tcPr>
          <w:p>
            <w:pPr>
              <w:jc w:val="center"/>
              <w:spacing w:after="0" w:line="200" w:lineRule="exact"/>
              <w:rPr>
                <w:sz w:val="20"/>
                <w:szCs w:val="20"/>
                <w:color w:val="auto"/>
              </w:rPr>
            </w:pPr>
            <w:r>
              <w:rPr>
                <w:rFonts w:ascii="Arial" w:cs="Arial" w:eastAsia="Arial" w:hAnsi="Arial"/>
                <w:sz w:val="16"/>
                <w:szCs w:val="16"/>
                <w:color w:val="auto"/>
                <w:w w:val="98"/>
              </w:rPr>
              <w:t>10,491,409</w:t>
            </w:r>
            <w:r>
              <w:rPr>
                <w:rFonts w:ascii="Arial" w:cs="Arial" w:eastAsia="Arial" w:hAnsi="Arial"/>
                <w:sz w:val="20"/>
                <w:szCs w:val="20"/>
                <w:color w:val="auto"/>
                <w:w w:val="98"/>
                <w:vertAlign w:val="superscript"/>
              </w:rPr>
              <w:t>2</w:t>
            </w:r>
          </w:p>
        </w:tc>
        <w:tc>
          <w:tcPr>
            <w:tcW w:w="1580" w:type="dxa"/>
            <w:vAlign w:val="bottom"/>
            <w:shd w:val="clear" w:color="auto" w:fill="DBDBDB"/>
          </w:tcPr>
          <w:p>
            <w:pPr>
              <w:jc w:val="center"/>
              <w:ind w:left="3"/>
              <w:spacing w:after="0"/>
              <w:rPr>
                <w:sz w:val="20"/>
                <w:szCs w:val="20"/>
                <w:color w:val="auto"/>
              </w:rPr>
            </w:pPr>
            <w:r>
              <w:rPr>
                <w:rFonts w:ascii="Arial" w:cs="Arial" w:eastAsia="Arial" w:hAnsi="Arial"/>
                <w:sz w:val="16"/>
                <w:szCs w:val="16"/>
                <w:color w:val="auto"/>
                <w:w w:val="99"/>
              </w:rPr>
              <w:t>10.10%</w:t>
            </w:r>
          </w:p>
        </w:tc>
      </w:tr>
      <w:tr>
        <w:trPr>
          <w:trHeight w:val="200"/>
        </w:trPr>
        <w:tc>
          <w:tcPr>
            <w:tcW w:w="1560" w:type="dxa"/>
            <w:vAlign w:val="bottom"/>
            <w:shd w:val="clear" w:color="auto" w:fill="DBDBDB"/>
          </w:tcPr>
          <w:p>
            <w:pPr>
              <w:spacing w:after="0"/>
              <w:rPr>
                <w:sz w:val="17"/>
                <w:szCs w:val="17"/>
                <w:color w:val="auto"/>
              </w:rPr>
            </w:pPr>
          </w:p>
        </w:tc>
        <w:tc>
          <w:tcPr>
            <w:tcW w:w="5020" w:type="dxa"/>
            <w:vAlign w:val="bottom"/>
            <w:shd w:val="clear" w:color="auto" w:fill="DBDBDB"/>
          </w:tcPr>
          <w:p>
            <w:pPr>
              <w:ind w:left="480"/>
              <w:spacing w:after="0"/>
              <w:rPr>
                <w:sz w:val="20"/>
                <w:szCs w:val="20"/>
                <w:color w:val="auto"/>
              </w:rPr>
            </w:pPr>
            <w:r>
              <w:rPr>
                <w:rFonts w:ascii="Arial" w:cs="Arial" w:eastAsia="Arial" w:hAnsi="Arial"/>
                <w:sz w:val="16"/>
                <w:szCs w:val="16"/>
                <w:color w:val="auto"/>
              </w:rPr>
              <w:t>100 Vanguard Blvd.</w:t>
            </w:r>
          </w:p>
        </w:tc>
        <w:tc>
          <w:tcPr>
            <w:tcW w:w="2700" w:type="dxa"/>
            <w:vAlign w:val="bottom"/>
            <w:shd w:val="clear" w:color="auto" w:fill="DBDBDB"/>
          </w:tcPr>
          <w:p>
            <w:pPr>
              <w:spacing w:after="0"/>
              <w:rPr>
                <w:sz w:val="17"/>
                <w:szCs w:val="17"/>
                <w:color w:val="auto"/>
              </w:rPr>
            </w:pPr>
          </w:p>
        </w:tc>
        <w:tc>
          <w:tcPr>
            <w:tcW w:w="1580" w:type="dxa"/>
            <w:vAlign w:val="bottom"/>
            <w:shd w:val="clear" w:color="auto" w:fill="DBDBDB"/>
          </w:tcPr>
          <w:p>
            <w:pPr>
              <w:spacing w:after="0"/>
              <w:rPr>
                <w:sz w:val="17"/>
                <w:szCs w:val="17"/>
                <w:color w:val="auto"/>
              </w:rPr>
            </w:pPr>
          </w:p>
        </w:tc>
      </w:tr>
      <w:tr>
        <w:trPr>
          <w:trHeight w:val="221"/>
        </w:trPr>
        <w:tc>
          <w:tcPr>
            <w:tcW w:w="1560" w:type="dxa"/>
            <w:vAlign w:val="bottom"/>
            <w:tcBorders>
              <w:bottom w:val="single" w:sz="8" w:color="DBDBDB"/>
            </w:tcBorders>
            <w:shd w:val="clear" w:color="auto" w:fill="DBDBDB"/>
          </w:tcPr>
          <w:p>
            <w:pPr>
              <w:spacing w:after="0"/>
              <w:rPr>
                <w:sz w:val="19"/>
                <w:szCs w:val="19"/>
                <w:color w:val="auto"/>
              </w:rPr>
            </w:pPr>
          </w:p>
        </w:tc>
        <w:tc>
          <w:tcPr>
            <w:tcW w:w="5020" w:type="dxa"/>
            <w:vAlign w:val="bottom"/>
            <w:tcBorders>
              <w:bottom w:val="single" w:sz="8" w:color="DBDBDB"/>
            </w:tcBorders>
            <w:shd w:val="clear" w:color="auto" w:fill="DBDBDB"/>
          </w:tcPr>
          <w:p>
            <w:pPr>
              <w:ind w:left="480"/>
              <w:spacing w:after="0"/>
              <w:rPr>
                <w:sz w:val="20"/>
                <w:szCs w:val="20"/>
                <w:color w:val="auto"/>
              </w:rPr>
            </w:pPr>
            <w:r>
              <w:rPr>
                <w:rFonts w:ascii="Arial" w:cs="Arial" w:eastAsia="Arial" w:hAnsi="Arial"/>
                <w:sz w:val="16"/>
                <w:szCs w:val="16"/>
                <w:color w:val="auto"/>
              </w:rPr>
              <w:t>Malvern, PA 19355</w:t>
            </w:r>
          </w:p>
        </w:tc>
        <w:tc>
          <w:tcPr>
            <w:tcW w:w="2700" w:type="dxa"/>
            <w:vAlign w:val="bottom"/>
            <w:tcBorders>
              <w:bottom w:val="single" w:sz="8" w:color="DBDBDB"/>
            </w:tcBorders>
            <w:shd w:val="clear" w:color="auto" w:fill="DBDBDB"/>
          </w:tcPr>
          <w:p>
            <w:pPr>
              <w:spacing w:after="0"/>
              <w:rPr>
                <w:sz w:val="19"/>
                <w:szCs w:val="19"/>
                <w:color w:val="auto"/>
              </w:rPr>
            </w:pPr>
          </w:p>
        </w:tc>
        <w:tc>
          <w:tcPr>
            <w:tcW w:w="1580" w:type="dxa"/>
            <w:vAlign w:val="bottom"/>
            <w:tcBorders>
              <w:bottom w:val="single" w:sz="8" w:color="DBDBDB"/>
            </w:tcBorders>
            <w:shd w:val="clear" w:color="auto" w:fill="DBDBDB"/>
          </w:tcPr>
          <w:p>
            <w:pPr>
              <w:spacing w:after="0"/>
              <w:rPr>
                <w:sz w:val="19"/>
                <w:szCs w:val="19"/>
                <w:color w:val="auto"/>
              </w:rPr>
            </w:pPr>
          </w:p>
        </w:tc>
      </w:tr>
      <w:tr>
        <w:trPr>
          <w:trHeight w:val="199"/>
        </w:trPr>
        <w:tc>
          <w:tcPr>
            <w:tcW w:w="1560" w:type="dxa"/>
            <w:vAlign w:val="bottom"/>
          </w:tcPr>
          <w:p>
            <w:pPr>
              <w:spacing w:after="0"/>
              <w:rPr>
                <w:sz w:val="20"/>
                <w:szCs w:val="20"/>
                <w:color w:val="auto"/>
              </w:rPr>
            </w:pPr>
            <w:r>
              <w:rPr>
                <w:rFonts w:ascii="Arial" w:cs="Arial" w:eastAsia="Arial" w:hAnsi="Arial"/>
                <w:sz w:val="16"/>
                <w:szCs w:val="16"/>
                <w:color w:val="auto"/>
              </w:rPr>
              <w:t>Common Stock</w:t>
            </w:r>
          </w:p>
        </w:tc>
        <w:tc>
          <w:tcPr>
            <w:tcW w:w="5020" w:type="dxa"/>
            <w:vAlign w:val="bottom"/>
          </w:tcPr>
          <w:p>
            <w:pPr>
              <w:ind w:left="480"/>
              <w:spacing w:after="0"/>
              <w:rPr>
                <w:sz w:val="20"/>
                <w:szCs w:val="20"/>
                <w:color w:val="auto"/>
              </w:rPr>
            </w:pPr>
            <w:r>
              <w:rPr>
                <w:rFonts w:ascii="Arial" w:cs="Arial" w:eastAsia="Arial" w:hAnsi="Arial"/>
                <w:sz w:val="16"/>
                <w:szCs w:val="16"/>
                <w:color w:val="auto"/>
              </w:rPr>
              <w:t>BlackRock, Inc.</w:t>
            </w:r>
          </w:p>
        </w:tc>
        <w:tc>
          <w:tcPr>
            <w:tcW w:w="2700" w:type="dxa"/>
            <w:vAlign w:val="bottom"/>
          </w:tcPr>
          <w:p>
            <w:pPr>
              <w:jc w:val="center"/>
              <w:spacing w:after="0" w:line="200" w:lineRule="exact"/>
              <w:rPr>
                <w:sz w:val="20"/>
                <w:szCs w:val="20"/>
                <w:color w:val="auto"/>
              </w:rPr>
            </w:pPr>
            <w:r>
              <w:rPr>
                <w:rFonts w:ascii="Arial" w:cs="Arial" w:eastAsia="Arial" w:hAnsi="Arial"/>
                <w:sz w:val="16"/>
                <w:szCs w:val="16"/>
                <w:color w:val="auto"/>
                <w:w w:val="98"/>
              </w:rPr>
              <w:t>10,392,066</w:t>
            </w:r>
            <w:r>
              <w:rPr>
                <w:rFonts w:ascii="Arial" w:cs="Arial" w:eastAsia="Arial" w:hAnsi="Arial"/>
                <w:sz w:val="20"/>
                <w:szCs w:val="20"/>
                <w:color w:val="auto"/>
                <w:w w:val="98"/>
                <w:vertAlign w:val="superscript"/>
              </w:rPr>
              <w:t>3</w:t>
            </w:r>
          </w:p>
        </w:tc>
        <w:tc>
          <w:tcPr>
            <w:tcW w:w="1580" w:type="dxa"/>
            <w:vAlign w:val="bottom"/>
          </w:tcPr>
          <w:p>
            <w:pPr>
              <w:jc w:val="center"/>
              <w:ind w:left="3"/>
              <w:spacing w:after="0"/>
              <w:rPr>
                <w:sz w:val="20"/>
                <w:szCs w:val="20"/>
                <w:color w:val="auto"/>
              </w:rPr>
            </w:pPr>
            <w:r>
              <w:rPr>
                <w:rFonts w:ascii="Arial" w:cs="Arial" w:eastAsia="Arial" w:hAnsi="Arial"/>
                <w:sz w:val="16"/>
                <w:szCs w:val="16"/>
                <w:color w:val="auto"/>
                <w:w w:val="99"/>
              </w:rPr>
              <w:t>10.00%</w:t>
            </w:r>
          </w:p>
        </w:tc>
      </w:tr>
      <w:tr>
        <w:trPr>
          <w:trHeight w:val="200"/>
        </w:trPr>
        <w:tc>
          <w:tcPr>
            <w:tcW w:w="1560" w:type="dxa"/>
            <w:vAlign w:val="bottom"/>
          </w:tcPr>
          <w:p>
            <w:pPr>
              <w:spacing w:after="0"/>
              <w:rPr>
                <w:sz w:val="17"/>
                <w:szCs w:val="17"/>
                <w:color w:val="auto"/>
              </w:rPr>
            </w:pPr>
          </w:p>
        </w:tc>
        <w:tc>
          <w:tcPr>
            <w:tcW w:w="5020" w:type="dxa"/>
            <w:vAlign w:val="bottom"/>
          </w:tcPr>
          <w:p>
            <w:pPr>
              <w:ind w:left="480"/>
              <w:spacing w:after="0"/>
              <w:rPr>
                <w:sz w:val="20"/>
                <w:szCs w:val="20"/>
                <w:color w:val="auto"/>
              </w:rPr>
            </w:pPr>
            <w:r>
              <w:rPr>
                <w:rFonts w:ascii="Arial" w:cs="Arial" w:eastAsia="Arial" w:hAnsi="Arial"/>
                <w:sz w:val="16"/>
                <w:szCs w:val="16"/>
                <w:color w:val="auto"/>
              </w:rPr>
              <w:t>50 Hudson Yards</w:t>
            </w:r>
          </w:p>
        </w:tc>
        <w:tc>
          <w:tcPr>
            <w:tcW w:w="27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1"/>
        </w:trPr>
        <w:tc>
          <w:tcPr>
            <w:tcW w:w="15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6"/>
                <w:szCs w:val="16"/>
                <w:color w:val="auto"/>
              </w:rPr>
              <w:t>New York, NY 10055</w:t>
            </w:r>
          </w:p>
        </w:tc>
        <w:tc>
          <w:tcPr>
            <w:tcW w:w="27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0"/>
        </w:trPr>
        <w:tc>
          <w:tcPr>
            <w:tcW w:w="15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60"/>
        </w:trPr>
        <w:tc>
          <w:tcPr>
            <w:tcW w:w="1560" w:type="dxa"/>
            <w:vAlign w:val="bottom"/>
            <w:shd w:val="clear" w:color="auto" w:fill="DBDBDB"/>
          </w:tcPr>
          <w:p>
            <w:pPr>
              <w:spacing w:after="0" w:line="160" w:lineRule="exact"/>
              <w:rPr>
                <w:sz w:val="20"/>
                <w:szCs w:val="20"/>
                <w:color w:val="auto"/>
              </w:rPr>
            </w:pPr>
            <w:r>
              <w:rPr>
                <w:rFonts w:ascii="Arial" w:cs="Arial" w:eastAsia="Arial" w:hAnsi="Arial"/>
                <w:sz w:val="16"/>
                <w:szCs w:val="16"/>
                <w:color w:val="auto"/>
              </w:rPr>
              <w:t>Common Stock</w:t>
            </w:r>
          </w:p>
        </w:tc>
        <w:tc>
          <w:tcPr>
            <w:tcW w:w="5020" w:type="dxa"/>
            <w:vAlign w:val="bottom"/>
            <w:shd w:val="clear" w:color="auto" w:fill="DBDBDB"/>
          </w:tcPr>
          <w:p>
            <w:pPr>
              <w:ind w:left="480"/>
              <w:spacing w:after="0" w:line="160" w:lineRule="exact"/>
              <w:rPr>
                <w:sz w:val="20"/>
                <w:szCs w:val="20"/>
                <w:color w:val="auto"/>
              </w:rPr>
            </w:pPr>
            <w:r>
              <w:rPr>
                <w:rFonts w:ascii="Arial" w:cs="Arial" w:eastAsia="Arial" w:hAnsi="Arial"/>
                <w:sz w:val="16"/>
                <w:szCs w:val="16"/>
                <w:color w:val="auto"/>
              </w:rPr>
              <w:t>Kayne Anderson Rudnick Investment Management, LLC</w:t>
            </w:r>
          </w:p>
        </w:tc>
        <w:tc>
          <w:tcPr>
            <w:tcW w:w="2700" w:type="dxa"/>
            <w:vAlign w:val="bottom"/>
            <w:shd w:val="clear" w:color="auto" w:fill="DBDBDB"/>
          </w:tcPr>
          <w:p>
            <w:pPr>
              <w:jc w:val="center"/>
              <w:spacing w:after="0" w:line="160" w:lineRule="exact"/>
              <w:rPr>
                <w:sz w:val="20"/>
                <w:szCs w:val="20"/>
                <w:color w:val="auto"/>
              </w:rPr>
            </w:pPr>
            <w:r>
              <w:rPr>
                <w:rFonts w:ascii="Arial" w:cs="Arial" w:eastAsia="Arial" w:hAnsi="Arial"/>
                <w:sz w:val="14"/>
                <w:szCs w:val="14"/>
                <w:color w:val="auto"/>
              </w:rPr>
              <w:t>8,176,862</w:t>
            </w:r>
            <w:r>
              <w:rPr>
                <w:rFonts w:ascii="Arial" w:cs="Arial" w:eastAsia="Arial" w:hAnsi="Arial"/>
                <w:sz w:val="18"/>
                <w:szCs w:val="18"/>
                <w:color w:val="auto"/>
                <w:vertAlign w:val="superscript"/>
              </w:rPr>
              <w:t>4</w:t>
            </w:r>
          </w:p>
        </w:tc>
        <w:tc>
          <w:tcPr>
            <w:tcW w:w="1580" w:type="dxa"/>
            <w:vAlign w:val="bottom"/>
            <w:shd w:val="clear" w:color="auto" w:fill="DBDBDB"/>
          </w:tcPr>
          <w:p>
            <w:pPr>
              <w:jc w:val="center"/>
              <w:ind w:left="3"/>
              <w:spacing w:after="0" w:line="160" w:lineRule="exact"/>
              <w:rPr>
                <w:sz w:val="20"/>
                <w:szCs w:val="20"/>
                <w:color w:val="auto"/>
              </w:rPr>
            </w:pPr>
            <w:r>
              <w:rPr>
                <w:rFonts w:ascii="Arial" w:cs="Arial" w:eastAsia="Arial" w:hAnsi="Arial"/>
                <w:sz w:val="16"/>
                <w:szCs w:val="16"/>
                <w:color w:val="auto"/>
              </w:rPr>
              <w:t>8.19%</w:t>
            </w:r>
          </w:p>
        </w:tc>
      </w:tr>
      <w:tr>
        <w:trPr>
          <w:trHeight w:val="160"/>
        </w:trPr>
        <w:tc>
          <w:tcPr>
            <w:tcW w:w="1560" w:type="dxa"/>
            <w:vAlign w:val="bottom"/>
            <w:shd w:val="clear" w:color="auto" w:fill="DBDBDB"/>
          </w:tcPr>
          <w:p>
            <w:pPr>
              <w:spacing w:after="0"/>
              <w:rPr>
                <w:sz w:val="13"/>
                <w:szCs w:val="13"/>
                <w:color w:val="auto"/>
              </w:rPr>
            </w:pPr>
          </w:p>
        </w:tc>
        <w:tc>
          <w:tcPr>
            <w:tcW w:w="5020" w:type="dxa"/>
            <w:vAlign w:val="bottom"/>
            <w:shd w:val="clear" w:color="auto" w:fill="DBDBDB"/>
          </w:tcPr>
          <w:p>
            <w:pPr>
              <w:ind w:left="480"/>
              <w:spacing w:after="0" w:line="160" w:lineRule="exact"/>
              <w:rPr>
                <w:sz w:val="20"/>
                <w:szCs w:val="20"/>
                <w:color w:val="auto"/>
              </w:rPr>
            </w:pPr>
            <w:r>
              <w:rPr>
                <w:rFonts w:ascii="Arial" w:cs="Arial" w:eastAsia="Arial" w:hAnsi="Arial"/>
                <w:sz w:val="16"/>
                <w:szCs w:val="16"/>
                <w:color w:val="auto"/>
              </w:rPr>
              <w:t>2000 Avenue of the Stars</w:t>
            </w:r>
          </w:p>
        </w:tc>
        <w:tc>
          <w:tcPr>
            <w:tcW w:w="2700" w:type="dxa"/>
            <w:vAlign w:val="bottom"/>
            <w:shd w:val="clear" w:color="auto" w:fill="DBDBDB"/>
          </w:tcPr>
          <w:p>
            <w:pPr>
              <w:spacing w:after="0"/>
              <w:rPr>
                <w:sz w:val="13"/>
                <w:szCs w:val="13"/>
                <w:color w:val="auto"/>
              </w:rPr>
            </w:pPr>
          </w:p>
        </w:tc>
        <w:tc>
          <w:tcPr>
            <w:tcW w:w="1580" w:type="dxa"/>
            <w:vAlign w:val="bottom"/>
            <w:shd w:val="clear" w:color="auto" w:fill="DBDBDB"/>
          </w:tcPr>
          <w:p>
            <w:pPr>
              <w:spacing w:after="0"/>
              <w:rPr>
                <w:sz w:val="13"/>
                <w:szCs w:val="13"/>
                <w:color w:val="auto"/>
              </w:rPr>
            </w:pPr>
          </w:p>
        </w:tc>
      </w:tr>
      <w:tr>
        <w:trPr>
          <w:trHeight w:val="160"/>
        </w:trPr>
        <w:tc>
          <w:tcPr>
            <w:tcW w:w="1560" w:type="dxa"/>
            <w:vAlign w:val="bottom"/>
            <w:shd w:val="clear" w:color="auto" w:fill="DBDBDB"/>
          </w:tcPr>
          <w:p>
            <w:pPr>
              <w:spacing w:after="0"/>
              <w:rPr>
                <w:sz w:val="13"/>
                <w:szCs w:val="13"/>
                <w:color w:val="auto"/>
              </w:rPr>
            </w:pPr>
          </w:p>
        </w:tc>
        <w:tc>
          <w:tcPr>
            <w:tcW w:w="5020" w:type="dxa"/>
            <w:vAlign w:val="bottom"/>
            <w:shd w:val="clear" w:color="auto" w:fill="DBDBDB"/>
          </w:tcPr>
          <w:p>
            <w:pPr>
              <w:ind w:left="480"/>
              <w:spacing w:after="0" w:line="160" w:lineRule="exact"/>
              <w:rPr>
                <w:sz w:val="20"/>
                <w:szCs w:val="20"/>
                <w:color w:val="auto"/>
              </w:rPr>
            </w:pPr>
            <w:r>
              <w:rPr>
                <w:rFonts w:ascii="Arial" w:cs="Arial" w:eastAsia="Arial" w:hAnsi="Arial"/>
                <w:sz w:val="16"/>
                <w:szCs w:val="16"/>
                <w:color w:val="auto"/>
              </w:rPr>
              <w:t>Suite 1110</w:t>
            </w:r>
          </w:p>
        </w:tc>
        <w:tc>
          <w:tcPr>
            <w:tcW w:w="2700" w:type="dxa"/>
            <w:vAlign w:val="bottom"/>
            <w:shd w:val="clear" w:color="auto" w:fill="DBDBDB"/>
          </w:tcPr>
          <w:p>
            <w:pPr>
              <w:spacing w:after="0"/>
              <w:rPr>
                <w:sz w:val="13"/>
                <w:szCs w:val="13"/>
                <w:color w:val="auto"/>
              </w:rPr>
            </w:pPr>
          </w:p>
        </w:tc>
        <w:tc>
          <w:tcPr>
            <w:tcW w:w="1580" w:type="dxa"/>
            <w:vAlign w:val="bottom"/>
            <w:shd w:val="clear" w:color="auto" w:fill="DBDBDB"/>
          </w:tcPr>
          <w:p>
            <w:pPr>
              <w:spacing w:after="0"/>
              <w:rPr>
                <w:sz w:val="13"/>
                <w:szCs w:val="13"/>
                <w:color w:val="auto"/>
              </w:rPr>
            </w:pPr>
          </w:p>
        </w:tc>
      </w:tr>
      <w:tr>
        <w:trPr>
          <w:trHeight w:val="213"/>
        </w:trPr>
        <w:tc>
          <w:tcPr>
            <w:tcW w:w="1560" w:type="dxa"/>
            <w:vAlign w:val="bottom"/>
            <w:shd w:val="clear" w:color="auto" w:fill="DBDBDB"/>
          </w:tcPr>
          <w:p>
            <w:pPr>
              <w:spacing w:after="0"/>
              <w:rPr>
                <w:sz w:val="18"/>
                <w:szCs w:val="18"/>
                <w:color w:val="auto"/>
              </w:rPr>
            </w:pPr>
          </w:p>
        </w:tc>
        <w:tc>
          <w:tcPr>
            <w:tcW w:w="5020" w:type="dxa"/>
            <w:vAlign w:val="bottom"/>
            <w:shd w:val="clear" w:color="auto" w:fill="DBDBDB"/>
          </w:tcPr>
          <w:p>
            <w:pPr>
              <w:ind w:left="480"/>
              <w:spacing w:after="0"/>
              <w:rPr>
                <w:sz w:val="20"/>
                <w:szCs w:val="20"/>
                <w:color w:val="auto"/>
              </w:rPr>
            </w:pPr>
            <w:r>
              <w:rPr>
                <w:rFonts w:ascii="Arial" w:cs="Arial" w:eastAsia="Arial" w:hAnsi="Arial"/>
                <w:sz w:val="16"/>
                <w:szCs w:val="16"/>
                <w:color w:val="auto"/>
              </w:rPr>
              <w:t>Los Angeles, CA 90067</w:t>
            </w:r>
          </w:p>
        </w:tc>
        <w:tc>
          <w:tcPr>
            <w:tcW w:w="270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r>
      <w:tr>
        <w:trPr>
          <w:trHeight w:val="199"/>
        </w:trPr>
        <w:tc>
          <w:tcPr>
            <w:tcW w:w="1560" w:type="dxa"/>
            <w:vAlign w:val="bottom"/>
          </w:tcPr>
          <w:p>
            <w:pPr>
              <w:spacing w:after="0"/>
              <w:rPr>
                <w:sz w:val="20"/>
                <w:szCs w:val="20"/>
                <w:color w:val="auto"/>
              </w:rPr>
            </w:pPr>
            <w:r>
              <w:rPr>
                <w:rFonts w:ascii="Arial" w:cs="Arial" w:eastAsia="Arial" w:hAnsi="Arial"/>
                <w:sz w:val="16"/>
                <w:szCs w:val="16"/>
                <w:color w:val="auto"/>
              </w:rPr>
              <w:t>Common Stock</w:t>
            </w:r>
          </w:p>
        </w:tc>
        <w:tc>
          <w:tcPr>
            <w:tcW w:w="5020" w:type="dxa"/>
            <w:vAlign w:val="bottom"/>
          </w:tcPr>
          <w:p>
            <w:pPr>
              <w:ind w:left="480"/>
              <w:spacing w:after="0"/>
              <w:rPr>
                <w:sz w:val="20"/>
                <w:szCs w:val="20"/>
                <w:color w:val="auto"/>
              </w:rPr>
            </w:pPr>
            <w:r>
              <w:rPr>
                <w:rFonts w:ascii="Arial" w:cs="Arial" w:eastAsia="Arial" w:hAnsi="Arial"/>
                <w:sz w:val="16"/>
                <w:szCs w:val="16"/>
                <w:color w:val="auto"/>
              </w:rPr>
              <w:t>Select Equity Group, L.P.</w:t>
            </w:r>
          </w:p>
        </w:tc>
        <w:tc>
          <w:tcPr>
            <w:tcW w:w="2700" w:type="dxa"/>
            <w:vAlign w:val="bottom"/>
          </w:tcPr>
          <w:p>
            <w:pPr>
              <w:jc w:val="center"/>
              <w:spacing w:after="0" w:line="200" w:lineRule="exact"/>
              <w:rPr>
                <w:sz w:val="20"/>
                <w:szCs w:val="20"/>
                <w:color w:val="auto"/>
              </w:rPr>
            </w:pPr>
            <w:r>
              <w:rPr>
                <w:rFonts w:ascii="Arial" w:cs="Arial" w:eastAsia="Arial" w:hAnsi="Arial"/>
                <w:sz w:val="16"/>
                <w:szCs w:val="16"/>
                <w:color w:val="auto"/>
                <w:w w:val="96"/>
              </w:rPr>
              <w:t>5,557,179</w:t>
            </w:r>
            <w:r>
              <w:rPr>
                <w:rFonts w:ascii="Arial" w:cs="Arial" w:eastAsia="Arial" w:hAnsi="Arial"/>
                <w:sz w:val="20"/>
                <w:szCs w:val="20"/>
                <w:color w:val="auto"/>
                <w:w w:val="96"/>
                <w:vertAlign w:val="superscript"/>
              </w:rPr>
              <w:t>5</w:t>
            </w:r>
          </w:p>
        </w:tc>
        <w:tc>
          <w:tcPr>
            <w:tcW w:w="1580" w:type="dxa"/>
            <w:vAlign w:val="bottom"/>
          </w:tcPr>
          <w:p>
            <w:pPr>
              <w:jc w:val="center"/>
              <w:ind w:left="3"/>
              <w:spacing w:after="0"/>
              <w:rPr>
                <w:sz w:val="20"/>
                <w:szCs w:val="20"/>
                <w:color w:val="auto"/>
              </w:rPr>
            </w:pPr>
            <w:r>
              <w:rPr>
                <w:rFonts w:ascii="Arial" w:cs="Arial" w:eastAsia="Arial" w:hAnsi="Arial"/>
                <w:sz w:val="16"/>
                <w:szCs w:val="16"/>
                <w:color w:val="auto"/>
              </w:rPr>
              <w:t>5.40%</w:t>
            </w:r>
          </w:p>
        </w:tc>
      </w:tr>
      <w:tr>
        <w:trPr>
          <w:trHeight w:val="200"/>
        </w:trPr>
        <w:tc>
          <w:tcPr>
            <w:tcW w:w="1560" w:type="dxa"/>
            <w:vAlign w:val="bottom"/>
          </w:tcPr>
          <w:p>
            <w:pPr>
              <w:spacing w:after="0"/>
              <w:rPr>
                <w:sz w:val="17"/>
                <w:szCs w:val="17"/>
                <w:color w:val="auto"/>
              </w:rPr>
            </w:pPr>
          </w:p>
        </w:tc>
        <w:tc>
          <w:tcPr>
            <w:tcW w:w="5020" w:type="dxa"/>
            <w:vAlign w:val="bottom"/>
          </w:tcPr>
          <w:p>
            <w:pPr>
              <w:ind w:left="480"/>
              <w:spacing w:after="0"/>
              <w:rPr>
                <w:sz w:val="20"/>
                <w:szCs w:val="20"/>
                <w:color w:val="auto"/>
              </w:rPr>
            </w:pPr>
            <w:r>
              <w:rPr>
                <w:rFonts w:ascii="Arial" w:cs="Arial" w:eastAsia="Arial" w:hAnsi="Arial"/>
                <w:sz w:val="16"/>
                <w:szCs w:val="16"/>
                <w:color w:val="auto"/>
              </w:rPr>
              <w:t>380 Lafayette St., 6th Floor</w:t>
            </w:r>
          </w:p>
        </w:tc>
        <w:tc>
          <w:tcPr>
            <w:tcW w:w="27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1"/>
        </w:trPr>
        <w:tc>
          <w:tcPr>
            <w:tcW w:w="15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6"/>
                <w:szCs w:val="16"/>
                <w:color w:val="auto"/>
              </w:rPr>
              <w:t>New York, NY 10003</w:t>
            </w:r>
          </w:p>
        </w:tc>
        <w:tc>
          <w:tcPr>
            <w:tcW w:w="2700" w:type="dxa"/>
            <w:vAlign w:val="bottom"/>
          </w:tcPr>
          <w:p>
            <w:pPr>
              <w:spacing w:after="0"/>
              <w:rPr>
                <w:sz w:val="18"/>
                <w:szCs w:val="18"/>
                <w:color w:val="auto"/>
              </w:rPr>
            </w:pPr>
          </w:p>
        </w:tc>
        <w:tc>
          <w:tcPr>
            <w:tcW w:w="15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129540</wp:posOffset>
            </wp:positionV>
            <wp:extent cx="19913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327" w:lineRule="exact"/>
        <w:rPr>
          <w:sz w:val="20"/>
          <w:szCs w:val="20"/>
          <w:color w:val="auto"/>
        </w:rPr>
      </w:pPr>
    </w:p>
    <w:p>
      <w:pPr>
        <w:ind w:left="320" w:hanging="313"/>
        <w:spacing w:after="0"/>
        <w:tabs>
          <w:tab w:leader="none" w:pos="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Percent of class is based on 97,480,643 shares outstanding as of January 20, 2026.</w:t>
      </w:r>
    </w:p>
    <w:p>
      <w:pPr>
        <w:spacing w:after="0" w:line="46" w:lineRule="exact"/>
        <w:rPr>
          <w:rFonts w:ascii="Arial" w:cs="Arial" w:eastAsia="Arial" w:hAnsi="Arial"/>
          <w:sz w:val="18"/>
          <w:szCs w:val="18"/>
          <w:color w:val="auto"/>
        </w:rPr>
      </w:pPr>
    </w:p>
    <w:p>
      <w:pPr>
        <w:jc w:val="both"/>
        <w:ind w:left="320" w:hanging="313"/>
        <w:spacing w:after="0" w:line="247" w:lineRule="auto"/>
        <w:tabs>
          <w:tab w:leader="none" w:pos="308"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13G/A of The Vanguard Group, Inc., an investment adviser, filed with the SEC on February 13, 2024, reflecting beneficial ownership as of December 29, 2023, with sole investment discretion with respect to 10,342,762 shares, shared investment discretion with respect to 148,647 shares, and shared voting authority with respect to 65,209 shares. The Vanguard Group, Inc. does not have sole voting authority over any of the shares.</w:t>
      </w:r>
    </w:p>
    <w:p>
      <w:pPr>
        <w:spacing w:after="0" w:line="15" w:lineRule="exact"/>
        <w:rPr>
          <w:rFonts w:ascii="Arial" w:cs="Arial" w:eastAsia="Arial" w:hAnsi="Arial"/>
          <w:sz w:val="18"/>
          <w:szCs w:val="18"/>
          <w:color w:val="auto"/>
        </w:rPr>
      </w:pPr>
    </w:p>
    <w:p>
      <w:pPr>
        <w:jc w:val="both"/>
        <w:ind w:left="320" w:hanging="313"/>
        <w:spacing w:after="0" w:line="247" w:lineRule="auto"/>
        <w:tabs>
          <w:tab w:leader="none" w:pos="308"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13G/A of BlackRock, Inc., a parent holding company, filed with the SEC on January 24, 2024, reflecting beneficial ownership as of December 31, 2023, with sole investment discretion with respect to all such shares and sole voting authority with respect to 9,892,953 shares. BlackRock, Inc. does not have shared voting authority or shared investment discretion over any of the shares.</w:t>
      </w:r>
    </w:p>
    <w:p>
      <w:pPr>
        <w:spacing w:after="0" w:line="28" w:lineRule="exact"/>
        <w:rPr>
          <w:rFonts w:ascii="Arial" w:cs="Arial" w:eastAsia="Arial" w:hAnsi="Arial"/>
          <w:sz w:val="18"/>
          <w:szCs w:val="18"/>
          <w:color w:val="auto"/>
        </w:rPr>
      </w:pPr>
    </w:p>
    <w:p>
      <w:pPr>
        <w:jc w:val="both"/>
        <w:ind w:left="320" w:hanging="313"/>
        <w:spacing w:after="0" w:line="247" w:lineRule="auto"/>
        <w:tabs>
          <w:tab w:leader="none" w:pos="308"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13G/A of Kayne Anderson Rudnick Investment Management, LLC, an investment adviser, filed with the SEC on May 14, 2025, reflecting beneficial ownership as of March 31, 2025, with sole voting power with respect to 5,527,577 shares, sole investment discretion with respect to 6,288,079 shares and shared voting authority and shared investment discretion with respect to 1,888,783 shares.</w:t>
      </w:r>
    </w:p>
    <w:p>
      <w:pPr>
        <w:spacing w:after="0" w:line="15" w:lineRule="exact"/>
        <w:rPr>
          <w:rFonts w:ascii="Arial" w:cs="Arial" w:eastAsia="Arial" w:hAnsi="Arial"/>
          <w:sz w:val="18"/>
          <w:szCs w:val="18"/>
          <w:color w:val="auto"/>
        </w:rPr>
      </w:pPr>
    </w:p>
    <w:p>
      <w:pPr>
        <w:jc w:val="both"/>
        <w:ind w:left="320" w:hanging="313"/>
        <w:spacing w:after="0" w:line="247" w:lineRule="auto"/>
        <w:tabs>
          <w:tab w:leader="none" w:pos="308"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13G/A of Select Equity Group, L.P., an investment adviser and parent holding company, filed with the SEC on February 14, 2024, reflecting beneficial ownership as of December 31, 2023, with shared investment discretion and shared voting authority with respect to all such shares. Select Equity Group, L.P. does not have sole voting authority or sole investment discretion over any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98" w:name="page99"/>
    <w:bookmarkEnd w:id="98"/>
    <w:p>
      <w:pPr>
        <w:spacing w:after="0"/>
        <w:rPr>
          <w:sz w:val="20"/>
          <w:szCs w:val="20"/>
          <w:color w:val="auto"/>
        </w:rPr>
      </w:pPr>
      <w:r>
        <w:rPr>
          <w:rFonts w:ascii="Arial" w:cs="Arial" w:eastAsia="Arial" w:hAnsi="Arial"/>
          <w:sz w:val="20"/>
          <w:szCs w:val="20"/>
          <w:b w:val="1"/>
          <w:bCs w:val="1"/>
          <w:color w:val="C00000"/>
        </w:rPr>
        <w:t>Directors and Executive Officers</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 sets forth information known to us regarding the beneficial ownership of our common stock as of January 20, 2026, by: (i) each of our current non-employee directors, (ii) our current executive officers named in the Summary Compensation Table, and (iii) all current non-employee directors and executive officers as a group.</w:t>
      </w:r>
    </w:p>
    <w:p>
      <w:pPr>
        <w:spacing w:after="0" w:line="107"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1620" w:type="dxa"/>
            <w:vAlign w:val="bottom"/>
            <w:shd w:val="clear" w:color="auto" w:fill="BF2115"/>
          </w:tcPr>
          <w:p>
            <w:pPr>
              <w:spacing w:after="0"/>
              <w:rPr>
                <w:sz w:val="17"/>
                <w:szCs w:val="17"/>
                <w:color w:val="auto"/>
              </w:rPr>
            </w:pPr>
          </w:p>
        </w:tc>
        <w:tc>
          <w:tcPr>
            <w:tcW w:w="4240" w:type="dxa"/>
            <w:vAlign w:val="bottom"/>
            <w:shd w:val="clear" w:color="auto" w:fill="BF2115"/>
          </w:tcPr>
          <w:p>
            <w:pPr>
              <w:spacing w:after="0"/>
              <w:rPr>
                <w:sz w:val="17"/>
                <w:szCs w:val="17"/>
                <w:color w:val="auto"/>
              </w:rPr>
            </w:pPr>
          </w:p>
        </w:tc>
        <w:tc>
          <w:tcPr>
            <w:tcW w:w="3600" w:type="dxa"/>
            <w:vAlign w:val="bottom"/>
            <w:shd w:val="clear" w:color="auto" w:fill="BF2115"/>
          </w:tcPr>
          <w:p>
            <w:pPr>
              <w:jc w:val="center"/>
              <w:ind w:left="1023"/>
              <w:spacing w:after="0"/>
              <w:rPr>
                <w:sz w:val="20"/>
                <w:szCs w:val="20"/>
                <w:color w:val="auto"/>
              </w:rPr>
            </w:pPr>
            <w:r>
              <w:rPr>
                <w:rFonts w:ascii="Arial" w:cs="Arial" w:eastAsia="Arial" w:hAnsi="Arial"/>
                <w:sz w:val="14"/>
                <w:szCs w:val="14"/>
                <w:b w:val="1"/>
                <w:bCs w:val="1"/>
                <w:color w:val="FFFFFF"/>
              </w:rPr>
              <w:t>Amount and Nature of</w:t>
            </w:r>
          </w:p>
        </w:tc>
        <w:tc>
          <w:tcPr>
            <w:tcW w:w="1080" w:type="dxa"/>
            <w:vAlign w:val="bottom"/>
            <w:vMerge w:val="restart"/>
            <w:shd w:val="clear" w:color="auto" w:fill="BF2115"/>
          </w:tcPr>
          <w:p>
            <w:pPr>
              <w:jc w:val="center"/>
              <w:spacing w:after="0"/>
              <w:rPr>
                <w:sz w:val="20"/>
                <w:szCs w:val="20"/>
                <w:color w:val="auto"/>
              </w:rPr>
            </w:pPr>
            <w:r>
              <w:rPr>
                <w:rFonts w:ascii="Arial" w:cs="Arial" w:eastAsia="Arial" w:hAnsi="Arial"/>
                <w:sz w:val="14"/>
                <w:szCs w:val="14"/>
                <w:b w:val="1"/>
                <w:bCs w:val="1"/>
                <w:color w:val="FFFFFF"/>
                <w:w w:val="99"/>
              </w:rPr>
              <w:t>Percent of</w:t>
            </w:r>
          </w:p>
        </w:tc>
        <w:tc>
          <w:tcPr>
            <w:tcW w:w="0" w:type="dxa"/>
            <w:vAlign w:val="bottom"/>
          </w:tcPr>
          <w:p>
            <w:pPr>
              <w:spacing w:after="0"/>
              <w:rPr>
                <w:sz w:val="1"/>
                <w:szCs w:val="1"/>
                <w:color w:val="auto"/>
              </w:rPr>
            </w:pPr>
          </w:p>
        </w:tc>
      </w:tr>
      <w:tr>
        <w:trPr>
          <w:trHeight w:val="143"/>
        </w:trPr>
        <w:tc>
          <w:tcPr>
            <w:tcW w:w="1620" w:type="dxa"/>
            <w:vAlign w:val="bottom"/>
            <w:vMerge w:val="restart"/>
            <w:shd w:val="clear" w:color="auto" w:fill="BF2115"/>
          </w:tcPr>
          <w:p>
            <w:pPr>
              <w:spacing w:after="0"/>
              <w:rPr>
                <w:sz w:val="20"/>
                <w:szCs w:val="20"/>
                <w:color w:val="auto"/>
              </w:rPr>
            </w:pPr>
            <w:r>
              <w:rPr>
                <w:rFonts w:ascii="Arial" w:cs="Arial" w:eastAsia="Arial" w:hAnsi="Arial"/>
                <w:sz w:val="14"/>
                <w:szCs w:val="14"/>
                <w:b w:val="1"/>
                <w:bCs w:val="1"/>
                <w:color w:val="FFFFFF"/>
              </w:rPr>
              <w:t>Title of Class</w:t>
            </w:r>
          </w:p>
        </w:tc>
        <w:tc>
          <w:tcPr>
            <w:tcW w:w="4240" w:type="dxa"/>
            <w:vAlign w:val="bottom"/>
            <w:vMerge w:val="restart"/>
            <w:shd w:val="clear" w:color="auto" w:fill="BF2115"/>
          </w:tcPr>
          <w:p>
            <w:pPr>
              <w:ind w:left="500"/>
              <w:spacing w:after="0"/>
              <w:rPr>
                <w:sz w:val="20"/>
                <w:szCs w:val="20"/>
                <w:color w:val="auto"/>
              </w:rPr>
            </w:pPr>
            <w:r>
              <w:rPr>
                <w:rFonts w:ascii="Arial" w:cs="Arial" w:eastAsia="Arial" w:hAnsi="Arial"/>
                <w:sz w:val="14"/>
                <w:szCs w:val="14"/>
                <w:b w:val="1"/>
                <w:bCs w:val="1"/>
                <w:color w:val="FFFFFF"/>
              </w:rPr>
              <w:t>Name of Beneficial Owner</w:t>
            </w:r>
          </w:p>
        </w:tc>
        <w:tc>
          <w:tcPr>
            <w:tcW w:w="3600" w:type="dxa"/>
            <w:vAlign w:val="bottom"/>
            <w:shd w:val="clear" w:color="auto" w:fill="BF2115"/>
          </w:tcPr>
          <w:p>
            <w:pPr>
              <w:jc w:val="center"/>
              <w:ind w:left="1023"/>
              <w:spacing w:after="0" w:line="143" w:lineRule="exact"/>
              <w:rPr>
                <w:sz w:val="20"/>
                <w:szCs w:val="20"/>
                <w:color w:val="auto"/>
              </w:rPr>
            </w:pPr>
            <w:r>
              <w:rPr>
                <w:rFonts w:ascii="Arial" w:cs="Arial" w:eastAsia="Arial" w:hAnsi="Arial"/>
                <w:sz w:val="14"/>
                <w:szCs w:val="14"/>
                <w:b w:val="1"/>
                <w:bCs w:val="1"/>
                <w:color w:val="FFFFFF"/>
              </w:rPr>
              <w:t>Beneficial Ownership</w:t>
            </w:r>
          </w:p>
        </w:tc>
        <w:tc>
          <w:tcPr>
            <w:tcW w:w="1080" w:type="dxa"/>
            <w:vAlign w:val="bottom"/>
            <w:vMerge w:val="continue"/>
            <w:shd w:val="clear" w:color="auto" w:fill="BF2115"/>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620" w:type="dxa"/>
            <w:vAlign w:val="bottom"/>
            <w:vMerge w:val="continue"/>
            <w:shd w:val="clear" w:color="auto" w:fill="BF2115"/>
          </w:tcPr>
          <w:p>
            <w:pPr>
              <w:spacing w:after="0"/>
              <w:rPr>
                <w:sz w:val="16"/>
                <w:szCs w:val="16"/>
                <w:color w:val="auto"/>
              </w:rPr>
            </w:pPr>
          </w:p>
        </w:tc>
        <w:tc>
          <w:tcPr>
            <w:tcW w:w="4240" w:type="dxa"/>
            <w:vAlign w:val="bottom"/>
            <w:vMerge w:val="continue"/>
            <w:shd w:val="clear" w:color="auto" w:fill="BF2115"/>
          </w:tcPr>
          <w:p>
            <w:pPr>
              <w:spacing w:after="0"/>
              <w:rPr>
                <w:sz w:val="16"/>
                <w:szCs w:val="16"/>
                <w:color w:val="auto"/>
              </w:rPr>
            </w:pPr>
          </w:p>
        </w:tc>
        <w:tc>
          <w:tcPr>
            <w:tcW w:w="3600" w:type="dxa"/>
            <w:vAlign w:val="bottom"/>
            <w:shd w:val="clear" w:color="auto" w:fill="BF2115"/>
          </w:tcPr>
          <w:p>
            <w:pPr>
              <w:jc w:val="center"/>
              <w:ind w:left="1043"/>
              <w:spacing w:after="0"/>
              <w:rPr>
                <w:sz w:val="20"/>
                <w:szCs w:val="20"/>
                <w:color w:val="auto"/>
              </w:rPr>
            </w:pPr>
            <w:r>
              <w:rPr>
                <w:rFonts w:ascii="Arial" w:cs="Arial" w:eastAsia="Arial" w:hAnsi="Arial"/>
                <w:sz w:val="9"/>
                <w:szCs w:val="9"/>
                <w:b w:val="1"/>
                <w:bCs w:val="1"/>
                <w:color w:val="FFFFFF"/>
              </w:rPr>
              <w:t>1 2 3 4</w:t>
            </w:r>
          </w:p>
        </w:tc>
        <w:tc>
          <w:tcPr>
            <w:tcW w:w="1080" w:type="dxa"/>
            <w:vAlign w:val="bottom"/>
            <w:shd w:val="clear" w:color="auto" w:fill="BF2115"/>
          </w:tcPr>
          <w:p>
            <w:pPr>
              <w:jc w:val="center"/>
              <w:spacing w:after="0" w:line="187" w:lineRule="exact"/>
              <w:rPr>
                <w:sz w:val="20"/>
                <w:szCs w:val="20"/>
                <w:color w:val="auto"/>
              </w:rPr>
            </w:pPr>
            <w:r>
              <w:rPr>
                <w:rFonts w:ascii="Arial" w:cs="Arial" w:eastAsia="Arial" w:hAnsi="Arial"/>
                <w:sz w:val="14"/>
                <w:szCs w:val="14"/>
                <w:b w:val="1"/>
                <w:bCs w:val="1"/>
                <w:color w:val="FFFFFF"/>
                <w:w w:val="99"/>
              </w:rPr>
              <w:t>Class</w:t>
            </w:r>
            <w:r>
              <w:rPr>
                <w:rFonts w:ascii="Arial" w:cs="Arial" w:eastAsia="Arial" w:hAnsi="Arial"/>
                <w:sz w:val="18"/>
                <w:szCs w:val="18"/>
                <w:b w:val="1"/>
                <w:bCs w:val="1"/>
                <w:color w:val="FFFFFF"/>
                <w:w w:val="99"/>
                <w:vertAlign w:val="superscript"/>
              </w:rPr>
              <w:t>5</w:t>
            </w:r>
          </w:p>
        </w:tc>
        <w:tc>
          <w:tcPr>
            <w:tcW w:w="0" w:type="dxa"/>
            <w:vAlign w:val="bottom"/>
          </w:tcPr>
          <w:p>
            <w:pPr>
              <w:spacing w:after="0"/>
              <w:rPr>
                <w:sz w:val="1"/>
                <w:szCs w:val="1"/>
                <w:color w:val="auto"/>
              </w:rPr>
            </w:pPr>
          </w:p>
        </w:tc>
      </w:tr>
      <w:tr>
        <w:trPr>
          <w:trHeight w:val="211"/>
        </w:trPr>
        <w:tc>
          <w:tcPr>
            <w:tcW w:w="1620" w:type="dxa"/>
            <w:vAlign w:val="bottom"/>
          </w:tcPr>
          <w:p>
            <w:pPr>
              <w:spacing w:after="0"/>
              <w:rPr>
                <w:sz w:val="18"/>
                <w:szCs w:val="18"/>
                <w:color w:val="auto"/>
              </w:rPr>
            </w:pPr>
          </w:p>
        </w:tc>
        <w:tc>
          <w:tcPr>
            <w:tcW w:w="4240" w:type="dxa"/>
            <w:vAlign w:val="bottom"/>
          </w:tcPr>
          <w:p>
            <w:pPr>
              <w:ind w:left="500"/>
              <w:spacing w:after="0"/>
              <w:rPr>
                <w:sz w:val="20"/>
                <w:szCs w:val="20"/>
                <w:color w:val="auto"/>
              </w:rPr>
            </w:pPr>
            <w:r>
              <w:rPr>
                <w:rFonts w:ascii="Arial" w:cs="Arial" w:eastAsia="Arial" w:hAnsi="Arial"/>
                <w:sz w:val="16"/>
                <w:szCs w:val="16"/>
                <w:color w:val="auto"/>
              </w:rPr>
              <w:t>Non-Employee Directors:</w:t>
            </w: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6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2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6"/>
                <w:szCs w:val="16"/>
                <w:color w:val="auto"/>
              </w:rPr>
              <w:t>Common Stock</w:t>
            </w:r>
          </w:p>
        </w:tc>
        <w:tc>
          <w:tcPr>
            <w:tcW w:w="4240" w:type="dxa"/>
            <w:vAlign w:val="bottom"/>
            <w:tcBorders>
              <w:bottom w:val="single" w:sz="8" w:color="DBDBDB"/>
            </w:tcBorders>
            <w:shd w:val="clear" w:color="auto" w:fill="DBDBDB"/>
          </w:tcPr>
          <w:p>
            <w:pPr>
              <w:ind w:left="700"/>
              <w:spacing w:after="0"/>
              <w:rPr>
                <w:sz w:val="20"/>
                <w:szCs w:val="20"/>
                <w:color w:val="auto"/>
              </w:rPr>
            </w:pPr>
            <w:r>
              <w:rPr>
                <w:rFonts w:ascii="Arial" w:cs="Arial" w:eastAsia="Arial" w:hAnsi="Arial"/>
                <w:sz w:val="16"/>
                <w:szCs w:val="16"/>
                <w:color w:val="auto"/>
              </w:rPr>
              <w:t>Dianne C. Craig</w:t>
            </w:r>
          </w:p>
        </w:tc>
        <w:tc>
          <w:tcPr>
            <w:tcW w:w="3600" w:type="dxa"/>
            <w:vAlign w:val="bottom"/>
            <w:tcBorders>
              <w:bottom w:val="single" w:sz="8" w:color="DBDBDB"/>
            </w:tcBorders>
            <w:shd w:val="clear" w:color="auto" w:fill="DBDBDB"/>
          </w:tcPr>
          <w:p>
            <w:pPr>
              <w:jc w:val="right"/>
              <w:ind w:right="83"/>
              <w:spacing w:after="0"/>
              <w:rPr>
                <w:sz w:val="20"/>
                <w:szCs w:val="20"/>
                <w:color w:val="auto"/>
              </w:rPr>
            </w:pPr>
            <w:r>
              <w:rPr>
                <w:rFonts w:ascii="Arial" w:cs="Arial" w:eastAsia="Arial" w:hAnsi="Arial"/>
                <w:sz w:val="16"/>
                <w:szCs w:val="16"/>
                <w:color w:val="auto"/>
              </w:rPr>
              <w:t>6,031</w:t>
            </w:r>
          </w:p>
        </w:tc>
        <w:tc>
          <w:tcPr>
            <w:tcW w:w="10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1620" w:type="dxa"/>
            <w:vAlign w:val="bottom"/>
          </w:tcPr>
          <w:p>
            <w:pPr>
              <w:spacing w:after="0"/>
              <w:rPr>
                <w:sz w:val="20"/>
                <w:szCs w:val="20"/>
                <w:color w:val="auto"/>
              </w:rPr>
            </w:pPr>
            <w:r>
              <w:rPr>
                <w:rFonts w:ascii="Arial" w:cs="Arial" w:eastAsia="Arial" w:hAnsi="Arial"/>
                <w:sz w:val="16"/>
                <w:szCs w:val="16"/>
                <w:color w:val="auto"/>
              </w:rPr>
              <w:t>Common Stock</w:t>
            </w:r>
          </w:p>
        </w:tc>
        <w:tc>
          <w:tcPr>
            <w:tcW w:w="4240" w:type="dxa"/>
            <w:vAlign w:val="bottom"/>
          </w:tcPr>
          <w:p>
            <w:pPr>
              <w:ind w:left="700"/>
              <w:spacing w:after="0"/>
              <w:rPr>
                <w:sz w:val="20"/>
                <w:szCs w:val="20"/>
                <w:color w:val="auto"/>
              </w:rPr>
            </w:pPr>
            <w:r>
              <w:rPr>
                <w:rFonts w:ascii="Arial" w:cs="Arial" w:eastAsia="Arial" w:hAnsi="Arial"/>
                <w:sz w:val="16"/>
                <w:szCs w:val="16"/>
                <w:color w:val="auto"/>
              </w:rPr>
              <w:t>Gary L. Ellis</w:t>
            </w:r>
          </w:p>
        </w:tc>
        <w:tc>
          <w:tcPr>
            <w:tcW w:w="3600" w:type="dxa"/>
            <w:vAlign w:val="bottom"/>
          </w:tcPr>
          <w:p>
            <w:pPr>
              <w:jc w:val="right"/>
              <w:ind w:right="83"/>
              <w:spacing w:after="0"/>
              <w:rPr>
                <w:sz w:val="20"/>
                <w:szCs w:val="20"/>
                <w:color w:val="auto"/>
              </w:rPr>
            </w:pPr>
            <w:r>
              <w:rPr>
                <w:rFonts w:ascii="Arial" w:cs="Arial" w:eastAsia="Arial" w:hAnsi="Arial"/>
                <w:sz w:val="16"/>
                <w:szCs w:val="16"/>
                <w:color w:val="auto"/>
              </w:rPr>
              <w:t>65,721</w:t>
            </w:r>
          </w:p>
        </w:tc>
        <w:tc>
          <w:tcPr>
            <w:tcW w:w="108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16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2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6"/>
                <w:szCs w:val="16"/>
                <w:color w:val="auto"/>
              </w:rPr>
              <w:t>Common Stock</w:t>
            </w:r>
          </w:p>
        </w:tc>
        <w:tc>
          <w:tcPr>
            <w:tcW w:w="4240" w:type="dxa"/>
            <w:vAlign w:val="bottom"/>
            <w:tcBorders>
              <w:bottom w:val="single" w:sz="8" w:color="DBDBDB"/>
            </w:tcBorders>
            <w:shd w:val="clear" w:color="auto" w:fill="DBDBDB"/>
          </w:tcPr>
          <w:p>
            <w:pPr>
              <w:ind w:left="700"/>
              <w:spacing w:after="0"/>
              <w:rPr>
                <w:sz w:val="20"/>
                <w:szCs w:val="20"/>
                <w:color w:val="auto"/>
              </w:rPr>
            </w:pPr>
            <w:r>
              <w:rPr>
                <w:rFonts w:ascii="Arial" w:cs="Arial" w:eastAsia="Arial" w:hAnsi="Arial"/>
                <w:sz w:val="16"/>
                <w:szCs w:val="16"/>
                <w:color w:val="auto"/>
              </w:rPr>
              <w:t>Eric P. Hansotia</w:t>
            </w:r>
          </w:p>
        </w:tc>
        <w:tc>
          <w:tcPr>
            <w:tcW w:w="3600" w:type="dxa"/>
            <w:vAlign w:val="bottom"/>
            <w:tcBorders>
              <w:bottom w:val="single" w:sz="8" w:color="DBDBDB"/>
            </w:tcBorders>
            <w:shd w:val="clear" w:color="auto" w:fill="DBDBDB"/>
          </w:tcPr>
          <w:p>
            <w:pPr>
              <w:jc w:val="right"/>
              <w:ind w:right="83"/>
              <w:spacing w:after="0"/>
              <w:rPr>
                <w:sz w:val="20"/>
                <w:szCs w:val="20"/>
                <w:color w:val="auto"/>
              </w:rPr>
            </w:pPr>
            <w:r>
              <w:rPr>
                <w:rFonts w:ascii="Arial" w:cs="Arial" w:eastAsia="Arial" w:hAnsi="Arial"/>
                <w:sz w:val="16"/>
                <w:szCs w:val="16"/>
                <w:color w:val="auto"/>
              </w:rPr>
              <w:t>8,030</w:t>
            </w:r>
          </w:p>
        </w:tc>
        <w:tc>
          <w:tcPr>
            <w:tcW w:w="10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1620" w:type="dxa"/>
            <w:vAlign w:val="bottom"/>
          </w:tcPr>
          <w:p>
            <w:pPr>
              <w:spacing w:after="0"/>
              <w:rPr>
                <w:sz w:val="20"/>
                <w:szCs w:val="20"/>
                <w:color w:val="auto"/>
              </w:rPr>
            </w:pPr>
            <w:r>
              <w:rPr>
                <w:rFonts w:ascii="Arial" w:cs="Arial" w:eastAsia="Arial" w:hAnsi="Arial"/>
                <w:sz w:val="16"/>
                <w:szCs w:val="16"/>
                <w:color w:val="auto"/>
              </w:rPr>
              <w:t>Common Stock</w:t>
            </w:r>
          </w:p>
        </w:tc>
        <w:tc>
          <w:tcPr>
            <w:tcW w:w="4240" w:type="dxa"/>
            <w:vAlign w:val="bottom"/>
          </w:tcPr>
          <w:p>
            <w:pPr>
              <w:ind w:left="700"/>
              <w:spacing w:after="0"/>
              <w:rPr>
                <w:sz w:val="20"/>
                <w:szCs w:val="20"/>
                <w:color w:val="auto"/>
              </w:rPr>
            </w:pPr>
            <w:r>
              <w:rPr>
                <w:rFonts w:ascii="Arial" w:cs="Arial" w:eastAsia="Arial" w:hAnsi="Arial"/>
                <w:sz w:val="16"/>
                <w:szCs w:val="16"/>
                <w:color w:val="auto"/>
              </w:rPr>
              <w:t>Jeffrey L. Harmening</w:t>
            </w:r>
          </w:p>
        </w:tc>
        <w:tc>
          <w:tcPr>
            <w:tcW w:w="3600" w:type="dxa"/>
            <w:vAlign w:val="bottom"/>
          </w:tcPr>
          <w:p>
            <w:pPr>
              <w:jc w:val="right"/>
              <w:ind w:right="83"/>
              <w:spacing w:after="0"/>
              <w:rPr>
                <w:sz w:val="20"/>
                <w:szCs w:val="20"/>
                <w:color w:val="auto"/>
              </w:rPr>
            </w:pPr>
            <w:r>
              <w:rPr>
                <w:rFonts w:ascii="Arial" w:cs="Arial" w:eastAsia="Arial" w:hAnsi="Arial"/>
                <w:sz w:val="16"/>
                <w:szCs w:val="16"/>
                <w:color w:val="auto"/>
              </w:rPr>
              <w:t>22,317</w:t>
            </w:r>
          </w:p>
        </w:tc>
        <w:tc>
          <w:tcPr>
            <w:tcW w:w="108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16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2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6"/>
                <w:szCs w:val="16"/>
                <w:color w:val="auto"/>
              </w:rPr>
              <w:t>Common Stock</w:t>
            </w:r>
          </w:p>
        </w:tc>
        <w:tc>
          <w:tcPr>
            <w:tcW w:w="4240" w:type="dxa"/>
            <w:vAlign w:val="bottom"/>
            <w:tcBorders>
              <w:bottom w:val="single" w:sz="8" w:color="DBDBDB"/>
            </w:tcBorders>
            <w:shd w:val="clear" w:color="auto" w:fill="DBDBDB"/>
          </w:tcPr>
          <w:p>
            <w:pPr>
              <w:ind w:left="700"/>
              <w:spacing w:after="0"/>
              <w:rPr>
                <w:sz w:val="20"/>
                <w:szCs w:val="20"/>
                <w:color w:val="auto"/>
              </w:rPr>
            </w:pPr>
            <w:r>
              <w:rPr>
                <w:rFonts w:ascii="Arial" w:cs="Arial" w:eastAsia="Arial" w:hAnsi="Arial"/>
                <w:sz w:val="16"/>
                <w:szCs w:val="16"/>
                <w:color w:val="auto"/>
              </w:rPr>
              <w:t>D. Christian Koch</w:t>
            </w:r>
          </w:p>
        </w:tc>
        <w:tc>
          <w:tcPr>
            <w:tcW w:w="3600" w:type="dxa"/>
            <w:vAlign w:val="bottom"/>
            <w:tcBorders>
              <w:bottom w:val="single" w:sz="8" w:color="DBDBDB"/>
            </w:tcBorders>
            <w:shd w:val="clear" w:color="auto" w:fill="DBDBDB"/>
          </w:tcPr>
          <w:p>
            <w:pPr>
              <w:jc w:val="right"/>
              <w:ind w:right="83"/>
              <w:spacing w:after="0"/>
              <w:rPr>
                <w:sz w:val="20"/>
                <w:szCs w:val="20"/>
                <w:color w:val="auto"/>
              </w:rPr>
            </w:pPr>
            <w:r>
              <w:rPr>
                <w:rFonts w:ascii="Arial" w:cs="Arial" w:eastAsia="Arial" w:hAnsi="Arial"/>
                <w:sz w:val="16"/>
                <w:szCs w:val="16"/>
                <w:color w:val="auto"/>
              </w:rPr>
              <w:t>41,823</w:t>
            </w:r>
          </w:p>
        </w:tc>
        <w:tc>
          <w:tcPr>
            <w:tcW w:w="10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1620" w:type="dxa"/>
            <w:vAlign w:val="bottom"/>
          </w:tcPr>
          <w:p>
            <w:pPr>
              <w:spacing w:after="0"/>
              <w:rPr>
                <w:sz w:val="20"/>
                <w:szCs w:val="20"/>
                <w:color w:val="auto"/>
              </w:rPr>
            </w:pPr>
            <w:r>
              <w:rPr>
                <w:rFonts w:ascii="Arial" w:cs="Arial" w:eastAsia="Arial" w:hAnsi="Arial"/>
                <w:sz w:val="16"/>
                <w:szCs w:val="16"/>
                <w:color w:val="auto"/>
              </w:rPr>
              <w:t>Common Stock</w:t>
            </w:r>
          </w:p>
        </w:tc>
        <w:tc>
          <w:tcPr>
            <w:tcW w:w="4240" w:type="dxa"/>
            <w:vAlign w:val="bottom"/>
          </w:tcPr>
          <w:p>
            <w:pPr>
              <w:ind w:left="700"/>
              <w:spacing w:after="0"/>
              <w:rPr>
                <w:sz w:val="20"/>
                <w:szCs w:val="20"/>
                <w:color w:val="auto"/>
              </w:rPr>
            </w:pPr>
            <w:r>
              <w:rPr>
                <w:rFonts w:ascii="Arial" w:cs="Arial" w:eastAsia="Arial" w:hAnsi="Arial"/>
                <w:sz w:val="16"/>
                <w:szCs w:val="16"/>
                <w:color w:val="auto"/>
              </w:rPr>
              <w:t>Joyce A. Mullen</w:t>
            </w:r>
          </w:p>
        </w:tc>
        <w:tc>
          <w:tcPr>
            <w:tcW w:w="3600" w:type="dxa"/>
            <w:vAlign w:val="bottom"/>
          </w:tcPr>
          <w:p>
            <w:pPr>
              <w:jc w:val="right"/>
              <w:ind w:right="83"/>
              <w:spacing w:after="0"/>
              <w:rPr>
                <w:sz w:val="20"/>
                <w:szCs w:val="20"/>
                <w:color w:val="auto"/>
              </w:rPr>
            </w:pPr>
            <w:r>
              <w:rPr>
                <w:rFonts w:ascii="Arial" w:cs="Arial" w:eastAsia="Arial" w:hAnsi="Arial"/>
                <w:sz w:val="16"/>
                <w:szCs w:val="16"/>
                <w:color w:val="auto"/>
              </w:rPr>
              <w:t>18,690</w:t>
            </w:r>
          </w:p>
        </w:tc>
        <w:tc>
          <w:tcPr>
            <w:tcW w:w="108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16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2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6"/>
                <w:szCs w:val="16"/>
                <w:color w:val="auto"/>
              </w:rPr>
              <w:t>Common Stock</w:t>
            </w:r>
          </w:p>
        </w:tc>
        <w:tc>
          <w:tcPr>
            <w:tcW w:w="4240" w:type="dxa"/>
            <w:vAlign w:val="bottom"/>
            <w:tcBorders>
              <w:bottom w:val="single" w:sz="8" w:color="DBDBDB"/>
            </w:tcBorders>
            <w:shd w:val="clear" w:color="auto" w:fill="DBDBDB"/>
          </w:tcPr>
          <w:p>
            <w:pPr>
              <w:ind w:left="700"/>
              <w:spacing w:after="0"/>
              <w:rPr>
                <w:sz w:val="20"/>
                <w:szCs w:val="20"/>
                <w:color w:val="auto"/>
              </w:rPr>
            </w:pPr>
            <w:r>
              <w:rPr>
                <w:rFonts w:ascii="Arial" w:cs="Arial" w:eastAsia="Arial" w:hAnsi="Arial"/>
                <w:sz w:val="16"/>
                <w:szCs w:val="16"/>
                <w:color w:val="auto"/>
              </w:rPr>
              <w:t>James C. O'Rourke</w:t>
            </w:r>
          </w:p>
        </w:tc>
        <w:tc>
          <w:tcPr>
            <w:tcW w:w="3600" w:type="dxa"/>
            <w:vAlign w:val="bottom"/>
            <w:tcBorders>
              <w:bottom w:val="single" w:sz="8" w:color="DBDBDB"/>
            </w:tcBorders>
            <w:shd w:val="clear" w:color="auto" w:fill="DBDBDB"/>
          </w:tcPr>
          <w:p>
            <w:pPr>
              <w:jc w:val="right"/>
              <w:ind w:right="83"/>
              <w:spacing w:after="0"/>
              <w:rPr>
                <w:sz w:val="20"/>
                <w:szCs w:val="20"/>
                <w:color w:val="auto"/>
              </w:rPr>
            </w:pPr>
            <w:r>
              <w:rPr>
                <w:rFonts w:ascii="Arial" w:cs="Arial" w:eastAsia="Arial" w:hAnsi="Arial"/>
                <w:sz w:val="16"/>
                <w:szCs w:val="16"/>
                <w:color w:val="auto"/>
              </w:rPr>
              <w:t>45,204</w:t>
            </w:r>
          </w:p>
        </w:tc>
        <w:tc>
          <w:tcPr>
            <w:tcW w:w="10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1620" w:type="dxa"/>
            <w:vAlign w:val="bottom"/>
          </w:tcPr>
          <w:p>
            <w:pPr>
              <w:spacing w:after="0"/>
              <w:rPr>
                <w:sz w:val="20"/>
                <w:szCs w:val="20"/>
                <w:color w:val="auto"/>
              </w:rPr>
            </w:pPr>
            <w:r>
              <w:rPr>
                <w:rFonts w:ascii="Arial" w:cs="Arial" w:eastAsia="Arial" w:hAnsi="Arial"/>
                <w:sz w:val="16"/>
                <w:szCs w:val="16"/>
                <w:color w:val="auto"/>
              </w:rPr>
              <w:t>Common Stock</w:t>
            </w:r>
          </w:p>
        </w:tc>
        <w:tc>
          <w:tcPr>
            <w:tcW w:w="4240" w:type="dxa"/>
            <w:vAlign w:val="bottom"/>
          </w:tcPr>
          <w:p>
            <w:pPr>
              <w:ind w:left="700"/>
              <w:spacing w:after="0"/>
              <w:rPr>
                <w:sz w:val="20"/>
                <w:szCs w:val="20"/>
                <w:color w:val="auto"/>
              </w:rPr>
            </w:pPr>
            <w:r>
              <w:rPr>
                <w:rFonts w:ascii="Arial" w:cs="Arial" w:eastAsia="Arial" w:hAnsi="Arial"/>
                <w:sz w:val="16"/>
                <w:szCs w:val="16"/>
                <w:color w:val="auto"/>
              </w:rPr>
              <w:t>Jill M. Pemberton</w:t>
            </w:r>
          </w:p>
        </w:tc>
        <w:tc>
          <w:tcPr>
            <w:tcW w:w="3600" w:type="dxa"/>
            <w:vAlign w:val="bottom"/>
          </w:tcPr>
          <w:p>
            <w:pPr>
              <w:jc w:val="right"/>
              <w:ind w:right="83"/>
              <w:spacing w:after="0"/>
              <w:rPr>
                <w:sz w:val="20"/>
                <w:szCs w:val="20"/>
                <w:color w:val="auto"/>
              </w:rPr>
            </w:pPr>
            <w:r>
              <w:rPr>
                <w:rFonts w:ascii="Arial" w:cs="Arial" w:eastAsia="Arial" w:hAnsi="Arial"/>
                <w:sz w:val="16"/>
                <w:szCs w:val="16"/>
                <w:color w:val="auto"/>
              </w:rPr>
              <w:t>14,561</w:t>
            </w:r>
          </w:p>
        </w:tc>
        <w:tc>
          <w:tcPr>
            <w:tcW w:w="108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16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20" w:type="dxa"/>
            <w:vAlign w:val="bottom"/>
            <w:tcBorders>
              <w:bottom w:val="single" w:sz="8" w:color="DBDBDB"/>
            </w:tcBorders>
            <w:shd w:val="clear" w:color="auto" w:fill="DBDBDB"/>
          </w:tcPr>
          <w:p>
            <w:pPr>
              <w:spacing w:after="0"/>
              <w:rPr>
                <w:sz w:val="19"/>
                <w:szCs w:val="19"/>
                <w:color w:val="auto"/>
              </w:rPr>
            </w:pPr>
          </w:p>
        </w:tc>
        <w:tc>
          <w:tcPr>
            <w:tcW w:w="4240" w:type="dxa"/>
            <w:vAlign w:val="bottom"/>
            <w:tcBorders>
              <w:bottom w:val="single" w:sz="8" w:color="DBDBDB"/>
            </w:tcBorders>
            <w:shd w:val="clear" w:color="auto" w:fill="DBDBDB"/>
          </w:tcPr>
          <w:p>
            <w:pPr>
              <w:ind w:left="500"/>
              <w:spacing w:after="0"/>
              <w:rPr>
                <w:sz w:val="20"/>
                <w:szCs w:val="20"/>
                <w:color w:val="auto"/>
              </w:rPr>
            </w:pPr>
            <w:r>
              <w:rPr>
                <w:rFonts w:ascii="Arial" w:cs="Arial" w:eastAsia="Arial" w:hAnsi="Arial"/>
                <w:sz w:val="16"/>
                <w:szCs w:val="16"/>
                <w:color w:val="auto"/>
              </w:rPr>
              <w:t>Named Executive Officers:</w:t>
            </w:r>
          </w:p>
        </w:tc>
        <w:tc>
          <w:tcPr>
            <w:tcW w:w="3600" w:type="dxa"/>
            <w:vAlign w:val="bottom"/>
            <w:tcBorders>
              <w:bottom w:val="single" w:sz="8" w:color="DBDBDB"/>
            </w:tcBorders>
            <w:shd w:val="clear" w:color="auto" w:fill="DBDBDB"/>
          </w:tcPr>
          <w:p>
            <w:pPr>
              <w:spacing w:after="0"/>
              <w:rPr>
                <w:sz w:val="19"/>
                <w:szCs w:val="19"/>
                <w:color w:val="auto"/>
              </w:rPr>
            </w:pPr>
          </w:p>
        </w:tc>
        <w:tc>
          <w:tcPr>
            <w:tcW w:w="108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620" w:type="dxa"/>
            <w:vAlign w:val="bottom"/>
          </w:tcPr>
          <w:p>
            <w:pPr>
              <w:spacing w:after="0"/>
              <w:rPr>
                <w:sz w:val="20"/>
                <w:szCs w:val="20"/>
                <w:color w:val="auto"/>
              </w:rPr>
            </w:pPr>
            <w:r>
              <w:rPr>
                <w:rFonts w:ascii="Arial" w:cs="Arial" w:eastAsia="Arial" w:hAnsi="Arial"/>
                <w:sz w:val="16"/>
                <w:szCs w:val="16"/>
                <w:color w:val="auto"/>
              </w:rPr>
              <w:t>Common Stock</w:t>
            </w:r>
          </w:p>
        </w:tc>
        <w:tc>
          <w:tcPr>
            <w:tcW w:w="4240" w:type="dxa"/>
            <w:vAlign w:val="bottom"/>
          </w:tcPr>
          <w:p>
            <w:pPr>
              <w:ind w:left="700"/>
              <w:spacing w:after="0"/>
              <w:rPr>
                <w:sz w:val="20"/>
                <w:szCs w:val="20"/>
                <w:color w:val="auto"/>
              </w:rPr>
            </w:pPr>
            <w:r>
              <w:rPr>
                <w:rFonts w:ascii="Arial" w:cs="Arial" w:eastAsia="Arial" w:hAnsi="Arial"/>
                <w:sz w:val="16"/>
                <w:szCs w:val="16"/>
                <w:color w:val="auto"/>
              </w:rPr>
              <w:t>Richard M. Olson</w:t>
            </w:r>
          </w:p>
        </w:tc>
        <w:tc>
          <w:tcPr>
            <w:tcW w:w="3600" w:type="dxa"/>
            <w:vAlign w:val="bottom"/>
          </w:tcPr>
          <w:p>
            <w:pPr>
              <w:jc w:val="right"/>
              <w:ind w:right="83"/>
              <w:spacing w:after="0"/>
              <w:rPr>
                <w:sz w:val="20"/>
                <w:szCs w:val="20"/>
                <w:color w:val="auto"/>
              </w:rPr>
            </w:pPr>
            <w:r>
              <w:rPr>
                <w:rFonts w:ascii="Arial" w:cs="Arial" w:eastAsia="Arial" w:hAnsi="Arial"/>
                <w:sz w:val="16"/>
                <w:szCs w:val="16"/>
                <w:color w:val="auto"/>
              </w:rPr>
              <w:t>1,188,437</w:t>
            </w:r>
          </w:p>
        </w:tc>
        <w:tc>
          <w:tcPr>
            <w:tcW w:w="108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16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2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6"/>
                <w:szCs w:val="16"/>
                <w:color w:val="auto"/>
              </w:rPr>
              <w:t>Common Stock</w:t>
            </w:r>
          </w:p>
        </w:tc>
        <w:tc>
          <w:tcPr>
            <w:tcW w:w="4240" w:type="dxa"/>
            <w:vAlign w:val="bottom"/>
            <w:tcBorders>
              <w:bottom w:val="single" w:sz="8" w:color="DBDBDB"/>
            </w:tcBorders>
            <w:shd w:val="clear" w:color="auto" w:fill="DBDBDB"/>
          </w:tcPr>
          <w:p>
            <w:pPr>
              <w:ind w:left="700"/>
              <w:spacing w:after="0"/>
              <w:rPr>
                <w:sz w:val="20"/>
                <w:szCs w:val="20"/>
                <w:color w:val="auto"/>
              </w:rPr>
            </w:pPr>
            <w:r>
              <w:rPr>
                <w:rFonts w:ascii="Arial" w:cs="Arial" w:eastAsia="Arial" w:hAnsi="Arial"/>
                <w:sz w:val="16"/>
                <w:szCs w:val="16"/>
                <w:color w:val="auto"/>
              </w:rPr>
              <w:t>Angela C. Drake</w:t>
            </w:r>
          </w:p>
        </w:tc>
        <w:tc>
          <w:tcPr>
            <w:tcW w:w="3600" w:type="dxa"/>
            <w:vAlign w:val="bottom"/>
            <w:tcBorders>
              <w:bottom w:val="single" w:sz="8" w:color="DBDBDB"/>
            </w:tcBorders>
            <w:shd w:val="clear" w:color="auto" w:fill="DBDBDB"/>
          </w:tcPr>
          <w:p>
            <w:pPr>
              <w:jc w:val="right"/>
              <w:ind w:right="83"/>
              <w:spacing w:after="0"/>
              <w:rPr>
                <w:sz w:val="20"/>
                <w:szCs w:val="20"/>
                <w:color w:val="auto"/>
              </w:rPr>
            </w:pPr>
            <w:r>
              <w:rPr>
                <w:rFonts w:ascii="Arial" w:cs="Arial" w:eastAsia="Arial" w:hAnsi="Arial"/>
                <w:sz w:val="16"/>
                <w:szCs w:val="16"/>
                <w:color w:val="auto"/>
              </w:rPr>
              <w:t>53,983</w:t>
            </w:r>
          </w:p>
        </w:tc>
        <w:tc>
          <w:tcPr>
            <w:tcW w:w="10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1620" w:type="dxa"/>
            <w:vAlign w:val="bottom"/>
          </w:tcPr>
          <w:p>
            <w:pPr>
              <w:spacing w:after="0"/>
              <w:rPr>
                <w:sz w:val="20"/>
                <w:szCs w:val="20"/>
                <w:color w:val="auto"/>
              </w:rPr>
            </w:pPr>
            <w:r>
              <w:rPr>
                <w:rFonts w:ascii="Arial" w:cs="Arial" w:eastAsia="Arial" w:hAnsi="Arial"/>
                <w:sz w:val="16"/>
                <w:szCs w:val="16"/>
                <w:color w:val="auto"/>
              </w:rPr>
              <w:t>Common Stock</w:t>
            </w:r>
          </w:p>
        </w:tc>
        <w:tc>
          <w:tcPr>
            <w:tcW w:w="4240" w:type="dxa"/>
            <w:vAlign w:val="bottom"/>
          </w:tcPr>
          <w:p>
            <w:pPr>
              <w:ind w:left="700"/>
              <w:spacing w:after="0"/>
              <w:rPr>
                <w:sz w:val="20"/>
                <w:szCs w:val="20"/>
                <w:color w:val="auto"/>
              </w:rPr>
            </w:pPr>
            <w:r>
              <w:rPr>
                <w:rFonts w:ascii="Arial" w:cs="Arial" w:eastAsia="Arial" w:hAnsi="Arial"/>
                <w:sz w:val="16"/>
                <w:szCs w:val="16"/>
                <w:color w:val="auto"/>
              </w:rPr>
              <w:t>Edric C. Funk</w:t>
            </w:r>
          </w:p>
        </w:tc>
        <w:tc>
          <w:tcPr>
            <w:tcW w:w="3600" w:type="dxa"/>
            <w:vAlign w:val="bottom"/>
          </w:tcPr>
          <w:p>
            <w:pPr>
              <w:jc w:val="right"/>
              <w:ind w:right="83"/>
              <w:spacing w:after="0"/>
              <w:rPr>
                <w:sz w:val="20"/>
                <w:szCs w:val="20"/>
                <w:color w:val="auto"/>
              </w:rPr>
            </w:pPr>
            <w:r>
              <w:rPr>
                <w:rFonts w:ascii="Arial" w:cs="Arial" w:eastAsia="Arial" w:hAnsi="Arial"/>
                <w:sz w:val="16"/>
                <w:szCs w:val="16"/>
                <w:color w:val="auto"/>
              </w:rPr>
              <w:t>40,176</w:t>
            </w:r>
          </w:p>
        </w:tc>
        <w:tc>
          <w:tcPr>
            <w:tcW w:w="108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16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2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6"/>
                <w:szCs w:val="16"/>
                <w:color w:val="auto"/>
              </w:rPr>
              <w:t>Common Stock</w:t>
            </w:r>
          </w:p>
        </w:tc>
        <w:tc>
          <w:tcPr>
            <w:tcW w:w="4240" w:type="dxa"/>
            <w:vAlign w:val="bottom"/>
            <w:tcBorders>
              <w:bottom w:val="single" w:sz="8" w:color="DBDBDB"/>
            </w:tcBorders>
            <w:shd w:val="clear" w:color="auto" w:fill="DBDBDB"/>
          </w:tcPr>
          <w:p>
            <w:pPr>
              <w:ind w:left="700"/>
              <w:spacing w:after="0"/>
              <w:rPr>
                <w:sz w:val="20"/>
                <w:szCs w:val="20"/>
                <w:color w:val="auto"/>
              </w:rPr>
            </w:pPr>
            <w:r>
              <w:rPr>
                <w:rFonts w:ascii="Arial" w:cs="Arial" w:eastAsia="Arial" w:hAnsi="Arial"/>
                <w:sz w:val="16"/>
                <w:szCs w:val="16"/>
                <w:color w:val="auto"/>
              </w:rPr>
              <w:t>Peter D. Moeller</w:t>
            </w:r>
          </w:p>
        </w:tc>
        <w:tc>
          <w:tcPr>
            <w:tcW w:w="3600" w:type="dxa"/>
            <w:vAlign w:val="bottom"/>
            <w:tcBorders>
              <w:bottom w:val="single" w:sz="8" w:color="DBDBDB"/>
            </w:tcBorders>
            <w:shd w:val="clear" w:color="auto" w:fill="DBDBDB"/>
          </w:tcPr>
          <w:p>
            <w:pPr>
              <w:jc w:val="right"/>
              <w:ind w:right="83"/>
              <w:spacing w:after="0"/>
              <w:rPr>
                <w:sz w:val="20"/>
                <w:szCs w:val="20"/>
                <w:color w:val="auto"/>
              </w:rPr>
            </w:pPr>
            <w:r>
              <w:rPr>
                <w:rFonts w:ascii="Arial" w:cs="Arial" w:eastAsia="Arial" w:hAnsi="Arial"/>
                <w:sz w:val="16"/>
                <w:szCs w:val="16"/>
                <w:color w:val="auto"/>
              </w:rPr>
              <w:t>65,335</w:t>
            </w:r>
          </w:p>
        </w:tc>
        <w:tc>
          <w:tcPr>
            <w:tcW w:w="10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1620" w:type="dxa"/>
            <w:vAlign w:val="bottom"/>
          </w:tcPr>
          <w:p>
            <w:pPr>
              <w:spacing w:after="0"/>
              <w:rPr>
                <w:sz w:val="20"/>
                <w:szCs w:val="20"/>
                <w:color w:val="auto"/>
              </w:rPr>
            </w:pPr>
            <w:r>
              <w:rPr>
                <w:rFonts w:ascii="Arial" w:cs="Arial" w:eastAsia="Arial" w:hAnsi="Arial"/>
                <w:sz w:val="16"/>
                <w:szCs w:val="16"/>
                <w:color w:val="auto"/>
              </w:rPr>
              <w:t>Common Stock</w:t>
            </w:r>
          </w:p>
        </w:tc>
        <w:tc>
          <w:tcPr>
            <w:tcW w:w="4240" w:type="dxa"/>
            <w:vAlign w:val="bottom"/>
          </w:tcPr>
          <w:p>
            <w:pPr>
              <w:ind w:left="700"/>
              <w:spacing w:after="0"/>
              <w:rPr>
                <w:sz w:val="20"/>
                <w:szCs w:val="20"/>
                <w:color w:val="auto"/>
              </w:rPr>
            </w:pPr>
            <w:r>
              <w:rPr>
                <w:rFonts w:ascii="Arial" w:cs="Arial" w:eastAsia="Arial" w:hAnsi="Arial"/>
                <w:sz w:val="16"/>
                <w:szCs w:val="16"/>
                <w:color w:val="auto"/>
              </w:rPr>
              <w:t>Gregory S. Janey</w:t>
            </w:r>
          </w:p>
        </w:tc>
        <w:tc>
          <w:tcPr>
            <w:tcW w:w="3600" w:type="dxa"/>
            <w:vAlign w:val="bottom"/>
          </w:tcPr>
          <w:p>
            <w:pPr>
              <w:jc w:val="right"/>
              <w:ind w:right="83"/>
              <w:spacing w:after="0"/>
              <w:rPr>
                <w:sz w:val="20"/>
                <w:szCs w:val="20"/>
                <w:color w:val="auto"/>
              </w:rPr>
            </w:pPr>
            <w:r>
              <w:rPr>
                <w:rFonts w:ascii="Arial" w:cs="Arial" w:eastAsia="Arial" w:hAnsi="Arial"/>
                <w:sz w:val="16"/>
                <w:szCs w:val="16"/>
                <w:color w:val="auto"/>
              </w:rPr>
              <w:t>84,177</w:t>
            </w:r>
          </w:p>
        </w:tc>
        <w:tc>
          <w:tcPr>
            <w:tcW w:w="108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5860" w:type="dxa"/>
            <w:vAlign w:val="bottom"/>
            <w:gridSpan w:val="2"/>
          </w:tcPr>
          <w:p>
            <w:pPr>
              <w:spacing w:after="0"/>
              <w:rPr>
                <w:sz w:val="2"/>
                <w:szCs w:val="2"/>
                <w:color w:val="auto"/>
              </w:rPr>
            </w:pPr>
          </w:p>
        </w:tc>
        <w:tc>
          <w:tcPr>
            <w:tcW w:w="3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86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All Current Directors and Executive Officers as a Group (18)</w:t>
            </w:r>
          </w:p>
        </w:tc>
        <w:tc>
          <w:tcPr>
            <w:tcW w:w="3600" w:type="dxa"/>
            <w:vAlign w:val="bottom"/>
            <w:shd w:val="clear" w:color="auto" w:fill="DBDBDB"/>
          </w:tcPr>
          <w:p>
            <w:pPr>
              <w:jc w:val="right"/>
              <w:ind w:right="83"/>
              <w:spacing w:after="0"/>
              <w:rPr>
                <w:sz w:val="20"/>
                <w:szCs w:val="20"/>
                <w:color w:val="auto"/>
              </w:rPr>
            </w:pPr>
            <w:r>
              <w:rPr>
                <w:rFonts w:ascii="Arial" w:cs="Arial" w:eastAsia="Arial" w:hAnsi="Arial"/>
                <w:sz w:val="16"/>
                <w:szCs w:val="16"/>
                <w:color w:val="auto"/>
              </w:rPr>
              <w:t>1,828,254</w:t>
            </w: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6"/>
              </w:rPr>
              <w:t>1.88%</w:t>
            </w:r>
          </w:p>
        </w:tc>
        <w:tc>
          <w:tcPr>
            <w:tcW w:w="0" w:type="dxa"/>
            <w:vAlign w:val="bottom"/>
          </w:tcPr>
          <w:p>
            <w:pPr>
              <w:spacing w:after="0"/>
              <w:rPr>
                <w:sz w:val="1"/>
                <w:szCs w:val="1"/>
                <w:color w:val="auto"/>
              </w:rPr>
            </w:pPr>
          </w:p>
        </w:tc>
      </w:tr>
      <w:tr>
        <w:trPr>
          <w:trHeight w:val="29"/>
        </w:trPr>
        <w:tc>
          <w:tcPr>
            <w:tcW w:w="1620" w:type="dxa"/>
            <w:vAlign w:val="bottom"/>
            <w:shd w:val="clear" w:color="auto" w:fill="DBDBDB"/>
          </w:tcPr>
          <w:p>
            <w:pPr>
              <w:spacing w:after="0"/>
              <w:rPr>
                <w:sz w:val="2"/>
                <w:szCs w:val="2"/>
                <w:color w:val="auto"/>
              </w:rPr>
            </w:pPr>
          </w:p>
        </w:tc>
        <w:tc>
          <w:tcPr>
            <w:tcW w:w="4240" w:type="dxa"/>
            <w:vAlign w:val="bottom"/>
            <w:shd w:val="clear" w:color="auto" w:fill="DBDBDB"/>
          </w:tcPr>
          <w:p>
            <w:pPr>
              <w:spacing w:after="0"/>
              <w:rPr>
                <w:sz w:val="2"/>
                <w:szCs w:val="2"/>
                <w:color w:val="auto"/>
              </w:rPr>
            </w:pPr>
          </w:p>
        </w:tc>
        <w:tc>
          <w:tcPr>
            <w:tcW w:w="3600" w:type="dxa"/>
            <w:vAlign w:val="bottom"/>
            <w:shd w:val="clear" w:color="auto" w:fill="DBDBDB"/>
          </w:tcPr>
          <w:p>
            <w:pPr>
              <w:spacing w:after="0"/>
              <w:rPr>
                <w:sz w:val="2"/>
                <w:szCs w:val="2"/>
                <w:color w:val="auto"/>
              </w:rPr>
            </w:pPr>
          </w:p>
        </w:tc>
        <w:tc>
          <w:tcPr>
            <w:tcW w:w="108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19913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Less than one percent of the outstanding shares of our common stock.</w:t>
      </w:r>
    </w:p>
    <w:p>
      <w:pPr>
        <w:spacing w:after="0" w:line="113" w:lineRule="exact"/>
        <w:rPr>
          <w:sz w:val="20"/>
          <w:szCs w:val="20"/>
          <w:color w:val="auto"/>
        </w:rPr>
      </w:pPr>
    </w:p>
    <w:p>
      <w:pPr>
        <w:jc w:val="both"/>
        <w:ind w:left="320" w:hanging="313"/>
        <w:spacing w:after="0" w:line="247" w:lineRule="auto"/>
        <w:tabs>
          <w:tab w:leader="none" w:pos="308"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Shares are deemed to be beneficially owned by a person if such person, directly or indirectly, has or shares: (a) the power to vote or direct the voting of such shares, or (b) the power to dispose or direct the disposition of such shares. Except as otherwise indicated in the footnotes to this table, the persons in this table have sole voting and investment power with respect to all shares of our common stock shown as beneficially owned by them, subject to community property laws, where applicable.</w:t>
      </w:r>
    </w:p>
    <w:p>
      <w:pPr>
        <w:spacing w:after="0" w:line="15" w:lineRule="exact"/>
        <w:rPr>
          <w:rFonts w:ascii="Arial" w:cs="Arial" w:eastAsia="Arial" w:hAnsi="Arial"/>
          <w:sz w:val="18"/>
          <w:szCs w:val="18"/>
          <w:color w:val="auto"/>
        </w:rPr>
      </w:pPr>
    </w:p>
    <w:p>
      <w:pPr>
        <w:jc w:val="both"/>
        <w:ind w:left="320" w:hanging="313"/>
        <w:spacing w:after="0" w:line="244" w:lineRule="auto"/>
        <w:tabs>
          <w:tab w:leader="none" w:pos="308" w:val="left"/>
        </w:tabs>
        <w:numPr>
          <w:ilvl w:val="0"/>
          <w:numId w:val="92"/>
        </w:numPr>
        <w:rPr>
          <w:rFonts w:ascii="Arial" w:cs="Arial" w:eastAsia="Arial" w:hAnsi="Arial"/>
          <w:sz w:val="18"/>
          <w:szCs w:val="18"/>
          <w:color w:val="auto"/>
        </w:rPr>
      </w:pPr>
      <w:r>
        <w:rPr>
          <w:rFonts w:ascii="Arial" w:cs="Arial" w:eastAsia="Arial" w:hAnsi="Arial"/>
          <w:sz w:val="18"/>
          <w:szCs w:val="18"/>
          <w:color w:val="auto"/>
        </w:rPr>
        <w:t>Beneficial ownership also includes: (a) shares that a person has the right to acquire within 60 days of January 20, 2026, and as such, includes shares that may be acquired upon exercise of stock options and vesting of restricted stock units within 60 days of January 20, 2026; (b) shares allocated to executive officers under the Retirement Plan; and (c) common stock units and performance share units, collectively referred to as units, credited under the Deferred Plan for Directors and Deferred Plan for Officers. Additionally, the following table reflects the beneficial ownership by type of security held by our non-employee directors, NEOs, and all current directors and executive officers as a group as of January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99" w:name="page100"/>
    <w:bookmarkEnd w:id="99"/>
    <w:tbl>
      <w:tblPr>
        <w:tblLayout w:type="fixed"/>
        <w:tblInd w:w="400" w:type="dxa"/>
        <w:tblCellMar>
          <w:top w:w="0" w:type="dxa"/>
          <w:left w:w="0" w:type="dxa"/>
          <w:bottom w:w="0" w:type="dxa"/>
          <w:right w:w="0" w:type="dxa"/>
        </w:tblCellMar>
      </w:tblPr>
      <w:tr>
        <w:trPr>
          <w:trHeight w:val="204"/>
        </w:trPr>
        <w:tc>
          <w:tcPr>
            <w:tcW w:w="3740" w:type="dxa"/>
            <w:vAlign w:val="bottom"/>
            <w:shd w:val="clear" w:color="auto" w:fill="BF2115"/>
          </w:tcPr>
          <w:p>
            <w:pPr>
              <w:spacing w:after="0"/>
              <w:rPr>
                <w:sz w:val="17"/>
                <w:szCs w:val="17"/>
                <w:color w:val="auto"/>
              </w:rPr>
            </w:pPr>
          </w:p>
        </w:tc>
        <w:tc>
          <w:tcPr>
            <w:tcW w:w="1240" w:type="dxa"/>
            <w:vAlign w:val="bottom"/>
            <w:shd w:val="clear" w:color="auto" w:fill="BF2115"/>
          </w:tcPr>
          <w:p>
            <w:pPr>
              <w:spacing w:after="0"/>
              <w:rPr>
                <w:sz w:val="17"/>
                <w:szCs w:val="17"/>
                <w:color w:val="auto"/>
              </w:rPr>
            </w:pPr>
          </w:p>
        </w:tc>
        <w:tc>
          <w:tcPr>
            <w:tcW w:w="1120" w:type="dxa"/>
            <w:vAlign w:val="bottom"/>
            <w:shd w:val="clear" w:color="auto" w:fill="BF2115"/>
          </w:tcPr>
          <w:p>
            <w:pPr>
              <w:spacing w:after="0"/>
              <w:rPr>
                <w:sz w:val="17"/>
                <w:szCs w:val="17"/>
                <w:color w:val="auto"/>
              </w:rPr>
            </w:pPr>
          </w:p>
        </w:tc>
        <w:tc>
          <w:tcPr>
            <w:tcW w:w="1160" w:type="dxa"/>
            <w:vAlign w:val="bottom"/>
            <w:shd w:val="clear" w:color="auto" w:fill="BF2115"/>
          </w:tcPr>
          <w:p>
            <w:pPr>
              <w:spacing w:after="0"/>
              <w:rPr>
                <w:sz w:val="17"/>
                <w:szCs w:val="17"/>
                <w:color w:val="auto"/>
              </w:rPr>
            </w:pPr>
          </w:p>
        </w:tc>
        <w:tc>
          <w:tcPr>
            <w:tcW w:w="1480" w:type="dxa"/>
            <w:vAlign w:val="bottom"/>
            <w:shd w:val="clear" w:color="auto" w:fill="BF2115"/>
          </w:tcPr>
          <w:p>
            <w:pPr>
              <w:jc w:val="center"/>
              <w:ind w:right="82"/>
              <w:spacing w:after="0"/>
              <w:rPr>
                <w:sz w:val="20"/>
                <w:szCs w:val="20"/>
                <w:color w:val="auto"/>
              </w:rPr>
            </w:pPr>
            <w:r>
              <w:rPr>
                <w:rFonts w:ascii="Arial" w:cs="Arial" w:eastAsia="Arial" w:hAnsi="Arial"/>
                <w:sz w:val="14"/>
                <w:szCs w:val="14"/>
                <w:b w:val="1"/>
                <w:bCs w:val="1"/>
                <w:color w:val="FFFFFF"/>
              </w:rPr>
              <w:t>Units under the</w:t>
            </w:r>
          </w:p>
        </w:tc>
        <w:tc>
          <w:tcPr>
            <w:tcW w:w="13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Units under the</w:t>
            </w:r>
          </w:p>
        </w:tc>
        <w:tc>
          <w:tcPr>
            <w:tcW w:w="0" w:type="dxa"/>
            <w:vAlign w:val="bottom"/>
          </w:tcPr>
          <w:p>
            <w:pPr>
              <w:spacing w:after="0"/>
              <w:rPr>
                <w:sz w:val="1"/>
                <w:szCs w:val="1"/>
                <w:color w:val="auto"/>
              </w:rPr>
            </w:pPr>
          </w:p>
        </w:tc>
      </w:tr>
      <w:tr>
        <w:trPr>
          <w:trHeight w:val="173"/>
        </w:trPr>
        <w:tc>
          <w:tcPr>
            <w:tcW w:w="3740" w:type="dxa"/>
            <w:vAlign w:val="bottom"/>
            <w:shd w:val="clear" w:color="auto" w:fill="BF2115"/>
          </w:tcPr>
          <w:p>
            <w:pPr>
              <w:spacing w:after="0"/>
              <w:rPr>
                <w:sz w:val="15"/>
                <w:szCs w:val="15"/>
                <w:color w:val="auto"/>
              </w:rPr>
            </w:pPr>
          </w:p>
        </w:tc>
        <w:tc>
          <w:tcPr>
            <w:tcW w:w="1240" w:type="dxa"/>
            <w:vAlign w:val="bottom"/>
            <w:shd w:val="clear" w:color="auto" w:fill="BF2115"/>
          </w:tcPr>
          <w:p>
            <w:pPr>
              <w:jc w:val="right"/>
              <w:ind w:right="361"/>
              <w:spacing w:after="0"/>
              <w:rPr>
                <w:sz w:val="20"/>
                <w:szCs w:val="20"/>
                <w:color w:val="auto"/>
              </w:rPr>
            </w:pPr>
            <w:r>
              <w:rPr>
                <w:rFonts w:ascii="Arial" w:cs="Arial" w:eastAsia="Arial" w:hAnsi="Arial"/>
                <w:sz w:val="14"/>
                <w:szCs w:val="14"/>
                <w:b w:val="1"/>
                <w:bCs w:val="1"/>
                <w:color w:val="FFFFFF"/>
              </w:rPr>
              <w:t>Stock</w:t>
            </w:r>
          </w:p>
        </w:tc>
        <w:tc>
          <w:tcPr>
            <w:tcW w:w="1120" w:type="dxa"/>
            <w:vAlign w:val="bottom"/>
            <w:vMerge w:val="restart"/>
            <w:shd w:val="clear" w:color="auto" w:fill="BF2115"/>
          </w:tcPr>
          <w:p>
            <w:pPr>
              <w:jc w:val="right"/>
              <w:ind w:right="181"/>
              <w:spacing w:after="0"/>
              <w:rPr>
                <w:sz w:val="20"/>
                <w:szCs w:val="20"/>
                <w:color w:val="auto"/>
              </w:rPr>
            </w:pPr>
            <w:r>
              <w:rPr>
                <w:rFonts w:ascii="Arial" w:cs="Arial" w:eastAsia="Arial" w:hAnsi="Arial"/>
                <w:sz w:val="14"/>
                <w:szCs w:val="14"/>
                <w:b w:val="1"/>
                <w:bCs w:val="1"/>
                <w:color w:val="FFFFFF"/>
              </w:rPr>
              <w:t>Restricted</w:t>
            </w:r>
          </w:p>
        </w:tc>
        <w:tc>
          <w:tcPr>
            <w:tcW w:w="1160" w:type="dxa"/>
            <w:vAlign w:val="bottom"/>
            <w:vMerge w:val="restart"/>
            <w:shd w:val="clear" w:color="auto" w:fill="BF2115"/>
          </w:tcPr>
          <w:p>
            <w:pPr>
              <w:jc w:val="right"/>
              <w:ind w:right="201"/>
              <w:spacing w:after="0"/>
              <w:rPr>
                <w:sz w:val="20"/>
                <w:szCs w:val="20"/>
                <w:color w:val="auto"/>
              </w:rPr>
            </w:pPr>
            <w:r>
              <w:rPr>
                <w:rFonts w:ascii="Arial" w:cs="Arial" w:eastAsia="Arial" w:hAnsi="Arial"/>
                <w:sz w:val="14"/>
                <w:szCs w:val="14"/>
                <w:b w:val="1"/>
                <w:bCs w:val="1"/>
                <w:color w:val="FFFFFF"/>
              </w:rPr>
              <w:t>Retirement</w:t>
            </w:r>
          </w:p>
        </w:tc>
        <w:tc>
          <w:tcPr>
            <w:tcW w:w="1480" w:type="dxa"/>
            <w:vAlign w:val="bottom"/>
            <w:shd w:val="clear" w:color="auto" w:fill="BF2115"/>
          </w:tcPr>
          <w:p>
            <w:pPr>
              <w:jc w:val="center"/>
              <w:ind w:right="82"/>
              <w:spacing w:after="0"/>
              <w:rPr>
                <w:sz w:val="20"/>
                <w:szCs w:val="20"/>
                <w:color w:val="auto"/>
              </w:rPr>
            </w:pPr>
            <w:r>
              <w:rPr>
                <w:rFonts w:ascii="Arial" w:cs="Arial" w:eastAsia="Arial" w:hAnsi="Arial"/>
                <w:sz w:val="14"/>
                <w:szCs w:val="14"/>
                <w:b w:val="1"/>
                <w:bCs w:val="1"/>
                <w:color w:val="FFFFFF"/>
              </w:rPr>
              <w:t>Deferred Plan</w:t>
            </w:r>
          </w:p>
        </w:tc>
        <w:tc>
          <w:tcPr>
            <w:tcW w:w="13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Deferred Plan</w:t>
            </w:r>
          </w:p>
        </w:tc>
        <w:tc>
          <w:tcPr>
            <w:tcW w:w="0" w:type="dxa"/>
            <w:vAlign w:val="bottom"/>
          </w:tcPr>
          <w:p>
            <w:pPr>
              <w:spacing w:after="0"/>
              <w:rPr>
                <w:sz w:val="1"/>
                <w:szCs w:val="1"/>
                <w:color w:val="auto"/>
              </w:rPr>
            </w:pPr>
          </w:p>
        </w:tc>
      </w:tr>
      <w:tr>
        <w:trPr>
          <w:trHeight w:val="27"/>
        </w:trPr>
        <w:tc>
          <w:tcPr>
            <w:tcW w:w="3740" w:type="dxa"/>
            <w:vAlign w:val="bottom"/>
            <w:vMerge w:val="restart"/>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1240" w:type="dxa"/>
            <w:vAlign w:val="bottom"/>
            <w:vMerge w:val="restart"/>
            <w:shd w:val="clear" w:color="auto" w:fill="BF2115"/>
          </w:tcPr>
          <w:p>
            <w:pPr>
              <w:jc w:val="right"/>
              <w:ind w:right="261"/>
              <w:spacing w:after="0"/>
              <w:rPr>
                <w:sz w:val="20"/>
                <w:szCs w:val="20"/>
                <w:color w:val="auto"/>
              </w:rPr>
            </w:pPr>
            <w:r>
              <w:rPr>
                <w:rFonts w:ascii="Arial" w:cs="Arial" w:eastAsia="Arial" w:hAnsi="Arial"/>
                <w:sz w:val="14"/>
                <w:szCs w:val="14"/>
                <w:b w:val="1"/>
                <w:bCs w:val="1"/>
                <w:color w:val="FFFFFF"/>
              </w:rPr>
              <w:t>Options*</w:t>
            </w:r>
          </w:p>
        </w:tc>
        <w:tc>
          <w:tcPr>
            <w:tcW w:w="1120" w:type="dxa"/>
            <w:vAlign w:val="bottom"/>
            <w:vMerge w:val="continue"/>
            <w:shd w:val="clear" w:color="auto" w:fill="BF2115"/>
          </w:tcPr>
          <w:p>
            <w:pPr>
              <w:spacing w:after="0"/>
              <w:rPr>
                <w:sz w:val="2"/>
                <w:szCs w:val="2"/>
                <w:color w:val="auto"/>
              </w:rPr>
            </w:pPr>
          </w:p>
        </w:tc>
        <w:tc>
          <w:tcPr>
            <w:tcW w:w="1160" w:type="dxa"/>
            <w:vAlign w:val="bottom"/>
            <w:vMerge w:val="continue"/>
            <w:shd w:val="clear" w:color="auto" w:fill="BF2115"/>
          </w:tcPr>
          <w:p>
            <w:pPr>
              <w:spacing w:after="0"/>
              <w:rPr>
                <w:sz w:val="2"/>
                <w:szCs w:val="2"/>
                <w:color w:val="auto"/>
              </w:rPr>
            </w:pPr>
          </w:p>
        </w:tc>
        <w:tc>
          <w:tcPr>
            <w:tcW w:w="1480" w:type="dxa"/>
            <w:vAlign w:val="bottom"/>
            <w:vMerge w:val="restart"/>
            <w:shd w:val="clear" w:color="auto" w:fill="BF2115"/>
          </w:tcPr>
          <w:p>
            <w:pPr>
              <w:jc w:val="center"/>
              <w:ind w:right="82"/>
              <w:spacing w:after="0"/>
              <w:rPr>
                <w:sz w:val="20"/>
                <w:szCs w:val="20"/>
                <w:color w:val="auto"/>
              </w:rPr>
            </w:pPr>
            <w:r>
              <w:rPr>
                <w:rFonts w:ascii="Arial" w:cs="Arial" w:eastAsia="Arial" w:hAnsi="Arial"/>
                <w:sz w:val="14"/>
                <w:szCs w:val="14"/>
                <w:b w:val="1"/>
                <w:bCs w:val="1"/>
                <w:color w:val="FFFFFF"/>
                <w:w w:val="99"/>
              </w:rPr>
              <w:t>for Directors</w:t>
            </w:r>
          </w:p>
        </w:tc>
        <w:tc>
          <w:tcPr>
            <w:tcW w:w="1360" w:type="dxa"/>
            <w:vAlign w:val="bottom"/>
            <w:vMerge w:val="restart"/>
            <w:shd w:val="clear" w:color="auto" w:fill="BF2115"/>
          </w:tcPr>
          <w:p>
            <w:pPr>
              <w:jc w:val="center"/>
              <w:spacing w:after="0"/>
              <w:rPr>
                <w:sz w:val="20"/>
                <w:szCs w:val="20"/>
                <w:color w:val="auto"/>
              </w:rPr>
            </w:pPr>
            <w:r>
              <w:rPr>
                <w:rFonts w:ascii="Arial" w:cs="Arial" w:eastAsia="Arial" w:hAnsi="Arial"/>
                <w:sz w:val="14"/>
                <w:szCs w:val="14"/>
                <w:b w:val="1"/>
                <w:bCs w:val="1"/>
                <w:color w:val="FFFFFF"/>
              </w:rPr>
              <w:t>for Officers</w:t>
            </w:r>
          </w:p>
        </w:tc>
        <w:tc>
          <w:tcPr>
            <w:tcW w:w="0" w:type="dxa"/>
            <w:vAlign w:val="bottom"/>
          </w:tcPr>
          <w:p>
            <w:pPr>
              <w:spacing w:after="0" w:line="20" w:lineRule="exact"/>
              <w:rPr>
                <w:sz w:val="1"/>
                <w:szCs w:val="1"/>
                <w:color w:val="auto"/>
              </w:rPr>
            </w:pPr>
          </w:p>
        </w:tc>
      </w:tr>
      <w:tr>
        <w:trPr>
          <w:trHeight w:val="183"/>
        </w:trPr>
        <w:tc>
          <w:tcPr>
            <w:tcW w:w="3740" w:type="dxa"/>
            <w:vAlign w:val="bottom"/>
            <w:vMerge w:val="continue"/>
            <w:shd w:val="clear" w:color="auto" w:fill="BF2115"/>
          </w:tcPr>
          <w:p>
            <w:pPr>
              <w:spacing w:after="0"/>
              <w:rPr>
                <w:sz w:val="15"/>
                <w:szCs w:val="15"/>
                <w:color w:val="auto"/>
              </w:rPr>
            </w:pPr>
          </w:p>
        </w:tc>
        <w:tc>
          <w:tcPr>
            <w:tcW w:w="1240" w:type="dxa"/>
            <w:vAlign w:val="bottom"/>
            <w:vMerge w:val="continue"/>
            <w:shd w:val="clear" w:color="auto" w:fill="BF2115"/>
          </w:tcPr>
          <w:p>
            <w:pPr>
              <w:spacing w:after="0"/>
              <w:rPr>
                <w:sz w:val="15"/>
                <w:szCs w:val="15"/>
                <w:color w:val="auto"/>
              </w:rPr>
            </w:pPr>
          </w:p>
        </w:tc>
        <w:tc>
          <w:tcPr>
            <w:tcW w:w="1120" w:type="dxa"/>
            <w:vAlign w:val="bottom"/>
            <w:shd w:val="clear" w:color="auto" w:fill="BF2115"/>
          </w:tcPr>
          <w:p>
            <w:pPr>
              <w:jc w:val="right"/>
              <w:ind w:right="121"/>
              <w:spacing w:after="0"/>
              <w:rPr>
                <w:sz w:val="20"/>
                <w:szCs w:val="20"/>
                <w:color w:val="auto"/>
              </w:rPr>
            </w:pPr>
            <w:r>
              <w:rPr>
                <w:rFonts w:ascii="Arial" w:cs="Arial" w:eastAsia="Arial" w:hAnsi="Arial"/>
                <w:sz w:val="14"/>
                <w:szCs w:val="14"/>
                <w:b w:val="1"/>
                <w:bCs w:val="1"/>
                <w:color w:val="FFFFFF"/>
              </w:rPr>
              <w:t>Stock Units*</w:t>
            </w:r>
          </w:p>
        </w:tc>
        <w:tc>
          <w:tcPr>
            <w:tcW w:w="1160" w:type="dxa"/>
            <w:vAlign w:val="bottom"/>
            <w:shd w:val="clear" w:color="auto" w:fill="BF2115"/>
          </w:tcPr>
          <w:p>
            <w:pPr>
              <w:jc w:val="right"/>
              <w:ind w:right="421"/>
              <w:spacing w:after="0"/>
              <w:rPr>
                <w:sz w:val="20"/>
                <w:szCs w:val="20"/>
                <w:color w:val="auto"/>
              </w:rPr>
            </w:pPr>
            <w:r>
              <w:rPr>
                <w:rFonts w:ascii="Arial" w:cs="Arial" w:eastAsia="Arial" w:hAnsi="Arial"/>
                <w:sz w:val="14"/>
                <w:szCs w:val="14"/>
                <w:b w:val="1"/>
                <w:bCs w:val="1"/>
                <w:color w:val="FFFFFF"/>
              </w:rPr>
              <w:t>Plan</w:t>
            </w:r>
          </w:p>
        </w:tc>
        <w:tc>
          <w:tcPr>
            <w:tcW w:w="1480" w:type="dxa"/>
            <w:vAlign w:val="bottom"/>
            <w:vMerge w:val="continue"/>
            <w:shd w:val="clear" w:color="auto" w:fill="BF2115"/>
          </w:tcPr>
          <w:p>
            <w:pPr>
              <w:spacing w:after="0"/>
              <w:rPr>
                <w:sz w:val="15"/>
                <w:szCs w:val="15"/>
                <w:color w:val="auto"/>
              </w:rPr>
            </w:pPr>
          </w:p>
        </w:tc>
        <w:tc>
          <w:tcPr>
            <w:tcW w:w="1360" w:type="dxa"/>
            <w:vAlign w:val="bottom"/>
            <w:vMerge w:val="continue"/>
            <w:shd w:val="clear" w:color="auto" w:fill="BF2115"/>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740" w:type="dxa"/>
            <w:vAlign w:val="bottom"/>
          </w:tcPr>
          <w:p>
            <w:pPr>
              <w:ind w:left="20"/>
              <w:spacing w:after="0"/>
              <w:rPr>
                <w:sz w:val="20"/>
                <w:szCs w:val="20"/>
                <w:color w:val="auto"/>
              </w:rPr>
            </w:pPr>
            <w:r>
              <w:rPr>
                <w:rFonts w:ascii="Arial" w:cs="Arial" w:eastAsia="Arial" w:hAnsi="Arial"/>
                <w:sz w:val="16"/>
                <w:szCs w:val="16"/>
                <w:color w:val="auto"/>
              </w:rPr>
              <w:t>Non-Employee Directors:</w:t>
            </w: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4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6"/>
                <w:szCs w:val="16"/>
                <w:color w:val="auto"/>
              </w:rPr>
              <w:t>Dianne C. Craig</w:t>
            </w:r>
          </w:p>
        </w:tc>
        <w:tc>
          <w:tcPr>
            <w:tcW w:w="1240" w:type="dxa"/>
            <w:vAlign w:val="bottom"/>
            <w:tcBorders>
              <w:bottom w:val="single" w:sz="8" w:color="DBDBDB"/>
            </w:tcBorders>
            <w:shd w:val="clear" w:color="auto" w:fill="DBDBDB"/>
          </w:tcPr>
          <w:p>
            <w:pPr>
              <w:jc w:val="right"/>
              <w:ind w:right="21"/>
              <w:spacing w:after="0"/>
              <w:rPr>
                <w:sz w:val="20"/>
                <w:szCs w:val="20"/>
                <w:color w:val="auto"/>
              </w:rPr>
            </w:pPr>
            <w:r>
              <w:rPr>
                <w:rFonts w:ascii="Arial" w:cs="Arial" w:eastAsia="Arial" w:hAnsi="Arial"/>
                <w:sz w:val="16"/>
                <w:szCs w:val="16"/>
                <w:color w:val="auto"/>
              </w:rPr>
              <w:t>2,167</w:t>
            </w:r>
          </w:p>
        </w:tc>
        <w:tc>
          <w:tcPr>
            <w:tcW w:w="1120" w:type="dxa"/>
            <w:vAlign w:val="bottom"/>
            <w:tcBorders>
              <w:bottom w:val="single" w:sz="8" w:color="DBDBDB"/>
            </w:tcBorders>
            <w:shd w:val="clear" w:color="auto" w:fill="DBDBDB"/>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DBDBDB"/>
            </w:tcBorders>
            <w:shd w:val="clear" w:color="auto" w:fill="DBDBDB"/>
          </w:tcPr>
          <w:p>
            <w:pPr>
              <w:jc w:val="right"/>
              <w:ind w:right="81"/>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DBDBDB"/>
            </w:tcBorders>
            <w:shd w:val="clear" w:color="auto" w:fill="DBDBDB"/>
          </w:tcPr>
          <w:p>
            <w:pPr>
              <w:jc w:val="right"/>
              <w:ind w:right="62"/>
              <w:spacing w:after="0"/>
              <w:rPr>
                <w:sz w:val="20"/>
                <w:szCs w:val="20"/>
                <w:color w:val="auto"/>
              </w:rPr>
            </w:pPr>
            <w:r>
              <w:rPr>
                <w:rFonts w:ascii="Arial" w:cs="Arial" w:eastAsia="Arial" w:hAnsi="Arial"/>
                <w:sz w:val="16"/>
                <w:szCs w:val="16"/>
                <w:color w:val="auto"/>
              </w:rPr>
              <w:t>0</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740" w:type="dxa"/>
            <w:vAlign w:val="bottom"/>
          </w:tcPr>
          <w:p>
            <w:pPr>
              <w:ind w:left="200"/>
              <w:spacing w:after="0"/>
              <w:rPr>
                <w:sz w:val="20"/>
                <w:szCs w:val="20"/>
                <w:color w:val="auto"/>
              </w:rPr>
            </w:pPr>
            <w:r>
              <w:rPr>
                <w:rFonts w:ascii="Arial" w:cs="Arial" w:eastAsia="Arial" w:hAnsi="Arial"/>
                <w:sz w:val="16"/>
                <w:szCs w:val="16"/>
                <w:color w:val="auto"/>
              </w:rPr>
              <w:t>Gary L. Ellis</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30,669</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4,176</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4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6"/>
                <w:szCs w:val="16"/>
                <w:color w:val="auto"/>
              </w:rPr>
              <w:t>Eric P. Hansotia</w:t>
            </w:r>
          </w:p>
        </w:tc>
        <w:tc>
          <w:tcPr>
            <w:tcW w:w="1240" w:type="dxa"/>
            <w:vAlign w:val="bottom"/>
            <w:tcBorders>
              <w:bottom w:val="single" w:sz="8" w:color="DBDBDB"/>
            </w:tcBorders>
            <w:shd w:val="clear" w:color="auto" w:fill="DBDBDB"/>
          </w:tcPr>
          <w:p>
            <w:pPr>
              <w:jc w:val="right"/>
              <w:ind w:right="21"/>
              <w:spacing w:after="0"/>
              <w:rPr>
                <w:sz w:val="20"/>
                <w:szCs w:val="20"/>
                <w:color w:val="auto"/>
              </w:rPr>
            </w:pPr>
            <w:r>
              <w:rPr>
                <w:rFonts w:ascii="Arial" w:cs="Arial" w:eastAsia="Arial" w:hAnsi="Arial"/>
                <w:sz w:val="16"/>
                <w:szCs w:val="16"/>
                <w:color w:val="auto"/>
              </w:rPr>
              <w:t>8,233</w:t>
            </w:r>
          </w:p>
        </w:tc>
        <w:tc>
          <w:tcPr>
            <w:tcW w:w="1120" w:type="dxa"/>
            <w:vAlign w:val="bottom"/>
            <w:tcBorders>
              <w:bottom w:val="single" w:sz="8" w:color="DBDBDB"/>
            </w:tcBorders>
            <w:shd w:val="clear" w:color="auto" w:fill="DBDBDB"/>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DBDBDB"/>
            </w:tcBorders>
            <w:shd w:val="clear" w:color="auto" w:fill="DBDBDB"/>
          </w:tcPr>
          <w:p>
            <w:pPr>
              <w:jc w:val="right"/>
              <w:ind w:right="81"/>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DBDBDB"/>
            </w:tcBorders>
            <w:shd w:val="clear" w:color="auto" w:fill="DBDBDB"/>
          </w:tcPr>
          <w:p>
            <w:pPr>
              <w:jc w:val="right"/>
              <w:ind w:right="62"/>
              <w:spacing w:after="0"/>
              <w:rPr>
                <w:sz w:val="20"/>
                <w:szCs w:val="20"/>
                <w:color w:val="auto"/>
              </w:rPr>
            </w:pPr>
            <w:r>
              <w:rPr>
                <w:rFonts w:ascii="Arial" w:cs="Arial" w:eastAsia="Arial" w:hAnsi="Arial"/>
                <w:sz w:val="16"/>
                <w:szCs w:val="16"/>
                <w:color w:val="auto"/>
              </w:rPr>
              <w:t>0</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740" w:type="dxa"/>
            <w:vAlign w:val="bottom"/>
          </w:tcPr>
          <w:p>
            <w:pPr>
              <w:ind w:left="200"/>
              <w:spacing w:after="0"/>
              <w:rPr>
                <w:sz w:val="20"/>
                <w:szCs w:val="20"/>
                <w:color w:val="auto"/>
              </w:rPr>
            </w:pPr>
            <w:r>
              <w:rPr>
                <w:rFonts w:ascii="Arial" w:cs="Arial" w:eastAsia="Arial" w:hAnsi="Arial"/>
                <w:sz w:val="16"/>
                <w:szCs w:val="16"/>
                <w:color w:val="auto"/>
              </w:rPr>
              <w:t>Jeffrey L. Harmening</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17,390</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0</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4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6"/>
                <w:szCs w:val="16"/>
                <w:color w:val="auto"/>
              </w:rPr>
              <w:t>D. Christian Koch</w:t>
            </w:r>
          </w:p>
        </w:tc>
        <w:tc>
          <w:tcPr>
            <w:tcW w:w="1240" w:type="dxa"/>
            <w:vAlign w:val="bottom"/>
            <w:tcBorders>
              <w:bottom w:val="single" w:sz="8" w:color="DBDBDB"/>
            </w:tcBorders>
            <w:shd w:val="clear" w:color="auto" w:fill="DBDBDB"/>
          </w:tcPr>
          <w:p>
            <w:pPr>
              <w:jc w:val="right"/>
              <w:ind w:right="21"/>
              <w:spacing w:after="0"/>
              <w:rPr>
                <w:sz w:val="20"/>
                <w:szCs w:val="20"/>
                <w:color w:val="auto"/>
              </w:rPr>
            </w:pPr>
            <w:r>
              <w:rPr>
                <w:rFonts w:ascii="Arial" w:cs="Arial" w:eastAsia="Arial" w:hAnsi="Arial"/>
                <w:sz w:val="16"/>
                <w:szCs w:val="16"/>
                <w:color w:val="auto"/>
              </w:rPr>
              <w:t>30,669</w:t>
            </w:r>
          </w:p>
        </w:tc>
        <w:tc>
          <w:tcPr>
            <w:tcW w:w="1120" w:type="dxa"/>
            <w:vAlign w:val="bottom"/>
            <w:tcBorders>
              <w:bottom w:val="single" w:sz="8" w:color="DBDBDB"/>
            </w:tcBorders>
            <w:shd w:val="clear" w:color="auto" w:fill="DBDBDB"/>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DBDBDB"/>
            </w:tcBorders>
            <w:shd w:val="clear" w:color="auto" w:fill="DBDBDB"/>
          </w:tcPr>
          <w:p>
            <w:pPr>
              <w:jc w:val="right"/>
              <w:ind w:right="81"/>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DBDBDB"/>
            </w:tcBorders>
            <w:shd w:val="clear" w:color="auto" w:fill="DBDBDB"/>
          </w:tcPr>
          <w:p>
            <w:pPr>
              <w:jc w:val="right"/>
              <w:ind w:right="62"/>
              <w:spacing w:after="0"/>
              <w:rPr>
                <w:sz w:val="20"/>
                <w:szCs w:val="20"/>
                <w:color w:val="auto"/>
              </w:rPr>
            </w:pPr>
            <w:r>
              <w:rPr>
                <w:rFonts w:ascii="Arial" w:cs="Arial" w:eastAsia="Arial" w:hAnsi="Arial"/>
                <w:sz w:val="16"/>
                <w:szCs w:val="16"/>
                <w:color w:val="auto"/>
              </w:rPr>
              <w:t>0</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740" w:type="dxa"/>
            <w:vAlign w:val="bottom"/>
          </w:tcPr>
          <w:p>
            <w:pPr>
              <w:ind w:left="200"/>
              <w:spacing w:after="0"/>
              <w:rPr>
                <w:sz w:val="20"/>
                <w:szCs w:val="20"/>
                <w:color w:val="auto"/>
              </w:rPr>
            </w:pPr>
            <w:r>
              <w:rPr>
                <w:rFonts w:ascii="Arial" w:cs="Arial" w:eastAsia="Arial" w:hAnsi="Arial"/>
                <w:sz w:val="16"/>
                <w:szCs w:val="16"/>
                <w:color w:val="auto"/>
              </w:rPr>
              <w:t>Joyce A. Mullen</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15,124</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5,721</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4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6"/>
                <w:szCs w:val="16"/>
                <w:color w:val="auto"/>
              </w:rPr>
              <w:t>James C. O'Rourke</w:t>
            </w:r>
          </w:p>
        </w:tc>
        <w:tc>
          <w:tcPr>
            <w:tcW w:w="1240" w:type="dxa"/>
            <w:vAlign w:val="bottom"/>
            <w:tcBorders>
              <w:bottom w:val="single" w:sz="8" w:color="DBDBDB"/>
            </w:tcBorders>
            <w:shd w:val="clear" w:color="auto" w:fill="DBDBDB"/>
          </w:tcPr>
          <w:p>
            <w:pPr>
              <w:jc w:val="right"/>
              <w:ind w:right="21"/>
              <w:spacing w:after="0"/>
              <w:rPr>
                <w:sz w:val="20"/>
                <w:szCs w:val="20"/>
                <w:color w:val="auto"/>
              </w:rPr>
            </w:pPr>
            <w:r>
              <w:rPr>
                <w:rFonts w:ascii="Arial" w:cs="Arial" w:eastAsia="Arial" w:hAnsi="Arial"/>
                <w:sz w:val="16"/>
                <w:szCs w:val="16"/>
                <w:color w:val="auto"/>
              </w:rPr>
              <w:t>30,669</w:t>
            </w:r>
          </w:p>
        </w:tc>
        <w:tc>
          <w:tcPr>
            <w:tcW w:w="1120" w:type="dxa"/>
            <w:vAlign w:val="bottom"/>
            <w:tcBorders>
              <w:bottom w:val="single" w:sz="8" w:color="DBDBDB"/>
            </w:tcBorders>
            <w:shd w:val="clear" w:color="auto" w:fill="DBDBDB"/>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DBDBDB"/>
            </w:tcBorders>
            <w:shd w:val="clear" w:color="auto" w:fill="DBDBDB"/>
          </w:tcPr>
          <w:p>
            <w:pPr>
              <w:jc w:val="right"/>
              <w:ind w:right="81"/>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DBDBDB"/>
            </w:tcBorders>
            <w:shd w:val="clear" w:color="auto" w:fill="DBDBDB"/>
          </w:tcPr>
          <w:p>
            <w:pPr>
              <w:jc w:val="right"/>
              <w:ind w:right="62"/>
              <w:spacing w:after="0"/>
              <w:rPr>
                <w:sz w:val="20"/>
                <w:szCs w:val="20"/>
                <w:color w:val="auto"/>
              </w:rPr>
            </w:pPr>
            <w:r>
              <w:rPr>
                <w:rFonts w:ascii="Arial" w:cs="Arial" w:eastAsia="Arial" w:hAnsi="Arial"/>
                <w:sz w:val="16"/>
                <w:szCs w:val="16"/>
                <w:color w:val="auto"/>
              </w:rPr>
              <w:t>0</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740" w:type="dxa"/>
            <w:vAlign w:val="bottom"/>
          </w:tcPr>
          <w:p>
            <w:pPr>
              <w:ind w:left="200"/>
              <w:spacing w:after="0"/>
              <w:rPr>
                <w:sz w:val="20"/>
                <w:szCs w:val="20"/>
                <w:color w:val="auto"/>
              </w:rPr>
            </w:pPr>
            <w:r>
              <w:rPr>
                <w:rFonts w:ascii="Arial" w:cs="Arial" w:eastAsia="Arial" w:hAnsi="Arial"/>
                <w:sz w:val="16"/>
                <w:szCs w:val="16"/>
                <w:color w:val="auto"/>
              </w:rPr>
              <w:t>Jill M. Pemberton</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8,233</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992</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Named Executive Officers:</w:t>
            </w:r>
          </w:p>
        </w:tc>
        <w:tc>
          <w:tcPr>
            <w:tcW w:w="1240" w:type="dxa"/>
            <w:vAlign w:val="bottom"/>
            <w:tcBorders>
              <w:bottom w:val="single" w:sz="8" w:color="DBDBDB"/>
            </w:tcBorders>
            <w:shd w:val="clear" w:color="auto" w:fill="DBDBDB"/>
          </w:tcPr>
          <w:p>
            <w:pPr>
              <w:spacing w:after="0"/>
              <w:rPr>
                <w:sz w:val="19"/>
                <w:szCs w:val="19"/>
                <w:color w:val="auto"/>
              </w:rPr>
            </w:pPr>
          </w:p>
        </w:tc>
        <w:tc>
          <w:tcPr>
            <w:tcW w:w="112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spacing w:after="0"/>
              <w:rPr>
                <w:sz w:val="19"/>
                <w:szCs w:val="19"/>
                <w:color w:val="auto"/>
              </w:rPr>
            </w:pPr>
          </w:p>
        </w:tc>
        <w:tc>
          <w:tcPr>
            <w:tcW w:w="1480" w:type="dxa"/>
            <w:vAlign w:val="bottom"/>
            <w:tcBorders>
              <w:bottom w:val="single" w:sz="8" w:color="DBDBDB"/>
            </w:tcBorders>
            <w:shd w:val="clear" w:color="auto" w:fill="DBDBDB"/>
          </w:tcPr>
          <w:p>
            <w:pPr>
              <w:spacing w:after="0"/>
              <w:rPr>
                <w:sz w:val="19"/>
                <w:szCs w:val="19"/>
                <w:color w:val="auto"/>
              </w:rPr>
            </w:pPr>
          </w:p>
        </w:tc>
        <w:tc>
          <w:tcPr>
            <w:tcW w:w="136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740" w:type="dxa"/>
            <w:vAlign w:val="bottom"/>
          </w:tcPr>
          <w:p>
            <w:pPr>
              <w:ind w:left="200"/>
              <w:spacing w:after="0"/>
              <w:rPr>
                <w:sz w:val="20"/>
                <w:szCs w:val="20"/>
                <w:color w:val="auto"/>
              </w:rPr>
            </w:pPr>
            <w:r>
              <w:rPr>
                <w:rFonts w:ascii="Arial" w:cs="Arial" w:eastAsia="Arial" w:hAnsi="Arial"/>
                <w:sz w:val="16"/>
                <w:szCs w:val="16"/>
                <w:color w:val="auto"/>
              </w:rPr>
              <w:t>Richard M. Olson</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1,102,567</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16,916</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17,807</w:t>
            </w: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170,893</w:t>
            </w: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4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6"/>
                <w:szCs w:val="16"/>
                <w:color w:val="auto"/>
              </w:rPr>
              <w:t>Angela C. Drake</w:t>
            </w:r>
          </w:p>
        </w:tc>
        <w:tc>
          <w:tcPr>
            <w:tcW w:w="1240" w:type="dxa"/>
            <w:vAlign w:val="bottom"/>
            <w:tcBorders>
              <w:bottom w:val="single" w:sz="8" w:color="DBDBDB"/>
            </w:tcBorders>
            <w:shd w:val="clear" w:color="auto" w:fill="DBDBDB"/>
          </w:tcPr>
          <w:p>
            <w:pPr>
              <w:jc w:val="right"/>
              <w:ind w:right="21"/>
              <w:spacing w:after="0"/>
              <w:rPr>
                <w:sz w:val="20"/>
                <w:szCs w:val="20"/>
                <w:color w:val="auto"/>
              </w:rPr>
            </w:pPr>
            <w:r>
              <w:rPr>
                <w:rFonts w:ascii="Arial" w:cs="Arial" w:eastAsia="Arial" w:hAnsi="Arial"/>
                <w:sz w:val="16"/>
                <w:szCs w:val="16"/>
                <w:color w:val="auto"/>
              </w:rPr>
              <w:t>79,430</w:t>
            </w:r>
          </w:p>
        </w:tc>
        <w:tc>
          <w:tcPr>
            <w:tcW w:w="1120" w:type="dxa"/>
            <w:vAlign w:val="bottom"/>
            <w:tcBorders>
              <w:bottom w:val="single" w:sz="8" w:color="DBDBDB"/>
            </w:tcBorders>
            <w:shd w:val="clear" w:color="auto" w:fill="DBDBDB"/>
          </w:tcPr>
          <w:p>
            <w:pPr>
              <w:jc w:val="right"/>
              <w:ind w:right="61"/>
              <w:spacing w:after="0"/>
              <w:rPr>
                <w:sz w:val="20"/>
                <w:szCs w:val="20"/>
                <w:color w:val="auto"/>
              </w:rPr>
            </w:pPr>
            <w:r>
              <w:rPr>
                <w:rFonts w:ascii="Arial" w:cs="Arial" w:eastAsia="Arial" w:hAnsi="Arial"/>
                <w:sz w:val="16"/>
                <w:szCs w:val="16"/>
                <w:color w:val="auto"/>
              </w:rPr>
              <w:t>6,889</w:t>
            </w:r>
          </w:p>
        </w:tc>
        <w:tc>
          <w:tcPr>
            <w:tcW w:w="1160" w:type="dxa"/>
            <w:vAlign w:val="bottom"/>
            <w:tcBorders>
              <w:bottom w:val="single" w:sz="8" w:color="DBDBDB"/>
            </w:tcBorders>
            <w:shd w:val="clear" w:color="auto" w:fill="DBDBDB"/>
          </w:tcPr>
          <w:p>
            <w:pPr>
              <w:jc w:val="right"/>
              <w:ind w:right="81"/>
              <w:spacing w:after="0"/>
              <w:rPr>
                <w:sz w:val="20"/>
                <w:szCs w:val="20"/>
                <w:color w:val="auto"/>
              </w:rPr>
            </w:pPr>
            <w:r>
              <w:rPr>
                <w:rFonts w:ascii="Arial" w:cs="Arial" w:eastAsia="Arial" w:hAnsi="Arial"/>
                <w:sz w:val="16"/>
                <w:szCs w:val="16"/>
                <w:color w:val="auto"/>
              </w:rPr>
              <w:t>461</w:t>
            </w:r>
          </w:p>
        </w:tc>
        <w:tc>
          <w:tcPr>
            <w:tcW w:w="1480" w:type="dxa"/>
            <w:vAlign w:val="bottom"/>
            <w:tcBorders>
              <w:bottom w:val="single" w:sz="8" w:color="DBDBDB"/>
            </w:tcBorders>
            <w:shd w:val="clear" w:color="auto" w:fill="DBDBDB"/>
          </w:tcPr>
          <w:p>
            <w:pPr>
              <w:jc w:val="right"/>
              <w:ind w:right="6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211"/>
        </w:trPr>
        <w:tc>
          <w:tcPr>
            <w:tcW w:w="3740" w:type="dxa"/>
            <w:vAlign w:val="bottom"/>
          </w:tcPr>
          <w:p>
            <w:pPr>
              <w:ind w:left="200"/>
              <w:spacing w:after="0"/>
              <w:rPr>
                <w:sz w:val="20"/>
                <w:szCs w:val="20"/>
                <w:color w:val="auto"/>
              </w:rPr>
            </w:pPr>
            <w:r>
              <w:rPr>
                <w:rFonts w:ascii="Arial" w:cs="Arial" w:eastAsia="Arial" w:hAnsi="Arial"/>
                <w:sz w:val="16"/>
                <w:szCs w:val="16"/>
                <w:color w:val="auto"/>
              </w:rPr>
              <w:t>Edric C. Funk</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61,001</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24137</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6135</w:t>
            </w: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2107</w:t>
            </w: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4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6"/>
                <w:szCs w:val="16"/>
                <w:color w:val="auto"/>
              </w:rPr>
              <w:t>Peter D. Moeller</w:t>
            </w:r>
          </w:p>
        </w:tc>
        <w:tc>
          <w:tcPr>
            <w:tcW w:w="1240" w:type="dxa"/>
            <w:vAlign w:val="bottom"/>
            <w:tcBorders>
              <w:bottom w:val="single" w:sz="8" w:color="DBDBDB"/>
            </w:tcBorders>
            <w:shd w:val="clear" w:color="auto" w:fill="DBDBDB"/>
          </w:tcPr>
          <w:p>
            <w:pPr>
              <w:jc w:val="right"/>
              <w:ind w:right="21"/>
              <w:spacing w:after="0"/>
              <w:rPr>
                <w:sz w:val="20"/>
                <w:szCs w:val="20"/>
                <w:color w:val="auto"/>
              </w:rPr>
            </w:pPr>
            <w:r>
              <w:rPr>
                <w:rFonts w:ascii="Arial" w:cs="Arial" w:eastAsia="Arial" w:hAnsi="Arial"/>
                <w:sz w:val="16"/>
                <w:szCs w:val="16"/>
                <w:color w:val="auto"/>
              </w:rPr>
              <w:t>72,931</w:t>
            </w:r>
          </w:p>
        </w:tc>
        <w:tc>
          <w:tcPr>
            <w:tcW w:w="1120" w:type="dxa"/>
            <w:vAlign w:val="bottom"/>
            <w:tcBorders>
              <w:bottom w:val="single" w:sz="8" w:color="DBDBDB"/>
            </w:tcBorders>
            <w:shd w:val="clear" w:color="auto" w:fill="DBDBDB"/>
          </w:tcPr>
          <w:p>
            <w:pPr>
              <w:jc w:val="right"/>
              <w:ind w:right="61"/>
              <w:spacing w:after="0"/>
              <w:rPr>
                <w:sz w:val="20"/>
                <w:szCs w:val="20"/>
                <w:color w:val="auto"/>
              </w:rPr>
            </w:pPr>
            <w:r>
              <w:rPr>
                <w:rFonts w:ascii="Arial" w:cs="Arial" w:eastAsia="Arial" w:hAnsi="Arial"/>
                <w:sz w:val="16"/>
                <w:szCs w:val="16"/>
                <w:color w:val="auto"/>
              </w:rPr>
              <w:t>24,307</w:t>
            </w:r>
          </w:p>
        </w:tc>
        <w:tc>
          <w:tcPr>
            <w:tcW w:w="1160" w:type="dxa"/>
            <w:vAlign w:val="bottom"/>
            <w:tcBorders>
              <w:bottom w:val="single" w:sz="8" w:color="DBDBDB"/>
            </w:tcBorders>
            <w:shd w:val="clear" w:color="auto" w:fill="DBDBDB"/>
          </w:tcPr>
          <w:p>
            <w:pPr>
              <w:jc w:val="right"/>
              <w:ind w:right="81"/>
              <w:spacing w:after="0"/>
              <w:rPr>
                <w:sz w:val="20"/>
                <w:szCs w:val="20"/>
                <w:color w:val="auto"/>
              </w:rPr>
            </w:pPr>
            <w:r>
              <w:rPr>
                <w:rFonts w:ascii="Arial" w:cs="Arial" w:eastAsia="Arial" w:hAnsi="Arial"/>
                <w:sz w:val="16"/>
                <w:szCs w:val="16"/>
                <w:color w:val="auto"/>
              </w:rPr>
              <w:t>4,194</w:t>
            </w:r>
          </w:p>
        </w:tc>
        <w:tc>
          <w:tcPr>
            <w:tcW w:w="1480" w:type="dxa"/>
            <w:vAlign w:val="bottom"/>
            <w:tcBorders>
              <w:bottom w:val="single" w:sz="8" w:color="DBDBDB"/>
            </w:tcBorders>
            <w:shd w:val="clear" w:color="auto" w:fill="DBDBDB"/>
          </w:tcPr>
          <w:p>
            <w:pPr>
              <w:jc w:val="right"/>
              <w:ind w:right="6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3,174</w:t>
            </w:r>
          </w:p>
        </w:tc>
        <w:tc>
          <w:tcPr>
            <w:tcW w:w="0" w:type="dxa"/>
            <w:vAlign w:val="bottom"/>
          </w:tcPr>
          <w:p>
            <w:pPr>
              <w:spacing w:after="0"/>
              <w:rPr>
                <w:sz w:val="1"/>
                <w:szCs w:val="1"/>
                <w:color w:val="auto"/>
              </w:rPr>
            </w:pPr>
          </w:p>
        </w:tc>
      </w:tr>
      <w:tr>
        <w:trPr>
          <w:trHeight w:val="211"/>
        </w:trPr>
        <w:tc>
          <w:tcPr>
            <w:tcW w:w="3740" w:type="dxa"/>
            <w:vAlign w:val="bottom"/>
          </w:tcPr>
          <w:p>
            <w:pPr>
              <w:ind w:left="200"/>
              <w:spacing w:after="0"/>
              <w:rPr>
                <w:sz w:val="20"/>
                <w:szCs w:val="20"/>
                <w:color w:val="auto"/>
              </w:rPr>
            </w:pPr>
            <w:r>
              <w:rPr>
                <w:rFonts w:ascii="Arial" w:cs="Arial" w:eastAsia="Arial" w:hAnsi="Arial"/>
                <w:sz w:val="16"/>
                <w:szCs w:val="16"/>
                <w:color w:val="auto"/>
              </w:rPr>
              <w:t>Gregory S. Janey</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90,431</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23,356</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2,216</w:t>
            </w: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7,190</w:t>
            </w: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3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All Current Directors and Executive Officers as a</w:t>
            </w:r>
          </w:p>
        </w:tc>
        <w:tc>
          <w:tcPr>
            <w:tcW w:w="1240" w:type="dxa"/>
            <w:vAlign w:val="bottom"/>
            <w:vMerge w:val="restart"/>
            <w:shd w:val="clear" w:color="auto" w:fill="DBDBDB"/>
          </w:tcPr>
          <w:p>
            <w:pPr>
              <w:jc w:val="right"/>
              <w:ind w:right="21"/>
              <w:spacing w:after="0"/>
              <w:rPr>
                <w:sz w:val="20"/>
                <w:szCs w:val="20"/>
                <w:color w:val="auto"/>
              </w:rPr>
            </w:pPr>
            <w:r>
              <w:rPr>
                <w:rFonts w:ascii="Arial" w:cs="Arial" w:eastAsia="Arial" w:hAnsi="Arial"/>
                <w:sz w:val="16"/>
                <w:szCs w:val="16"/>
                <w:color w:val="auto"/>
              </w:rPr>
              <w:t>1,740,648</w:t>
            </w:r>
          </w:p>
        </w:tc>
        <w:tc>
          <w:tcPr>
            <w:tcW w:w="1120" w:type="dxa"/>
            <w:vAlign w:val="bottom"/>
            <w:vMerge w:val="restart"/>
            <w:shd w:val="clear" w:color="auto" w:fill="DBDBDB"/>
          </w:tcPr>
          <w:p>
            <w:pPr>
              <w:jc w:val="right"/>
              <w:ind w:right="61"/>
              <w:spacing w:after="0"/>
              <w:rPr>
                <w:sz w:val="20"/>
                <w:szCs w:val="20"/>
                <w:color w:val="auto"/>
              </w:rPr>
            </w:pPr>
            <w:r>
              <w:rPr>
                <w:rFonts w:ascii="Arial" w:cs="Arial" w:eastAsia="Arial" w:hAnsi="Arial"/>
                <w:sz w:val="16"/>
                <w:szCs w:val="16"/>
                <w:color w:val="auto"/>
              </w:rPr>
              <w:t>131,482</w:t>
            </w:r>
          </w:p>
        </w:tc>
        <w:tc>
          <w:tcPr>
            <w:tcW w:w="1160" w:type="dxa"/>
            <w:vAlign w:val="bottom"/>
            <w:vMerge w:val="restart"/>
            <w:shd w:val="clear" w:color="auto" w:fill="DBDBDB"/>
          </w:tcPr>
          <w:p>
            <w:pPr>
              <w:jc w:val="right"/>
              <w:ind w:right="81"/>
              <w:spacing w:after="0"/>
              <w:rPr>
                <w:sz w:val="20"/>
                <w:szCs w:val="20"/>
                <w:color w:val="auto"/>
              </w:rPr>
            </w:pPr>
            <w:r>
              <w:rPr>
                <w:rFonts w:ascii="Arial" w:cs="Arial" w:eastAsia="Arial" w:hAnsi="Arial"/>
                <w:sz w:val="16"/>
                <w:szCs w:val="16"/>
                <w:color w:val="auto"/>
              </w:rPr>
              <w:t>44,909</w:t>
            </w:r>
          </w:p>
        </w:tc>
        <w:tc>
          <w:tcPr>
            <w:tcW w:w="1480" w:type="dxa"/>
            <w:vAlign w:val="bottom"/>
            <w:vMerge w:val="restart"/>
            <w:shd w:val="clear" w:color="auto" w:fill="DBDBDB"/>
          </w:tcPr>
          <w:p>
            <w:pPr>
              <w:jc w:val="right"/>
              <w:ind w:right="62"/>
              <w:spacing w:after="0"/>
              <w:rPr>
                <w:sz w:val="20"/>
                <w:szCs w:val="20"/>
                <w:color w:val="auto"/>
              </w:rPr>
            </w:pPr>
            <w:r>
              <w:rPr>
                <w:rFonts w:ascii="Arial" w:cs="Arial" w:eastAsia="Arial" w:hAnsi="Arial"/>
                <w:sz w:val="16"/>
                <w:szCs w:val="16"/>
                <w:color w:val="auto"/>
              </w:rPr>
              <w:t>10,889</w:t>
            </w:r>
          </w:p>
        </w:tc>
        <w:tc>
          <w:tcPr>
            <w:tcW w:w="13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193,025</w:t>
            </w:r>
          </w:p>
        </w:tc>
        <w:tc>
          <w:tcPr>
            <w:tcW w:w="0" w:type="dxa"/>
            <w:vAlign w:val="bottom"/>
          </w:tcPr>
          <w:p>
            <w:pPr>
              <w:spacing w:after="0"/>
              <w:rPr>
                <w:sz w:val="1"/>
                <w:szCs w:val="1"/>
                <w:color w:val="auto"/>
              </w:rPr>
            </w:pPr>
          </w:p>
        </w:tc>
      </w:tr>
      <w:tr>
        <w:trPr>
          <w:trHeight w:val="228"/>
        </w:trPr>
        <w:tc>
          <w:tcPr>
            <w:tcW w:w="3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Group (18)</w:t>
            </w:r>
          </w:p>
        </w:tc>
        <w:tc>
          <w:tcPr>
            <w:tcW w:w="1240" w:type="dxa"/>
            <w:vAlign w:val="bottom"/>
            <w:vMerge w:val="continue"/>
            <w:shd w:val="clear" w:color="auto" w:fill="DBDBDB"/>
          </w:tcPr>
          <w:p>
            <w:pPr>
              <w:spacing w:after="0"/>
              <w:rPr>
                <w:sz w:val="19"/>
                <w:szCs w:val="19"/>
                <w:color w:val="auto"/>
              </w:rPr>
            </w:pPr>
          </w:p>
        </w:tc>
        <w:tc>
          <w:tcPr>
            <w:tcW w:w="1120" w:type="dxa"/>
            <w:vAlign w:val="bottom"/>
            <w:vMerge w:val="continue"/>
            <w:shd w:val="clear" w:color="auto" w:fill="DBDBDB"/>
          </w:tcPr>
          <w:p>
            <w:pPr>
              <w:spacing w:after="0"/>
              <w:rPr>
                <w:sz w:val="19"/>
                <w:szCs w:val="19"/>
                <w:color w:val="auto"/>
              </w:rPr>
            </w:pPr>
          </w:p>
        </w:tc>
        <w:tc>
          <w:tcPr>
            <w:tcW w:w="1160" w:type="dxa"/>
            <w:vAlign w:val="bottom"/>
            <w:vMerge w:val="continue"/>
            <w:shd w:val="clear" w:color="auto" w:fill="DBDBDB"/>
          </w:tcPr>
          <w:p>
            <w:pPr>
              <w:spacing w:after="0"/>
              <w:rPr>
                <w:sz w:val="19"/>
                <w:szCs w:val="19"/>
                <w:color w:val="auto"/>
              </w:rPr>
            </w:pPr>
          </w:p>
        </w:tc>
        <w:tc>
          <w:tcPr>
            <w:tcW w:w="1480" w:type="dxa"/>
            <w:vAlign w:val="bottom"/>
            <w:vMerge w:val="continue"/>
            <w:shd w:val="clear" w:color="auto" w:fill="DBDBDB"/>
          </w:tcPr>
          <w:p>
            <w:pPr>
              <w:spacing w:after="0"/>
              <w:rPr>
                <w:sz w:val="19"/>
                <w:szCs w:val="19"/>
                <w:color w:val="auto"/>
              </w:rPr>
            </w:pPr>
          </w:p>
        </w:tc>
        <w:tc>
          <w:tcPr>
            <w:tcW w:w="1360" w:type="dxa"/>
            <w:vAlign w:val="bottom"/>
            <w:vMerge w:val="continue"/>
            <w:shd w:val="clear" w:color="auto" w:fill="DBDBDB"/>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19913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 Exercisable and unexercisable stock options; and vested and unvested restricted stock units, respectively.</w:t>
      </w:r>
    </w:p>
    <w:p>
      <w:pPr>
        <w:spacing w:after="0" w:line="273" w:lineRule="exact"/>
        <w:rPr>
          <w:sz w:val="20"/>
          <w:szCs w:val="20"/>
          <w:color w:val="auto"/>
        </w:rPr>
      </w:pPr>
    </w:p>
    <w:p>
      <w:pPr>
        <w:ind w:left="320" w:hanging="313"/>
        <w:spacing w:after="0" w:line="255" w:lineRule="auto"/>
        <w:tabs>
          <w:tab w:leader="none" w:pos="308"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Includes shares held in trust for estate planning purposes as follows: 15,575 shares for Mr. Koch; 1,882 shares for Mr. Hansotia; 7,941 shares for Ms. Pemberton; and 6,210 shares for Mr. Moeller.</w:t>
      </w:r>
    </w:p>
    <w:p>
      <w:pPr>
        <w:ind w:left="320" w:hanging="313"/>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Ms. Pemberton has shared voting and investment power with her spouse over the 7,941 shares in trust.</w:t>
      </w:r>
    </w:p>
    <w:p>
      <w:pPr>
        <w:spacing w:after="0" w:line="46" w:lineRule="exact"/>
        <w:rPr>
          <w:rFonts w:ascii="Arial" w:cs="Arial" w:eastAsia="Arial" w:hAnsi="Arial"/>
          <w:sz w:val="18"/>
          <w:szCs w:val="18"/>
          <w:color w:val="auto"/>
        </w:rPr>
      </w:pPr>
    </w:p>
    <w:p>
      <w:pPr>
        <w:jc w:val="both"/>
        <w:ind w:left="320" w:hanging="313"/>
        <w:spacing w:after="0" w:line="233" w:lineRule="auto"/>
        <w:tabs>
          <w:tab w:leader="none" w:pos="308"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Percentages are based on our shares outstanding as of our record date and are calculated pursuant to Rule 13d-3 under the Exchange Act. Percentage calculations assume, for each person and the group, that all shares that may be acquired by such person or by the group pursuant to stock options or other rights currently exercisable or that become exercisable or issuable within 60 days following January 20, 2026, are outstanding for the purpose of computing the percentage of common stock owned by such person or by the group. However, those unissued shares of our common stock described above are not deemed to be outstanding for the purpose of calculating the percentage of common stock owned by any other person.</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Stock Ownership Guidelines</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maintain stock ownership guidelines to align the interests of our non-employee directors and executive officers with those of our</w:t>
      </w:r>
    </w:p>
    <w:p>
      <w:pPr>
        <w:spacing w:after="0" w:line="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stockholders. Our stock ownership guidelines require non-employee directors and executive officers to hold the number of shares as shown in the table below until the guideline multiple is met.</w:t>
      </w:r>
    </w:p>
    <w:p>
      <w:pPr>
        <w:spacing w:after="0" w:line="131" w:lineRule="exact"/>
        <w:rPr>
          <w:sz w:val="20"/>
          <w:szCs w:val="20"/>
          <w:color w:val="auto"/>
        </w:rPr>
      </w:pPr>
    </w:p>
    <w:tbl>
      <w:tblPr>
        <w:tblLayout w:type="fixed"/>
        <w:tblInd w:w="680" w:type="dxa"/>
        <w:tblCellMar>
          <w:top w:w="0" w:type="dxa"/>
          <w:left w:w="0" w:type="dxa"/>
          <w:bottom w:w="0" w:type="dxa"/>
          <w:right w:w="0" w:type="dxa"/>
        </w:tblCellMar>
      </w:tblPr>
      <w:tr>
        <w:trPr>
          <w:trHeight w:val="239"/>
        </w:trPr>
        <w:tc>
          <w:tcPr>
            <w:tcW w:w="3140" w:type="dxa"/>
            <w:vAlign w:val="bottom"/>
            <w:shd w:val="clear" w:color="auto" w:fill="BF2115"/>
          </w:tcPr>
          <w:p>
            <w:pPr>
              <w:spacing w:after="0"/>
              <w:rPr>
                <w:sz w:val="20"/>
                <w:szCs w:val="20"/>
                <w:color w:val="auto"/>
              </w:rPr>
            </w:pPr>
          </w:p>
        </w:tc>
        <w:tc>
          <w:tcPr>
            <w:tcW w:w="3760" w:type="dxa"/>
            <w:vAlign w:val="bottom"/>
            <w:shd w:val="clear" w:color="auto" w:fill="BF2115"/>
          </w:tcPr>
          <w:p>
            <w:pPr>
              <w:ind w:left="280"/>
              <w:spacing w:after="0"/>
              <w:rPr>
                <w:sz w:val="20"/>
                <w:szCs w:val="20"/>
                <w:color w:val="auto"/>
              </w:rPr>
            </w:pPr>
            <w:r>
              <w:rPr>
                <w:rFonts w:ascii="Arial" w:cs="Arial" w:eastAsia="Arial" w:hAnsi="Arial"/>
                <w:sz w:val="16"/>
                <w:szCs w:val="16"/>
                <w:b w:val="1"/>
                <w:bCs w:val="1"/>
                <w:color w:val="FFFFFF"/>
              </w:rPr>
              <w:t>Stock Ownership Guidelines by Position</w:t>
            </w:r>
          </w:p>
        </w:tc>
        <w:tc>
          <w:tcPr>
            <w:tcW w:w="3000" w:type="dxa"/>
            <w:vAlign w:val="bottom"/>
            <w:shd w:val="clear" w:color="auto" w:fill="BF2115"/>
          </w:tcPr>
          <w:p>
            <w:pPr>
              <w:spacing w:after="0"/>
              <w:rPr>
                <w:sz w:val="20"/>
                <w:szCs w:val="20"/>
                <w:color w:val="auto"/>
              </w:rPr>
            </w:pPr>
          </w:p>
        </w:tc>
      </w:tr>
      <w:tr>
        <w:trPr>
          <w:trHeight w:val="221"/>
        </w:trPr>
        <w:tc>
          <w:tcPr>
            <w:tcW w:w="3140" w:type="dxa"/>
            <w:vAlign w:val="bottom"/>
            <w:tcBorders>
              <w:bottom w:val="single" w:sz="8" w:color="BF2115"/>
            </w:tcBorders>
            <w:shd w:val="clear" w:color="auto" w:fill="BF2115"/>
          </w:tcPr>
          <w:p>
            <w:pPr>
              <w:jc w:val="center"/>
              <w:ind w:left="600"/>
              <w:spacing w:after="0"/>
              <w:rPr>
                <w:sz w:val="20"/>
                <w:szCs w:val="20"/>
                <w:color w:val="auto"/>
              </w:rPr>
            </w:pPr>
            <w:r>
              <w:rPr>
                <w:rFonts w:ascii="Arial" w:cs="Arial" w:eastAsia="Arial" w:hAnsi="Arial"/>
                <w:sz w:val="16"/>
                <w:szCs w:val="16"/>
                <w:b w:val="1"/>
                <w:bCs w:val="1"/>
                <w:color w:val="FFFFFF"/>
                <w:w w:val="99"/>
              </w:rPr>
              <w:t>Non-Employee Directors</w:t>
            </w:r>
          </w:p>
        </w:tc>
        <w:tc>
          <w:tcPr>
            <w:tcW w:w="3760" w:type="dxa"/>
            <w:vAlign w:val="bottom"/>
            <w:tcBorders>
              <w:bottom w:val="single" w:sz="8" w:color="BF2115"/>
            </w:tcBorders>
            <w:shd w:val="clear" w:color="auto" w:fill="BF2115"/>
          </w:tcPr>
          <w:p>
            <w:pPr>
              <w:jc w:val="center"/>
              <w:ind w:left="300"/>
              <w:spacing w:after="0"/>
              <w:rPr>
                <w:sz w:val="20"/>
                <w:szCs w:val="20"/>
                <w:color w:val="auto"/>
              </w:rPr>
            </w:pPr>
            <w:r>
              <w:rPr>
                <w:rFonts w:ascii="Arial" w:cs="Arial" w:eastAsia="Arial" w:hAnsi="Arial"/>
                <w:sz w:val="16"/>
                <w:szCs w:val="16"/>
                <w:b w:val="1"/>
                <w:bCs w:val="1"/>
                <w:color w:val="FFFFFF"/>
              </w:rPr>
              <w:t>Chairman and CEO</w:t>
            </w:r>
          </w:p>
        </w:tc>
        <w:tc>
          <w:tcPr>
            <w:tcW w:w="3000" w:type="dxa"/>
            <w:vAlign w:val="bottom"/>
            <w:tcBorders>
              <w:bottom w:val="single" w:sz="8" w:color="BF2115"/>
            </w:tcBorders>
            <w:shd w:val="clear" w:color="auto" w:fill="BF2115"/>
          </w:tcPr>
          <w:p>
            <w:pPr>
              <w:jc w:val="center"/>
              <w:ind w:right="220"/>
              <w:spacing w:after="0"/>
              <w:rPr>
                <w:sz w:val="20"/>
                <w:szCs w:val="20"/>
                <w:color w:val="auto"/>
              </w:rPr>
            </w:pPr>
            <w:r>
              <w:rPr>
                <w:rFonts w:ascii="Arial" w:cs="Arial" w:eastAsia="Arial" w:hAnsi="Arial"/>
                <w:sz w:val="16"/>
                <w:szCs w:val="16"/>
                <w:b w:val="1"/>
                <w:bCs w:val="1"/>
                <w:color w:val="FFFFFF"/>
                <w:w w:val="99"/>
              </w:rPr>
              <w:t>Other Executive Officers</w:t>
            </w:r>
          </w:p>
        </w:tc>
      </w:tr>
      <w:tr>
        <w:trPr>
          <w:trHeight w:val="211"/>
        </w:trPr>
        <w:tc>
          <w:tcPr>
            <w:tcW w:w="3140" w:type="dxa"/>
            <w:vAlign w:val="bottom"/>
          </w:tcPr>
          <w:p>
            <w:pPr>
              <w:jc w:val="center"/>
              <w:ind w:left="600"/>
              <w:spacing w:after="0"/>
              <w:rPr>
                <w:sz w:val="20"/>
                <w:szCs w:val="20"/>
                <w:color w:val="auto"/>
              </w:rPr>
            </w:pPr>
            <w:r>
              <w:rPr>
                <w:rFonts w:ascii="Arial" w:cs="Arial" w:eastAsia="Arial" w:hAnsi="Arial"/>
                <w:sz w:val="16"/>
                <w:szCs w:val="16"/>
                <w:color w:val="auto"/>
              </w:rPr>
              <w:t>5x annual board retainer</w:t>
            </w:r>
          </w:p>
        </w:tc>
        <w:tc>
          <w:tcPr>
            <w:tcW w:w="3760" w:type="dxa"/>
            <w:vAlign w:val="bottom"/>
          </w:tcPr>
          <w:p>
            <w:pPr>
              <w:jc w:val="center"/>
              <w:ind w:left="320"/>
              <w:spacing w:after="0"/>
              <w:rPr>
                <w:sz w:val="20"/>
                <w:szCs w:val="20"/>
                <w:color w:val="auto"/>
              </w:rPr>
            </w:pPr>
            <w:r>
              <w:rPr>
                <w:rFonts w:ascii="Arial" w:cs="Arial" w:eastAsia="Arial" w:hAnsi="Arial"/>
                <w:sz w:val="16"/>
                <w:szCs w:val="16"/>
                <w:color w:val="auto"/>
              </w:rPr>
              <w:t>6x annual base salary</w:t>
            </w:r>
          </w:p>
        </w:tc>
        <w:tc>
          <w:tcPr>
            <w:tcW w:w="3000" w:type="dxa"/>
            <w:vAlign w:val="bottom"/>
          </w:tcPr>
          <w:p>
            <w:pPr>
              <w:jc w:val="center"/>
              <w:ind w:right="240"/>
              <w:spacing w:after="0"/>
              <w:rPr>
                <w:sz w:val="20"/>
                <w:szCs w:val="20"/>
                <w:color w:val="auto"/>
              </w:rPr>
            </w:pPr>
            <w:r>
              <w:rPr>
                <w:rFonts w:ascii="Arial" w:cs="Arial" w:eastAsia="Arial" w:hAnsi="Arial"/>
                <w:sz w:val="16"/>
                <w:szCs w:val="16"/>
                <w:color w:val="auto"/>
              </w:rPr>
              <w:t>3x annual base 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2580005</wp:posOffset>
            </wp:positionH>
            <wp:positionV relativeFrom="paragraph">
              <wp:posOffset>-328295</wp:posOffset>
            </wp:positionV>
            <wp:extent cx="198310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983105" cy="8255"/>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Anti-Hedging and Anti-Pledging Policies</w:t>
      </w:r>
    </w:p>
    <w:p>
      <w:pPr>
        <w:spacing w:after="0" w:line="84" w:lineRule="exact"/>
        <w:rPr>
          <w:sz w:val="20"/>
          <w:szCs w:val="20"/>
          <w:color w:val="auto"/>
        </w:rPr>
      </w:pPr>
    </w:p>
    <w:p>
      <w:pPr>
        <w:ind w:firstLine="640"/>
        <w:spacing w:after="0" w:line="247" w:lineRule="auto"/>
        <w:rPr>
          <w:sz w:val="20"/>
          <w:szCs w:val="20"/>
          <w:color w:val="auto"/>
        </w:rPr>
      </w:pPr>
      <w:r>
        <w:rPr>
          <w:rFonts w:ascii="Arial" w:cs="Arial" w:eastAsia="Arial" w:hAnsi="Arial"/>
          <w:sz w:val="17"/>
          <w:szCs w:val="17"/>
          <w:color w:val="auto"/>
        </w:rPr>
        <w:t>Our Insider Trading Policy addresses hedging, pledging and other transactions which might give the appearance of impropriety. Under the Insider Trading Policy, we consider it inappropriate for any person subject to the policy, including all directors, officers and employees of our</w:t>
      </w:r>
    </w:p>
    <w:p>
      <w:pPr>
        <w:spacing w:after="0" w:line="232" w:lineRule="auto"/>
        <w:rPr>
          <w:sz w:val="20"/>
          <w:szCs w:val="20"/>
          <w:color w:val="auto"/>
        </w:rPr>
      </w:pPr>
      <w:r>
        <w:rPr>
          <w:rFonts w:ascii="Arial" w:cs="Arial" w:eastAsia="Arial" w:hAnsi="Arial"/>
          <w:sz w:val="18"/>
          <w:szCs w:val="18"/>
          <w:color w:val="auto"/>
        </w:rPr>
        <w:t>Company, to engage in speculative transactions in our Company's securities or other transactions which might give the appearance of</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impropriety. In addition, we discourage any person subject to the Insider Trading Policy from engaging in frequent trading in our Company's securities because such trading also may give the appearance that such trades were timed to take advantage of material non-public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information. Accordingly, our Insider Trading Policy either prohibits or limits the following types of transactions:</w:t>
      </w:r>
    </w:p>
    <w:p>
      <w:pPr>
        <w:sectPr>
          <w:pgSz w:w="11900" w:h="16838" w:orient="portrait"/>
          <w:cols w:equalWidth="0" w:num="1">
            <w:col w:w="11240"/>
          </w:cols>
          <w:pgMar w:left="320" w:top="11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type w:val="continuous"/>
        </w:sectPr>
      </w:pPr>
    </w:p>
    <w:bookmarkStart w:id="100" w:name="page101"/>
    <w:bookmarkEnd w:id="100"/>
    <w:p>
      <w:pPr>
        <w:jc w:val="both"/>
        <w:ind w:left="640" w:hanging="313"/>
        <w:spacing w:after="0" w:line="239" w:lineRule="auto"/>
        <w:tabs>
          <w:tab w:leader="none" w:pos="635"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Short sales</w:t>
      </w:r>
      <w:r>
        <w:rPr>
          <w:rFonts w:ascii="Arial" w:cs="Arial" w:eastAsia="Arial" w:hAnsi="Arial"/>
          <w:sz w:val="18"/>
          <w:szCs w:val="18"/>
          <w:color w:val="auto"/>
        </w:rPr>
        <w:t>. All directors, officers and employees of our Company are prohibited from engaging in short sales of our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since such sales are intended to reward a person for downward changes in price, and as such, may appear to have resulted from the possession of material non-public information.</w:t>
      </w:r>
    </w:p>
    <w:p>
      <w:pPr>
        <w:spacing w:after="0" w:line="22" w:lineRule="exact"/>
        <w:rPr>
          <w:rFonts w:ascii="Arial" w:cs="Arial" w:eastAsia="Arial" w:hAnsi="Arial"/>
          <w:sz w:val="18"/>
          <w:szCs w:val="18"/>
          <w:color w:val="auto"/>
        </w:rPr>
      </w:pPr>
    </w:p>
    <w:p>
      <w:pPr>
        <w:jc w:val="both"/>
        <w:ind w:left="640" w:hanging="313"/>
        <w:spacing w:after="0" w:line="237" w:lineRule="auto"/>
        <w:tabs>
          <w:tab w:leader="none" w:pos="635"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Publicly-traded options</w:t>
      </w:r>
      <w:r>
        <w:rPr>
          <w:rFonts w:ascii="Arial" w:cs="Arial" w:eastAsia="Arial" w:hAnsi="Arial"/>
          <w:sz w:val="18"/>
          <w:szCs w:val="18"/>
          <w:color w:val="auto"/>
        </w:rPr>
        <w:t>. All directors, officers and employees of our Company are prohibited from engaging in transactions in put</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call options, or other derivative securities involving our Company's stock, whether on an exchange or otherwise, since given the relatively short terms of publicly-traded options, such transactions may create the appearance that they have resulted from possession of material non-public information.</w:t>
      </w:r>
    </w:p>
    <w:p>
      <w:pPr>
        <w:spacing w:after="0" w:line="23" w:lineRule="exact"/>
        <w:rPr>
          <w:rFonts w:ascii="Arial" w:cs="Arial" w:eastAsia="Arial" w:hAnsi="Arial"/>
          <w:sz w:val="18"/>
          <w:szCs w:val="18"/>
          <w:color w:val="auto"/>
        </w:rPr>
      </w:pPr>
    </w:p>
    <w:p>
      <w:pPr>
        <w:jc w:val="both"/>
        <w:ind w:left="640" w:hanging="313"/>
        <w:spacing w:after="0" w:line="237" w:lineRule="auto"/>
        <w:tabs>
          <w:tab w:leader="none" w:pos="635"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Hedging transactions</w:t>
      </w:r>
      <w:r>
        <w:rPr>
          <w:rFonts w:ascii="Arial" w:cs="Arial" w:eastAsia="Arial" w:hAnsi="Arial"/>
          <w:sz w:val="18"/>
          <w:szCs w:val="18"/>
          <w:color w:val="auto"/>
        </w:rPr>
        <w:t>. All directors, officers and employees of our Company are prohibited from engaging in hedging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involving our Company's securities, such as collars, equity swaps, prepaid variable forwards, and exchange funds, since such transactions are designed to hedge or offset any decrease in the market value of securities and when that occurs, the owner may no longer have the same objectives as other of our Company's security holders.</w:t>
      </w:r>
    </w:p>
    <w:p>
      <w:pPr>
        <w:spacing w:after="0" w:line="9" w:lineRule="exact"/>
        <w:rPr>
          <w:rFonts w:ascii="Arial" w:cs="Arial" w:eastAsia="Arial" w:hAnsi="Arial"/>
          <w:sz w:val="18"/>
          <w:szCs w:val="18"/>
          <w:color w:val="auto"/>
        </w:rPr>
      </w:pPr>
    </w:p>
    <w:p>
      <w:pPr>
        <w:ind w:left="640" w:right="120" w:hanging="313"/>
        <w:spacing w:after="0" w:line="235" w:lineRule="auto"/>
        <w:tabs>
          <w:tab w:leader="none" w:pos="635"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Standing and limit orders</w:t>
      </w:r>
      <w:r>
        <w:rPr>
          <w:rFonts w:ascii="Arial" w:cs="Arial" w:eastAsia="Arial" w:hAnsi="Arial"/>
          <w:sz w:val="18"/>
          <w:szCs w:val="18"/>
          <w:color w:val="auto"/>
        </w:rPr>
        <w:t>. All directors, officers and employees of our Company are restricted in their use of standing and limit orders</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Company's securities, which are orders placed with a broker to sell or purchase stock at a specified price. Because there is no control over the timing of purchases or sales that result from standing instructions to a broker, a transaction could be executed when such stockholders are aware of material non-public information. Accordingly, the Insider Trading Policy provides that if a director, officer or employee of our Company uses a standing order or limit order for our Company's securities, the order should be limited in duration and should otherwise comply with the trading requirements outlined in the Insider Trading Policy.</w:t>
      </w:r>
    </w:p>
    <w:p>
      <w:pPr>
        <w:spacing w:after="0" w:line="11" w:lineRule="exact"/>
        <w:rPr>
          <w:rFonts w:ascii="Arial" w:cs="Arial" w:eastAsia="Arial" w:hAnsi="Arial"/>
          <w:sz w:val="18"/>
          <w:szCs w:val="18"/>
          <w:color w:val="auto"/>
        </w:rPr>
      </w:pPr>
    </w:p>
    <w:p>
      <w:pPr>
        <w:jc w:val="both"/>
        <w:ind w:left="640" w:hanging="313"/>
        <w:spacing w:after="0" w:line="239" w:lineRule="auto"/>
        <w:tabs>
          <w:tab w:leader="none" w:pos="635"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Pledging</w:t>
      </w:r>
      <w:r>
        <w:rPr>
          <w:rFonts w:ascii="Arial" w:cs="Arial" w:eastAsia="Arial" w:hAnsi="Arial"/>
          <w:sz w:val="18"/>
          <w:szCs w:val="18"/>
          <w:color w:val="auto"/>
        </w:rPr>
        <w:t>. All directors, officers and employees of our Company are prohibited from purchasing our Company's securities on margin,</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 against any account in which our Company's securities are held, or pledging our Company's securities as collateral for a loan.</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Delinquent Section 16(a) Reports</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Section 16(a) of the Exchange Act requires our directors and executive officers and persons who beneficially own more than ten percent of our common stock to file with the SEC reports showing ownership of and changes in ownership of our common stock and other equity securities.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Based on a review of reports filed by these reporting persons on the SEC's electronic filing, or EDGAR, system and written representations by our directors and executive officers, we believe that all of our directors, executive officers and greater than 10% owners complied with all filing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requirements applicable to them during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21"/>
          <w:szCs w:val="21"/>
          <w:b w:val="1"/>
          <w:bCs w:val="1"/>
          <w:color w:val="FFFFFF"/>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-151765</wp:posOffset>
            </wp:positionV>
            <wp:extent cx="6998335" cy="1866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8335" cy="186690"/>
                    </a:xfrm>
                    <a:prstGeom prst="rect">
                      <a:avLst/>
                    </a:prstGeom>
                    <a:noFill/>
                  </pic:spPr>
                </pic:pic>
              </a:graphicData>
            </a:graphic>
          </wp:anchor>
        </w:drawing>
      </w:r>
    </w:p>
    <w:p>
      <w:pPr>
        <w:spacing w:after="0" w:line="31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table provides information about shares of our common stock that may be issued under our equity compensation plans as of October 31, 2025, the last day of fiscal 2025.</w:t>
      </w:r>
    </w:p>
    <w:p>
      <w:pPr>
        <w:spacing w:after="0" w:line="126" w:lineRule="exact"/>
        <w:rPr>
          <w:sz w:val="20"/>
          <w:szCs w:val="20"/>
          <w:color w:val="auto"/>
        </w:rPr>
      </w:pPr>
    </w:p>
    <w:tbl>
      <w:tblPr>
        <w:tblLayout w:type="fixed"/>
        <w:tblInd w:w="160" w:type="dxa"/>
        <w:tblCellMar>
          <w:top w:w="0" w:type="dxa"/>
          <w:left w:w="0" w:type="dxa"/>
          <w:bottom w:w="0" w:type="dxa"/>
          <w:right w:w="0" w:type="dxa"/>
        </w:tblCellMar>
      </w:tblPr>
      <w:tr>
        <w:trPr>
          <w:trHeight w:val="204"/>
        </w:trPr>
        <w:tc>
          <w:tcPr>
            <w:tcW w:w="2640" w:type="dxa"/>
            <w:vAlign w:val="bottom"/>
            <w:shd w:val="clear" w:color="auto" w:fill="BF2115"/>
          </w:tcPr>
          <w:p>
            <w:pPr>
              <w:spacing w:after="0"/>
              <w:rPr>
                <w:sz w:val="17"/>
                <w:szCs w:val="17"/>
                <w:color w:val="auto"/>
              </w:rPr>
            </w:pPr>
          </w:p>
        </w:tc>
        <w:tc>
          <w:tcPr>
            <w:tcW w:w="3580" w:type="dxa"/>
            <w:vAlign w:val="bottom"/>
            <w:shd w:val="clear" w:color="auto" w:fill="BF2115"/>
          </w:tcPr>
          <w:p>
            <w:pPr>
              <w:spacing w:after="0"/>
              <w:rPr>
                <w:sz w:val="17"/>
                <w:szCs w:val="17"/>
                <w:color w:val="auto"/>
              </w:rPr>
            </w:pPr>
          </w:p>
        </w:tc>
        <w:tc>
          <w:tcPr>
            <w:tcW w:w="2080" w:type="dxa"/>
            <w:vAlign w:val="bottom"/>
            <w:shd w:val="clear" w:color="auto" w:fill="BF2115"/>
          </w:tcPr>
          <w:p>
            <w:pPr>
              <w:spacing w:after="0"/>
              <w:rPr>
                <w:sz w:val="17"/>
                <w:szCs w:val="17"/>
                <w:color w:val="auto"/>
              </w:rPr>
            </w:pPr>
          </w:p>
        </w:tc>
        <w:tc>
          <w:tcPr>
            <w:tcW w:w="2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Number of Securities</w:t>
            </w:r>
          </w:p>
        </w:tc>
      </w:tr>
      <w:tr>
        <w:trPr>
          <w:trHeight w:val="173"/>
        </w:trPr>
        <w:tc>
          <w:tcPr>
            <w:tcW w:w="2640" w:type="dxa"/>
            <w:vAlign w:val="bottom"/>
            <w:shd w:val="clear" w:color="auto" w:fill="BF2115"/>
          </w:tcPr>
          <w:p>
            <w:pPr>
              <w:spacing w:after="0"/>
              <w:rPr>
                <w:sz w:val="15"/>
                <w:szCs w:val="15"/>
                <w:color w:val="auto"/>
              </w:rPr>
            </w:pPr>
          </w:p>
        </w:tc>
        <w:tc>
          <w:tcPr>
            <w:tcW w:w="3580" w:type="dxa"/>
            <w:vAlign w:val="bottom"/>
            <w:shd w:val="clear" w:color="auto" w:fill="BF2115"/>
          </w:tcPr>
          <w:p>
            <w:pPr>
              <w:jc w:val="center"/>
              <w:ind w:left="1289"/>
              <w:spacing w:after="0"/>
              <w:rPr>
                <w:sz w:val="20"/>
                <w:szCs w:val="20"/>
                <w:color w:val="auto"/>
              </w:rPr>
            </w:pPr>
            <w:r>
              <w:rPr>
                <w:rFonts w:ascii="Arial" w:cs="Arial" w:eastAsia="Arial" w:hAnsi="Arial"/>
                <w:sz w:val="14"/>
                <w:szCs w:val="14"/>
                <w:b w:val="1"/>
                <w:bCs w:val="1"/>
                <w:color w:val="FFFFFF"/>
              </w:rPr>
              <w:t>Number of Securities to</w:t>
            </w:r>
          </w:p>
        </w:tc>
        <w:tc>
          <w:tcPr>
            <w:tcW w:w="2080" w:type="dxa"/>
            <w:vAlign w:val="bottom"/>
            <w:shd w:val="clear" w:color="auto" w:fill="BF2115"/>
          </w:tcPr>
          <w:p>
            <w:pPr>
              <w:spacing w:after="0"/>
              <w:rPr>
                <w:sz w:val="15"/>
                <w:szCs w:val="15"/>
                <w:color w:val="auto"/>
              </w:rPr>
            </w:pPr>
          </w:p>
        </w:tc>
        <w:tc>
          <w:tcPr>
            <w:tcW w:w="2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Remaining Available for</w:t>
            </w:r>
          </w:p>
        </w:tc>
      </w:tr>
      <w:tr>
        <w:trPr>
          <w:trHeight w:val="187"/>
        </w:trPr>
        <w:tc>
          <w:tcPr>
            <w:tcW w:w="2640" w:type="dxa"/>
            <w:vAlign w:val="bottom"/>
            <w:shd w:val="clear" w:color="auto" w:fill="BF2115"/>
          </w:tcPr>
          <w:p>
            <w:pPr>
              <w:spacing w:after="0"/>
              <w:rPr>
                <w:sz w:val="16"/>
                <w:szCs w:val="16"/>
                <w:color w:val="auto"/>
              </w:rPr>
            </w:pPr>
          </w:p>
        </w:tc>
        <w:tc>
          <w:tcPr>
            <w:tcW w:w="3580" w:type="dxa"/>
            <w:vAlign w:val="bottom"/>
            <w:shd w:val="clear" w:color="auto" w:fill="BF2115"/>
          </w:tcPr>
          <w:p>
            <w:pPr>
              <w:jc w:val="center"/>
              <w:ind w:left="1289"/>
              <w:spacing w:after="0"/>
              <w:rPr>
                <w:sz w:val="20"/>
                <w:szCs w:val="20"/>
                <w:color w:val="auto"/>
              </w:rPr>
            </w:pPr>
            <w:r>
              <w:rPr>
                <w:rFonts w:ascii="Arial" w:cs="Arial" w:eastAsia="Arial" w:hAnsi="Arial"/>
                <w:sz w:val="14"/>
                <w:szCs w:val="14"/>
                <w:b w:val="1"/>
                <w:bCs w:val="1"/>
                <w:color w:val="FFFFFF"/>
              </w:rPr>
              <w:t>be Issued Upon</w:t>
            </w:r>
          </w:p>
        </w:tc>
        <w:tc>
          <w:tcPr>
            <w:tcW w:w="20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Weighted Average</w:t>
            </w:r>
          </w:p>
        </w:tc>
        <w:tc>
          <w:tcPr>
            <w:tcW w:w="2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Future Issuance Under</w:t>
            </w:r>
          </w:p>
        </w:tc>
      </w:tr>
      <w:tr>
        <w:trPr>
          <w:trHeight w:val="173"/>
        </w:trPr>
        <w:tc>
          <w:tcPr>
            <w:tcW w:w="2640" w:type="dxa"/>
            <w:vAlign w:val="bottom"/>
            <w:shd w:val="clear" w:color="auto" w:fill="BF2115"/>
          </w:tcPr>
          <w:p>
            <w:pPr>
              <w:spacing w:after="0"/>
              <w:rPr>
                <w:sz w:val="15"/>
                <w:szCs w:val="15"/>
                <w:color w:val="auto"/>
              </w:rPr>
            </w:pPr>
          </w:p>
        </w:tc>
        <w:tc>
          <w:tcPr>
            <w:tcW w:w="3580" w:type="dxa"/>
            <w:vAlign w:val="bottom"/>
            <w:shd w:val="clear" w:color="auto" w:fill="BF2115"/>
          </w:tcPr>
          <w:p>
            <w:pPr>
              <w:jc w:val="center"/>
              <w:ind w:left="1289"/>
              <w:spacing w:after="0"/>
              <w:rPr>
                <w:sz w:val="20"/>
                <w:szCs w:val="20"/>
                <w:color w:val="auto"/>
              </w:rPr>
            </w:pPr>
            <w:r>
              <w:rPr>
                <w:rFonts w:ascii="Arial" w:cs="Arial" w:eastAsia="Arial" w:hAnsi="Arial"/>
                <w:sz w:val="14"/>
                <w:szCs w:val="14"/>
                <w:b w:val="1"/>
                <w:bCs w:val="1"/>
                <w:color w:val="FFFFFF"/>
                <w:w w:val="98"/>
              </w:rPr>
              <w:t>Exercise of</w:t>
            </w:r>
          </w:p>
        </w:tc>
        <w:tc>
          <w:tcPr>
            <w:tcW w:w="20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2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Equity Compensation Plans</w:t>
            </w:r>
          </w:p>
        </w:tc>
      </w:tr>
      <w:tr>
        <w:trPr>
          <w:trHeight w:val="173"/>
        </w:trPr>
        <w:tc>
          <w:tcPr>
            <w:tcW w:w="2640" w:type="dxa"/>
            <w:vAlign w:val="bottom"/>
            <w:shd w:val="clear" w:color="auto" w:fill="BF2115"/>
          </w:tcPr>
          <w:p>
            <w:pPr>
              <w:spacing w:after="0"/>
              <w:rPr>
                <w:sz w:val="15"/>
                <w:szCs w:val="15"/>
                <w:color w:val="auto"/>
              </w:rPr>
            </w:pPr>
          </w:p>
        </w:tc>
        <w:tc>
          <w:tcPr>
            <w:tcW w:w="3580" w:type="dxa"/>
            <w:vAlign w:val="bottom"/>
            <w:shd w:val="clear" w:color="auto" w:fill="BF2115"/>
          </w:tcPr>
          <w:p>
            <w:pPr>
              <w:jc w:val="center"/>
              <w:ind w:left="1289"/>
              <w:spacing w:after="0"/>
              <w:rPr>
                <w:sz w:val="20"/>
                <w:szCs w:val="20"/>
                <w:color w:val="auto"/>
              </w:rPr>
            </w:pPr>
            <w:r>
              <w:rPr>
                <w:rFonts w:ascii="Arial" w:cs="Arial" w:eastAsia="Arial" w:hAnsi="Arial"/>
                <w:sz w:val="14"/>
                <w:szCs w:val="14"/>
                <w:b w:val="1"/>
                <w:bCs w:val="1"/>
                <w:color w:val="FFFFFF"/>
              </w:rPr>
              <w:t>Outstanding Options,</w:t>
            </w:r>
          </w:p>
        </w:tc>
        <w:tc>
          <w:tcPr>
            <w:tcW w:w="20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Outstanding Options,</w:t>
            </w:r>
          </w:p>
        </w:tc>
        <w:tc>
          <w:tcPr>
            <w:tcW w:w="2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(excluding securities reflected</w:t>
            </w:r>
          </w:p>
        </w:tc>
      </w:tr>
      <w:tr>
        <w:trPr>
          <w:trHeight w:val="173"/>
        </w:trPr>
        <w:tc>
          <w:tcPr>
            <w:tcW w:w="2640" w:type="dxa"/>
            <w:vAlign w:val="bottom"/>
            <w:shd w:val="clear" w:color="auto" w:fill="BF2115"/>
          </w:tcPr>
          <w:p>
            <w:pPr>
              <w:spacing w:after="0"/>
              <w:rPr>
                <w:sz w:val="15"/>
                <w:szCs w:val="15"/>
                <w:color w:val="auto"/>
              </w:rPr>
            </w:pPr>
          </w:p>
        </w:tc>
        <w:tc>
          <w:tcPr>
            <w:tcW w:w="3580" w:type="dxa"/>
            <w:vAlign w:val="bottom"/>
            <w:shd w:val="clear" w:color="auto" w:fill="BF2115"/>
          </w:tcPr>
          <w:p>
            <w:pPr>
              <w:jc w:val="center"/>
              <w:ind w:left="1289"/>
              <w:spacing w:after="0"/>
              <w:rPr>
                <w:sz w:val="20"/>
                <w:szCs w:val="20"/>
                <w:color w:val="auto"/>
              </w:rPr>
            </w:pPr>
            <w:r>
              <w:rPr>
                <w:rFonts w:ascii="Arial" w:cs="Arial" w:eastAsia="Arial" w:hAnsi="Arial"/>
                <w:sz w:val="14"/>
                <w:szCs w:val="14"/>
                <w:b w:val="1"/>
                <w:bCs w:val="1"/>
                <w:color w:val="FFFFFF"/>
              </w:rPr>
              <w:t>Warrants and Rights</w:t>
            </w:r>
          </w:p>
        </w:tc>
        <w:tc>
          <w:tcPr>
            <w:tcW w:w="20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2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in column (a))</w:t>
            </w:r>
          </w:p>
        </w:tc>
      </w:tr>
      <w:tr>
        <w:trPr>
          <w:trHeight w:val="209"/>
        </w:trPr>
        <w:tc>
          <w:tcPr>
            <w:tcW w:w="2640" w:type="dxa"/>
            <w:vAlign w:val="bottom"/>
            <w:shd w:val="clear" w:color="auto" w:fill="BF2115"/>
          </w:tcPr>
          <w:p>
            <w:pPr>
              <w:spacing w:after="0"/>
              <w:rPr>
                <w:sz w:val="20"/>
                <w:szCs w:val="20"/>
                <w:color w:val="auto"/>
              </w:rPr>
            </w:pPr>
            <w:r>
              <w:rPr>
                <w:rFonts w:ascii="Arial" w:cs="Arial" w:eastAsia="Arial" w:hAnsi="Arial"/>
                <w:sz w:val="14"/>
                <w:szCs w:val="14"/>
                <w:b w:val="1"/>
                <w:bCs w:val="1"/>
                <w:color w:val="FFFFFF"/>
              </w:rPr>
              <w:t>Plan Category</w:t>
            </w:r>
          </w:p>
        </w:tc>
        <w:tc>
          <w:tcPr>
            <w:tcW w:w="3580" w:type="dxa"/>
            <w:vAlign w:val="bottom"/>
            <w:shd w:val="clear" w:color="auto" w:fill="BF2115"/>
          </w:tcPr>
          <w:p>
            <w:pPr>
              <w:jc w:val="center"/>
              <w:ind w:left="1289"/>
              <w:spacing w:after="0"/>
              <w:rPr>
                <w:sz w:val="20"/>
                <w:szCs w:val="20"/>
                <w:color w:val="auto"/>
              </w:rPr>
            </w:pPr>
            <w:r>
              <w:rPr>
                <w:rFonts w:ascii="Arial" w:cs="Arial" w:eastAsia="Arial" w:hAnsi="Arial"/>
                <w:sz w:val="14"/>
                <w:szCs w:val="14"/>
                <w:b w:val="1"/>
                <w:bCs w:val="1"/>
                <w:color w:val="FFFFFF"/>
              </w:rPr>
              <w:t>(a)</w:t>
            </w:r>
          </w:p>
        </w:tc>
        <w:tc>
          <w:tcPr>
            <w:tcW w:w="20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(b)</w:t>
            </w:r>
          </w:p>
        </w:tc>
        <w:tc>
          <w:tcPr>
            <w:tcW w:w="2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3"/>
              </w:rPr>
              <w:t>(c)</w:t>
            </w:r>
          </w:p>
        </w:tc>
      </w:tr>
    </w:tbl>
    <w:p>
      <w:pPr>
        <w:spacing w:after="0" w:line="13" w:lineRule="exact"/>
        <w:rPr>
          <w:sz w:val="20"/>
          <w:szCs w:val="20"/>
          <w:color w:val="auto"/>
        </w:rPr>
      </w:pPr>
    </w:p>
    <w:p>
      <w:pPr>
        <w:sectPr>
          <w:pgSz w:w="11900" w:h="16838" w:orient="portrait"/>
          <w:cols w:equalWidth="0" w:num="1">
            <w:col w:w="11240"/>
          </w:cols>
          <w:pgMar w:left="320" w:top="1152" w:right="339" w:bottom="1440" w:gutter="0" w:footer="0" w:header="0"/>
        </w:sectPr>
      </w:pPr>
    </w:p>
    <w:p>
      <w:pPr>
        <w:ind w:left="200" w:right="1160" w:hanging="43"/>
        <w:spacing w:after="0" w:line="295" w:lineRule="auto"/>
        <w:rPr>
          <w:sz w:val="20"/>
          <w:szCs w:val="20"/>
          <w:color w:val="auto"/>
        </w:rPr>
      </w:pPr>
      <w:r>
        <w:rPr>
          <w:rFonts w:ascii="Arial" w:cs="Arial" w:eastAsia="Arial" w:hAnsi="Arial"/>
          <w:sz w:val="16"/>
          <w:szCs w:val="16"/>
          <w:color w:val="auto"/>
        </w:rPr>
        <w:t>Equity compensation plans approved by security holders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Equity compensation plans not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approved by security holders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171450</wp:posOffset>
            </wp:positionV>
            <wp:extent cx="19913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2"/>
        </w:trPr>
        <w:tc>
          <w:tcPr>
            <w:tcW w:w="1540" w:type="dxa"/>
            <w:vAlign w:val="bottom"/>
          </w:tcPr>
          <w:p>
            <w:pPr>
              <w:jc w:val="center"/>
              <w:ind w:right="680"/>
              <w:spacing w:after="0"/>
              <w:rPr>
                <w:sz w:val="20"/>
                <w:szCs w:val="20"/>
                <w:color w:val="auto"/>
              </w:rPr>
            </w:pPr>
            <w:r>
              <w:rPr>
                <w:rFonts w:ascii="Arial" w:cs="Arial" w:eastAsia="Arial" w:hAnsi="Arial"/>
                <w:sz w:val="16"/>
                <w:szCs w:val="16"/>
                <w:color w:val="auto"/>
                <w:w w:val="96"/>
              </w:rPr>
              <w:t>3,699,493</w:t>
            </w:r>
            <w:r>
              <w:rPr>
                <w:rFonts w:ascii="Arial" w:cs="Arial" w:eastAsia="Arial" w:hAnsi="Arial"/>
                <w:sz w:val="27"/>
                <w:szCs w:val="27"/>
                <w:color w:val="auto"/>
                <w:w w:val="96"/>
                <w:vertAlign w:val="superscript"/>
              </w:rPr>
              <w:t>1</w:t>
            </w:r>
          </w:p>
        </w:tc>
        <w:tc>
          <w:tcPr>
            <w:tcW w:w="2120" w:type="dxa"/>
            <w:vAlign w:val="bottom"/>
          </w:tcPr>
          <w:p>
            <w:pPr>
              <w:jc w:val="center"/>
              <w:ind w:right="40"/>
              <w:spacing w:after="0"/>
              <w:rPr>
                <w:sz w:val="20"/>
                <w:szCs w:val="20"/>
                <w:color w:val="auto"/>
              </w:rPr>
            </w:pPr>
            <w:r>
              <w:rPr>
                <w:rFonts w:ascii="Arial" w:cs="Arial" w:eastAsia="Arial" w:hAnsi="Arial"/>
                <w:sz w:val="16"/>
                <w:szCs w:val="16"/>
                <w:color w:val="auto"/>
                <w:w w:val="98"/>
              </w:rPr>
              <w:t>$84.88</w:t>
            </w:r>
          </w:p>
        </w:tc>
        <w:tc>
          <w:tcPr>
            <w:tcW w:w="1660" w:type="dxa"/>
            <w:vAlign w:val="bottom"/>
          </w:tcPr>
          <w:p>
            <w:pPr>
              <w:jc w:val="center"/>
              <w:ind w:left="780"/>
              <w:spacing w:after="0"/>
              <w:rPr>
                <w:sz w:val="20"/>
                <w:szCs w:val="20"/>
                <w:color w:val="auto"/>
              </w:rPr>
            </w:pPr>
            <w:r>
              <w:rPr>
                <w:rFonts w:ascii="Arial" w:cs="Arial" w:eastAsia="Arial" w:hAnsi="Arial"/>
                <w:sz w:val="16"/>
                <w:szCs w:val="16"/>
                <w:color w:val="auto"/>
                <w:w w:val="98"/>
              </w:rPr>
              <w:t>1,797,299</w:t>
            </w:r>
            <w:r>
              <w:rPr>
                <w:rFonts w:ascii="Arial" w:cs="Arial" w:eastAsia="Arial" w:hAnsi="Arial"/>
                <w:sz w:val="27"/>
                <w:szCs w:val="27"/>
                <w:color w:val="auto"/>
                <w:w w:val="98"/>
                <w:vertAlign w:val="superscript"/>
              </w:rPr>
              <w:t>3</w:t>
            </w:r>
          </w:p>
        </w:tc>
      </w:tr>
      <w:tr>
        <w:trPr>
          <w:trHeight w:val="349"/>
        </w:trPr>
        <w:tc>
          <w:tcPr>
            <w:tcW w:w="1540" w:type="dxa"/>
            <w:vAlign w:val="bottom"/>
          </w:tcPr>
          <w:p>
            <w:pPr>
              <w:jc w:val="center"/>
              <w:ind w:right="680"/>
              <w:spacing w:after="0"/>
              <w:rPr>
                <w:sz w:val="20"/>
                <w:szCs w:val="20"/>
                <w:color w:val="auto"/>
              </w:rPr>
            </w:pPr>
            <w:r>
              <w:rPr>
                <w:rFonts w:ascii="Arial" w:cs="Arial" w:eastAsia="Arial" w:hAnsi="Arial"/>
                <w:sz w:val="16"/>
                <w:szCs w:val="16"/>
                <w:color w:val="auto"/>
                <w:w w:val="97"/>
              </w:rPr>
              <w:t>N/A</w:t>
            </w:r>
          </w:p>
        </w:tc>
        <w:tc>
          <w:tcPr>
            <w:tcW w:w="2120" w:type="dxa"/>
            <w:vAlign w:val="bottom"/>
          </w:tcPr>
          <w:p>
            <w:pPr>
              <w:jc w:val="center"/>
              <w:ind w:right="40"/>
              <w:spacing w:after="0"/>
              <w:rPr>
                <w:sz w:val="20"/>
                <w:szCs w:val="20"/>
                <w:color w:val="auto"/>
              </w:rPr>
            </w:pPr>
            <w:r>
              <w:rPr>
                <w:rFonts w:ascii="Arial" w:cs="Arial" w:eastAsia="Arial" w:hAnsi="Arial"/>
                <w:sz w:val="16"/>
                <w:szCs w:val="16"/>
                <w:color w:val="auto"/>
              </w:rPr>
              <w:t>N/A</w:t>
            </w:r>
          </w:p>
        </w:tc>
        <w:tc>
          <w:tcPr>
            <w:tcW w:w="1660" w:type="dxa"/>
            <w:vAlign w:val="bottom"/>
          </w:tcPr>
          <w:p>
            <w:pPr>
              <w:jc w:val="center"/>
              <w:ind w:left="780"/>
              <w:spacing w:after="0"/>
              <w:rPr>
                <w:sz w:val="20"/>
                <w:szCs w:val="20"/>
                <w:color w:val="auto"/>
              </w:rPr>
            </w:pPr>
            <w:r>
              <w:rPr>
                <w:rFonts w:ascii="Arial" w:cs="Arial" w:eastAsia="Arial" w:hAnsi="Arial"/>
                <w:sz w:val="16"/>
                <w:szCs w:val="16"/>
                <w:color w:val="auto"/>
              </w:rPr>
              <w:t>N/A</w:t>
            </w:r>
          </w:p>
        </w:tc>
      </w:tr>
      <w:tr>
        <w:trPr>
          <w:trHeight w:val="385"/>
        </w:trPr>
        <w:tc>
          <w:tcPr>
            <w:tcW w:w="1540" w:type="dxa"/>
            <w:vAlign w:val="bottom"/>
          </w:tcPr>
          <w:p>
            <w:pPr>
              <w:jc w:val="center"/>
              <w:ind w:right="680"/>
              <w:spacing w:after="0"/>
              <w:rPr>
                <w:sz w:val="20"/>
                <w:szCs w:val="20"/>
                <w:color w:val="auto"/>
              </w:rPr>
            </w:pPr>
            <w:r>
              <w:rPr>
                <w:rFonts w:ascii="Arial" w:cs="Arial" w:eastAsia="Arial" w:hAnsi="Arial"/>
                <w:sz w:val="16"/>
                <w:szCs w:val="16"/>
                <w:color w:val="auto"/>
                <w:w w:val="96"/>
              </w:rPr>
              <w:t>3,699,493</w:t>
            </w:r>
            <w:r>
              <w:rPr>
                <w:rFonts w:ascii="Arial" w:cs="Arial" w:eastAsia="Arial" w:hAnsi="Arial"/>
                <w:sz w:val="27"/>
                <w:szCs w:val="27"/>
                <w:color w:val="auto"/>
                <w:w w:val="96"/>
                <w:vertAlign w:val="superscript"/>
              </w:rPr>
              <w:t>1</w:t>
            </w:r>
          </w:p>
        </w:tc>
        <w:tc>
          <w:tcPr>
            <w:tcW w:w="2120" w:type="dxa"/>
            <w:vAlign w:val="bottom"/>
          </w:tcPr>
          <w:p>
            <w:pPr>
              <w:jc w:val="center"/>
              <w:ind w:right="40"/>
              <w:spacing w:after="0"/>
              <w:rPr>
                <w:sz w:val="20"/>
                <w:szCs w:val="20"/>
                <w:color w:val="auto"/>
              </w:rPr>
            </w:pPr>
            <w:r>
              <w:rPr>
                <w:rFonts w:ascii="Arial" w:cs="Arial" w:eastAsia="Arial" w:hAnsi="Arial"/>
                <w:sz w:val="16"/>
                <w:szCs w:val="16"/>
                <w:color w:val="auto"/>
                <w:w w:val="98"/>
              </w:rPr>
              <w:t>$84.88</w:t>
            </w:r>
          </w:p>
        </w:tc>
        <w:tc>
          <w:tcPr>
            <w:tcW w:w="1660" w:type="dxa"/>
            <w:vAlign w:val="bottom"/>
          </w:tcPr>
          <w:p>
            <w:pPr>
              <w:jc w:val="center"/>
              <w:ind w:left="780"/>
              <w:spacing w:after="0"/>
              <w:rPr>
                <w:sz w:val="20"/>
                <w:szCs w:val="20"/>
                <w:color w:val="auto"/>
              </w:rPr>
            </w:pPr>
            <w:r>
              <w:rPr>
                <w:rFonts w:ascii="Arial" w:cs="Arial" w:eastAsia="Arial" w:hAnsi="Arial"/>
                <w:sz w:val="16"/>
                <w:szCs w:val="16"/>
                <w:color w:val="auto"/>
                <w:w w:val="98"/>
              </w:rPr>
              <w:t>1,797,299</w:t>
            </w:r>
            <w:r>
              <w:rPr>
                <w:rFonts w:ascii="Arial" w:cs="Arial" w:eastAsia="Arial" w:hAnsi="Arial"/>
                <w:sz w:val="27"/>
                <w:szCs w:val="27"/>
                <w:color w:val="auto"/>
                <w:w w:val="98"/>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-3000375</wp:posOffset>
            </wp:positionH>
            <wp:positionV relativeFrom="paragraph">
              <wp:posOffset>-511175</wp:posOffset>
            </wp:positionV>
            <wp:extent cx="6955790" cy="2882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55790" cy="288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60" w:space="720"/>
            <w:col w:w="6360"/>
          </w:cols>
          <w:pgMar w:left="320" w:top="1152" w:right="339" w:bottom="1440" w:gutter="0" w:footer="0" w:header="0"/>
          <w:type w:val="continuous"/>
        </w:sectPr>
      </w:pPr>
    </w:p>
    <w:p>
      <w:pPr>
        <w:spacing w:after="0" w:line="18" w:lineRule="exact"/>
        <w:rPr>
          <w:sz w:val="20"/>
          <w:szCs w:val="20"/>
          <w:color w:val="auto"/>
        </w:rPr>
      </w:pPr>
    </w:p>
    <w:p>
      <w:pPr>
        <w:jc w:val="both"/>
        <w:ind w:left="320" w:hanging="313"/>
        <w:spacing w:after="0" w:line="237" w:lineRule="auto"/>
        <w:tabs>
          <w:tab w:leader="none" w:pos="308" w:val="left"/>
        </w:tabs>
        <w:numPr>
          <w:ilvl w:val="0"/>
          <w:numId w:val="95"/>
        </w:numPr>
        <w:rPr>
          <w:rFonts w:ascii="Arial" w:cs="Arial" w:eastAsia="Arial" w:hAnsi="Arial"/>
          <w:sz w:val="18"/>
          <w:szCs w:val="18"/>
          <w:color w:val="auto"/>
        </w:rPr>
      </w:pPr>
      <w:r>
        <w:rPr>
          <w:rFonts w:ascii="Arial" w:cs="Arial" w:eastAsia="Arial" w:hAnsi="Arial"/>
          <w:sz w:val="18"/>
          <w:szCs w:val="18"/>
          <w:color w:val="auto"/>
        </w:rPr>
        <w:t>Amount includes: 3,179,503 outstanding stock options under the 2022 Plan; 241,162 outstanding restricted stock unit awards under the 2022 Plan, including share dividend equivalents that have been issued on such outstanding restricted stock units and 557,656 outstanding performance share awards under the 2022 Plan, assuming a maximum level of achievement. The actual number of shares that will be issued under the performance share awards is determined by the level of achievement of performance goals.</w:t>
      </w:r>
    </w:p>
    <w:p>
      <w:pPr>
        <w:spacing w:after="0" w:line="22" w:lineRule="exact"/>
        <w:rPr>
          <w:rFonts w:ascii="Arial" w:cs="Arial" w:eastAsia="Arial" w:hAnsi="Arial"/>
          <w:sz w:val="18"/>
          <w:szCs w:val="18"/>
          <w:color w:val="auto"/>
        </w:rPr>
      </w:pPr>
    </w:p>
    <w:p>
      <w:pPr>
        <w:ind w:left="320" w:hanging="313"/>
        <w:spacing w:after="0" w:line="255" w:lineRule="auto"/>
        <w:tabs>
          <w:tab w:leader="none" w:pos="308"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Performance share awards and restricted stock units do not have exercise prices and, therefore, have been excluded from the weighted-average exercise price calculation in column (b).</w:t>
      </w:r>
    </w:p>
    <w:p>
      <w:pPr>
        <w:jc w:val="both"/>
        <w:ind w:left="320" w:hanging="313"/>
        <w:spacing w:after="0" w:line="247" w:lineRule="auto"/>
        <w:tabs>
          <w:tab w:leader="none" w:pos="308" w:val="left"/>
        </w:tabs>
        <w:numPr>
          <w:ilvl w:val="0"/>
          <w:numId w:val="95"/>
        </w:numPr>
        <w:rPr>
          <w:rFonts w:ascii="Arial" w:cs="Arial" w:eastAsia="Arial" w:hAnsi="Arial"/>
          <w:sz w:val="18"/>
          <w:szCs w:val="18"/>
          <w:color w:val="auto"/>
        </w:rPr>
      </w:pPr>
      <w:r>
        <w:rPr>
          <w:rFonts w:ascii="Arial" w:cs="Arial" w:eastAsia="Arial" w:hAnsi="Arial"/>
          <w:sz w:val="18"/>
          <w:szCs w:val="18"/>
          <w:color w:val="auto"/>
        </w:rPr>
        <w:t>Amount represents shares available for future issuance upon awards that may be granted under the 2022 Plan, including 150,796 shares underlying forfeited or terminated awards (without payment of consideration) under the 2022 Plan during Fiscal 2025. Carryover shares are solely from the 2022 Plan; no shares are available for issuance under any other equity based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21"/>
          <w:szCs w:val="21"/>
          <w:b w:val="1"/>
          <w:bCs w:val="1"/>
          <w:color w:val="FFFFFF"/>
        </w:rPr>
        <w:t>GENERAL INFORMATION ABOUT THE 2026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-151765</wp:posOffset>
            </wp:positionV>
            <wp:extent cx="7015480" cy="1866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015480" cy="186690"/>
                    </a:xfrm>
                    <a:prstGeom prst="rect">
                      <a:avLst/>
                    </a:prstGeom>
                    <a:noFill/>
                  </pic:spPr>
                </pic:pic>
              </a:graphicData>
            </a:graphic>
          </wp:anchor>
        </w:drawing>
      </w:r>
    </w:p>
    <w:p>
      <w:pPr>
        <w:spacing w:after="0" w:line="317" w:lineRule="exact"/>
        <w:rPr>
          <w:sz w:val="20"/>
          <w:szCs w:val="20"/>
          <w:color w:val="auto"/>
        </w:rPr>
      </w:pPr>
    </w:p>
    <w:p>
      <w:pPr>
        <w:ind w:right="620"/>
        <w:spacing w:after="0" w:line="263" w:lineRule="auto"/>
        <w:rPr>
          <w:sz w:val="20"/>
          <w:szCs w:val="20"/>
          <w:color w:val="auto"/>
        </w:rPr>
      </w:pPr>
      <w:r>
        <w:rPr>
          <w:rFonts w:ascii="Arial" w:cs="Arial" w:eastAsia="Arial" w:hAnsi="Arial"/>
          <w:sz w:val="20"/>
          <w:szCs w:val="20"/>
          <w:b w:val="1"/>
          <w:bCs w:val="1"/>
          <w:color w:val="C00000"/>
        </w:rPr>
        <w:t>Important Notice Regarding the Availability of Proxy Materials for the Stockholder Meeting To Be Held on Tuesday, March 17, 2026</w:t>
      </w:r>
    </w:p>
    <w:p>
      <w:pPr>
        <w:spacing w:after="0" w:line="2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This proxy statement and our 2025 Annual Report, which includes our Annual Report on Form 10-K for the fiscal year ended October 31, 2025, or fiscal 2025, are available at www.thetorocompany.com/proxy.</w:t>
      </w:r>
    </w:p>
    <w:p>
      <w:pPr>
        <w:spacing w:after="0" w:line="4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Pursuant to rules adopted by the SEC, we have elected to provide access to our proxy materials over the Internet. Accordingly, we are sending a Notice Regarding the Availability of Proxy Materials to some of our stockholders. Stockholders have the ability to access our proxy materials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on the website referred to in the Notice Regarding the Availability of Proxy Materials (www.proxyvote.com) or request to receive printed proxy materials. Instructions on how to access our proxy materials over the Internet or request a printed copy of our proxy materials may be found in</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Notice Regarding the Availability of Proxy Materials. In addition, stockholders may request to receive proxy materials in printed form by mail or electronically by e-mail on an ongoing basis.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When and Where Will the Annual Meeting Be Held?</w:t>
      </w:r>
    </w:p>
    <w:p>
      <w:pPr>
        <w:spacing w:after="0" w:line="84" w:lineRule="exact"/>
        <w:rPr>
          <w:sz w:val="20"/>
          <w:szCs w:val="20"/>
          <w:color w:val="auto"/>
        </w:rPr>
      </w:pPr>
    </w:p>
    <w:p>
      <w:pPr>
        <w:ind w:firstLine="388"/>
        <w:spacing w:after="0" w:line="262" w:lineRule="auto"/>
        <w:rPr>
          <w:sz w:val="20"/>
          <w:szCs w:val="20"/>
          <w:color w:val="auto"/>
        </w:rPr>
      </w:pPr>
      <w:r>
        <w:rPr>
          <w:rFonts w:ascii="Arial" w:cs="Arial" w:eastAsia="Arial" w:hAnsi="Arial"/>
          <w:sz w:val="18"/>
          <w:szCs w:val="18"/>
          <w:color w:val="auto"/>
        </w:rPr>
        <w:t>The annual meeting will be held virtually on Tuesday, March 17, 2026 at 2:00 p.m. Central Daylight Time at www.virtualshareholdermeeting.com/TTC2026.</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Why is the Annual Meeting Being Held Virtually?</w:t>
      </w:r>
    </w:p>
    <w:p>
      <w:pPr>
        <w:spacing w:after="0" w:line="137"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color w:val="auto"/>
        </w:rPr>
        <w:t>We believe a virtual meeting will facilitate expanded stockholder access and participation and provide a consistent experience to stockholders, regardless of location. You will be able to join the Annual Meeting and vote and submit questions online during the Annual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Meeting by visiting www.virtualshareholdermeeting.com/TTC2026 and using the 16-digit control number included on the Notice, on your proxy</w:t>
      </w:r>
    </w:p>
    <w:p>
      <w:pPr>
        <w:spacing w:after="0" w:line="5"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card, or on your voting instruction form provided by your broker, bank or other nominee. Online check-in will be available at the virtual meeting site approximately 15 minutes prior to the beginning of the Annual Meeting</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Can I Attend the Virtual Annual Meeting?</w:t>
      </w:r>
    </w:p>
    <w:p>
      <w:pPr>
        <w:spacing w:after="0" w:line="84" w:lineRule="exact"/>
        <w:rPr>
          <w:sz w:val="20"/>
          <w:szCs w:val="20"/>
          <w:color w:val="auto"/>
        </w:rPr>
      </w:pPr>
    </w:p>
    <w:p>
      <w:pPr>
        <w:spacing w:after="0"/>
        <w:tabs>
          <w:tab w:leader="none" w:pos="1280" w:val="left"/>
          <w:tab w:leader="none" w:pos="1700" w:val="left"/>
          <w:tab w:leader="none" w:pos="2220" w:val="left"/>
          <w:tab w:leader="none" w:pos="2900" w:val="left"/>
          <w:tab w:leader="none" w:pos="3300" w:val="left"/>
          <w:tab w:leader="none" w:pos="4280" w:val="left"/>
          <w:tab w:leader="none" w:pos="4740" w:val="left"/>
          <w:tab w:leader="none" w:pos="5260" w:val="left"/>
          <w:tab w:leader="none" w:pos="6020" w:val="left"/>
          <w:tab w:leader="none" w:pos="6640" w:val="left"/>
          <w:tab w:leader="none" w:pos="7240" w:val="left"/>
          <w:tab w:leader="none" w:pos="8000" w:val="left"/>
          <w:tab w:leader="none" w:pos="8520" w:val="left"/>
          <w:tab w:leader="none" w:pos="9320" w:val="left"/>
          <w:tab w:leader="none" w:pos="10220" w:val="left"/>
          <w:tab w:leader="none" w:pos="10680" w:val="left"/>
        </w:tabs>
        <w:rPr>
          <w:sz w:val="20"/>
          <w:szCs w:val="20"/>
          <w:color w:val="auto"/>
        </w:rPr>
      </w:pPr>
      <w:r>
        <w:rPr>
          <w:rFonts w:ascii="Arial" w:cs="Arial" w:eastAsia="Arial" w:hAnsi="Arial"/>
          <w:sz w:val="18"/>
          <w:szCs w:val="18"/>
          <w:color w:val="auto"/>
        </w:rPr>
        <w:t>Stockholders</w:t>
        <w:tab/>
        <w:t>at</w:t>
        <w:tab/>
        <w:t>the</w:t>
        <w:tab/>
        <w:t>close</w:t>
        <w:tab/>
        <w:t>of</w:t>
        <w:tab/>
        <w:t>business</w:t>
        <w:tab/>
        <w:t>on</w:t>
        <w:tab/>
        <w:t>the</w:t>
        <w:tab/>
        <w:t>record</w:t>
        <w:tab/>
        <w:t>date</w:t>
        <w:tab/>
        <w:t>may</w:t>
        <w:tab/>
        <w:t>attend</w:t>
        <w:tab/>
        <w:t>the</w:t>
        <w:tab/>
        <w:t>annual</w:t>
        <w:tab/>
        <w:t>meeting</w:t>
        <w:tab/>
        <w:t>by</w:t>
      </w:r>
      <w:r>
        <w:rPr>
          <w:sz w:val="20"/>
          <w:szCs w:val="20"/>
          <w:color w:val="auto"/>
        </w:rPr>
        <w:tab/>
      </w:r>
      <w:r>
        <w:rPr>
          <w:rFonts w:ascii="Arial" w:cs="Arial" w:eastAsia="Arial" w:hAnsi="Arial"/>
          <w:sz w:val="17"/>
          <w:szCs w:val="17"/>
          <w:color w:val="auto"/>
        </w:rPr>
        <w:t>visiting</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www.virtualshareholdermeeting.com/TTC2026 and logging in with the 16-digit control number included on your proxy card, voting instruction form or Notice Regarding the Availability of Proxy Materials. On the day of our annual meeting, we recommend that you log into our virtual</w:t>
      </w:r>
    </w:p>
    <w:p>
      <w:pPr>
        <w:spacing w:after="0" w:line="232" w:lineRule="auto"/>
        <w:rPr>
          <w:sz w:val="20"/>
          <w:szCs w:val="20"/>
          <w:color w:val="auto"/>
        </w:rPr>
      </w:pPr>
      <w:r>
        <w:rPr>
          <w:rFonts w:ascii="Arial" w:cs="Arial" w:eastAsia="Arial" w:hAnsi="Arial"/>
          <w:sz w:val="18"/>
          <w:szCs w:val="18"/>
          <w:color w:val="auto"/>
        </w:rPr>
        <w:t>meeting at least 15 minutes before the scheduled start time to ensure that you can access the meeting. If you encounter any difficulties while</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accessing the virtual meeting during the check-in or meeting time, a technical assistance phone number will be made available on the virtual meeting registration page 15 minutes prior to the start time of the meeting. Rules governing the conduct of the annual meeting will be posted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on the virtual meeting platform along with an agenda.</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What Are the Purposes of the Annual Meeting?</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purposes of the 2026 Annual Meeting of Stockholders are to vote on the following items described in this proxy statement:</w:t>
      </w:r>
    </w:p>
    <w:p>
      <w:pPr>
        <w:spacing w:after="0" w:line="50" w:lineRule="exact"/>
        <w:rPr>
          <w:sz w:val="20"/>
          <w:szCs w:val="20"/>
          <w:color w:val="auto"/>
        </w:rPr>
      </w:pPr>
    </w:p>
    <w:tbl>
      <w:tblPr>
        <w:tblLayout w:type="fixed"/>
        <w:tblInd w:w="120" w:type="dxa"/>
        <w:tblCellMar>
          <w:top w:w="0" w:type="dxa"/>
          <w:left w:w="0" w:type="dxa"/>
          <w:bottom w:w="0" w:type="dxa"/>
          <w:right w:w="0" w:type="dxa"/>
        </w:tblCellMar>
      </w:tblPr>
      <w:tr>
        <w:trPr>
          <w:trHeight w:val="254"/>
        </w:trPr>
        <w:tc>
          <w:tcPr>
            <w:tcW w:w="1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Proposal One</w:t>
            </w:r>
          </w:p>
        </w:tc>
        <w:tc>
          <w:tcPr>
            <w:tcW w:w="9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Election of Directors</w:t>
            </w:r>
          </w:p>
        </w:tc>
        <w:tc>
          <w:tcPr>
            <w:tcW w:w="0" w:type="dxa"/>
            <w:vAlign w:val="bottom"/>
          </w:tcPr>
          <w:p>
            <w:pPr>
              <w:spacing w:after="0"/>
              <w:rPr>
                <w:sz w:val="1"/>
                <w:szCs w:val="1"/>
                <w:color w:val="auto"/>
              </w:rPr>
            </w:pPr>
          </w:p>
        </w:tc>
      </w:tr>
      <w:tr>
        <w:trPr>
          <w:trHeight w:val="210"/>
        </w:trPr>
        <w:tc>
          <w:tcPr>
            <w:tcW w:w="1460" w:type="dxa"/>
            <w:vAlign w:val="bottom"/>
            <w:vMerge w:val="restart"/>
          </w:tcPr>
          <w:p>
            <w:pPr>
              <w:ind w:left="20"/>
              <w:spacing w:after="0"/>
              <w:rPr>
                <w:sz w:val="20"/>
                <w:szCs w:val="20"/>
                <w:color w:val="auto"/>
              </w:rPr>
            </w:pPr>
            <w:r>
              <w:rPr>
                <w:rFonts w:ascii="Arial" w:cs="Arial" w:eastAsia="Arial" w:hAnsi="Arial"/>
                <w:sz w:val="18"/>
                <w:szCs w:val="18"/>
                <w:color w:val="auto"/>
              </w:rPr>
              <w:t>Proposal Two</w:t>
            </w:r>
          </w:p>
        </w:tc>
        <w:tc>
          <w:tcPr>
            <w:tcW w:w="9560" w:type="dxa"/>
            <w:vAlign w:val="bottom"/>
          </w:tcPr>
          <w:p>
            <w:pPr>
              <w:ind w:left="220"/>
              <w:spacing w:after="0"/>
              <w:rPr>
                <w:sz w:val="20"/>
                <w:szCs w:val="20"/>
                <w:color w:val="auto"/>
              </w:rPr>
            </w:pPr>
            <w:r>
              <w:rPr>
                <w:rFonts w:ascii="Arial" w:cs="Arial" w:eastAsia="Arial" w:hAnsi="Arial"/>
                <w:sz w:val="18"/>
                <w:szCs w:val="18"/>
                <w:color w:val="auto"/>
              </w:rPr>
              <w:t>Ratification of the selection of KPMG as our independent registered public accounting firm for our fiscal year ending</w:t>
            </w:r>
          </w:p>
        </w:tc>
        <w:tc>
          <w:tcPr>
            <w:tcW w:w="0" w:type="dxa"/>
            <w:vAlign w:val="bottom"/>
          </w:tcPr>
          <w:p>
            <w:pPr>
              <w:spacing w:after="0"/>
              <w:rPr>
                <w:sz w:val="1"/>
                <w:szCs w:val="1"/>
                <w:color w:val="auto"/>
              </w:rPr>
            </w:pPr>
          </w:p>
        </w:tc>
      </w:tr>
      <w:tr>
        <w:trPr>
          <w:trHeight w:val="126"/>
        </w:trPr>
        <w:tc>
          <w:tcPr>
            <w:tcW w:w="1460" w:type="dxa"/>
            <w:vAlign w:val="bottom"/>
            <w:vMerge w:val="continue"/>
          </w:tcPr>
          <w:p>
            <w:pPr>
              <w:spacing w:after="0"/>
              <w:rPr>
                <w:sz w:val="10"/>
                <w:szCs w:val="10"/>
                <w:color w:val="auto"/>
              </w:rPr>
            </w:pPr>
          </w:p>
        </w:tc>
        <w:tc>
          <w:tcPr>
            <w:tcW w:w="9560" w:type="dxa"/>
            <w:vAlign w:val="bottom"/>
            <w:vMerge w:val="restart"/>
          </w:tcPr>
          <w:p>
            <w:pPr>
              <w:ind w:left="220"/>
              <w:spacing w:after="0"/>
              <w:rPr>
                <w:sz w:val="20"/>
                <w:szCs w:val="20"/>
                <w:color w:val="auto"/>
              </w:rPr>
            </w:pPr>
            <w:r>
              <w:rPr>
                <w:rFonts w:ascii="Arial" w:cs="Arial" w:eastAsia="Arial" w:hAnsi="Arial"/>
                <w:sz w:val="18"/>
                <w:szCs w:val="18"/>
                <w:color w:val="auto"/>
              </w:rPr>
              <w:t>October 31, 2026.</w:t>
            </w:r>
          </w:p>
        </w:tc>
        <w:tc>
          <w:tcPr>
            <w:tcW w:w="0" w:type="dxa"/>
            <w:vAlign w:val="bottom"/>
          </w:tcPr>
          <w:p>
            <w:pPr>
              <w:spacing w:after="0"/>
              <w:rPr>
                <w:sz w:val="1"/>
                <w:szCs w:val="1"/>
                <w:color w:val="auto"/>
              </w:rPr>
            </w:pPr>
          </w:p>
        </w:tc>
      </w:tr>
      <w:tr>
        <w:trPr>
          <w:trHeight w:val="112"/>
        </w:trPr>
        <w:tc>
          <w:tcPr>
            <w:tcW w:w="1460" w:type="dxa"/>
            <w:vAlign w:val="bottom"/>
          </w:tcPr>
          <w:p>
            <w:pPr>
              <w:spacing w:after="0"/>
              <w:rPr>
                <w:sz w:val="9"/>
                <w:szCs w:val="9"/>
                <w:color w:val="auto"/>
              </w:rPr>
            </w:pPr>
          </w:p>
        </w:tc>
        <w:tc>
          <w:tcPr>
            <w:tcW w:w="9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1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Proposal Three</w:t>
            </w:r>
          </w:p>
        </w:tc>
        <w:tc>
          <w:tcPr>
            <w:tcW w:w="9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Approval of, on an advisory basis, our executive compensation</w:t>
            </w:r>
          </w:p>
        </w:tc>
        <w:tc>
          <w:tcPr>
            <w:tcW w:w="0" w:type="dxa"/>
            <w:vAlign w:val="bottom"/>
          </w:tcPr>
          <w:p>
            <w:pPr>
              <w:spacing w:after="0"/>
              <w:rPr>
                <w:sz w:val="1"/>
                <w:szCs w:val="1"/>
                <w:color w:val="auto"/>
              </w:rPr>
            </w:pPr>
          </w:p>
        </w:tc>
      </w:tr>
      <w:tr>
        <w:trPr>
          <w:trHeight w:val="248"/>
        </w:trPr>
        <w:tc>
          <w:tcPr>
            <w:tcW w:w="1460" w:type="dxa"/>
            <w:vAlign w:val="bottom"/>
          </w:tcPr>
          <w:p>
            <w:pPr>
              <w:ind w:left="20"/>
              <w:spacing w:after="0"/>
              <w:rPr>
                <w:sz w:val="20"/>
                <w:szCs w:val="20"/>
                <w:color w:val="auto"/>
              </w:rPr>
            </w:pPr>
            <w:r>
              <w:rPr>
                <w:rFonts w:ascii="Arial" w:cs="Arial" w:eastAsia="Arial" w:hAnsi="Arial"/>
                <w:sz w:val="18"/>
                <w:szCs w:val="18"/>
                <w:color w:val="auto"/>
              </w:rPr>
              <w:t>Proposal Four</w:t>
            </w:r>
          </w:p>
        </w:tc>
        <w:tc>
          <w:tcPr>
            <w:tcW w:w="9560" w:type="dxa"/>
            <w:vAlign w:val="bottom"/>
          </w:tcPr>
          <w:p>
            <w:pPr>
              <w:ind w:left="220"/>
              <w:spacing w:after="0"/>
              <w:rPr>
                <w:sz w:val="20"/>
                <w:szCs w:val="20"/>
                <w:color w:val="auto"/>
              </w:rPr>
            </w:pPr>
            <w:r>
              <w:rPr>
                <w:rFonts w:ascii="Arial" w:cs="Arial" w:eastAsia="Arial" w:hAnsi="Arial"/>
                <w:sz w:val="18"/>
                <w:szCs w:val="18"/>
                <w:color w:val="auto"/>
              </w:rPr>
              <w:t>Approval of The Toro Company 2026 Equity Plan</w:t>
            </w:r>
          </w:p>
        </w:tc>
        <w:tc>
          <w:tcPr>
            <w:tcW w:w="0" w:type="dxa"/>
            <w:vAlign w:val="bottom"/>
          </w:tcPr>
          <w:p>
            <w:pPr>
              <w:spacing w:after="0"/>
              <w:rPr>
                <w:sz w:val="1"/>
                <w:szCs w:val="1"/>
                <w:color w:val="auto"/>
              </w:rPr>
            </w:pPr>
          </w:p>
        </w:tc>
      </w:tr>
      <w:tr>
        <w:trPr>
          <w:trHeight w:val="215"/>
        </w:trPr>
        <w:tc>
          <w:tcPr>
            <w:tcW w:w="1460" w:type="dxa"/>
            <w:vAlign w:val="bottom"/>
            <w:vMerge w:val="restart"/>
            <w:shd w:val="clear" w:color="auto" w:fill="DBDBDB"/>
          </w:tcPr>
          <w:p>
            <w:pPr>
              <w:ind w:left="20"/>
              <w:spacing w:after="0"/>
              <w:rPr>
                <w:sz w:val="20"/>
                <w:szCs w:val="20"/>
                <w:color w:val="auto"/>
              </w:rPr>
            </w:pPr>
            <w:r>
              <w:rPr>
                <w:rFonts w:ascii="Arial" w:cs="Arial" w:eastAsia="Arial" w:hAnsi="Arial"/>
                <w:sz w:val="18"/>
                <w:szCs w:val="18"/>
                <w:color w:val="auto"/>
              </w:rPr>
              <w:t>Proposal Five</w:t>
            </w:r>
          </w:p>
        </w:tc>
        <w:tc>
          <w:tcPr>
            <w:tcW w:w="9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Approval of an amendment to the Company's Restated Certificate of Incorporation to eliminate or limit liability of</w:t>
            </w:r>
          </w:p>
        </w:tc>
        <w:tc>
          <w:tcPr>
            <w:tcW w:w="0" w:type="dxa"/>
            <w:vAlign w:val="bottom"/>
          </w:tcPr>
          <w:p>
            <w:pPr>
              <w:spacing w:after="0"/>
              <w:rPr>
                <w:sz w:val="1"/>
                <w:szCs w:val="1"/>
                <w:color w:val="auto"/>
              </w:rPr>
            </w:pPr>
          </w:p>
        </w:tc>
      </w:tr>
      <w:tr>
        <w:trPr>
          <w:trHeight w:val="126"/>
        </w:trPr>
        <w:tc>
          <w:tcPr>
            <w:tcW w:w="1460" w:type="dxa"/>
            <w:vAlign w:val="bottom"/>
            <w:vMerge w:val="continue"/>
            <w:shd w:val="clear" w:color="auto" w:fill="DBDBDB"/>
          </w:tcPr>
          <w:p>
            <w:pPr>
              <w:spacing w:after="0"/>
              <w:rPr>
                <w:sz w:val="10"/>
                <w:szCs w:val="10"/>
                <w:color w:val="auto"/>
              </w:rPr>
            </w:pPr>
          </w:p>
        </w:tc>
        <w:tc>
          <w:tcPr>
            <w:tcW w:w="9560" w:type="dxa"/>
            <w:vAlign w:val="bottom"/>
            <w:vMerge w:val="restart"/>
            <w:shd w:val="clear" w:color="auto" w:fill="DBDBDB"/>
          </w:tcPr>
          <w:p>
            <w:pPr>
              <w:ind w:left="220"/>
              <w:spacing w:after="0"/>
              <w:rPr>
                <w:sz w:val="20"/>
                <w:szCs w:val="20"/>
                <w:color w:val="auto"/>
              </w:rPr>
            </w:pPr>
            <w:r>
              <w:rPr>
                <w:rFonts w:ascii="Arial" w:cs="Arial" w:eastAsia="Arial" w:hAnsi="Arial"/>
                <w:sz w:val="18"/>
                <w:szCs w:val="18"/>
                <w:color w:val="auto"/>
              </w:rPr>
              <w:t>officers as provided under Delaware Law</w:t>
            </w:r>
          </w:p>
        </w:tc>
        <w:tc>
          <w:tcPr>
            <w:tcW w:w="0" w:type="dxa"/>
            <w:vAlign w:val="bottom"/>
          </w:tcPr>
          <w:p>
            <w:pPr>
              <w:spacing w:after="0"/>
              <w:rPr>
                <w:sz w:val="1"/>
                <w:szCs w:val="1"/>
                <w:color w:val="auto"/>
              </w:rPr>
            </w:pPr>
          </w:p>
        </w:tc>
      </w:tr>
      <w:tr>
        <w:trPr>
          <w:trHeight w:val="117"/>
        </w:trPr>
        <w:tc>
          <w:tcPr>
            <w:tcW w:w="1460" w:type="dxa"/>
            <w:vAlign w:val="bottom"/>
            <w:shd w:val="clear" w:color="auto" w:fill="DBDBDB"/>
          </w:tcPr>
          <w:p>
            <w:pPr>
              <w:spacing w:after="0"/>
              <w:rPr>
                <w:sz w:val="10"/>
                <w:szCs w:val="10"/>
                <w:color w:val="auto"/>
              </w:rPr>
            </w:pPr>
          </w:p>
        </w:tc>
        <w:tc>
          <w:tcPr>
            <w:tcW w:w="9560" w:type="dxa"/>
            <w:vAlign w:val="bottom"/>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460" w:type="dxa"/>
            <w:vAlign w:val="bottom"/>
            <w:vMerge w:val="restart"/>
          </w:tcPr>
          <w:p>
            <w:pPr>
              <w:ind w:left="20"/>
              <w:spacing w:after="0"/>
              <w:rPr>
                <w:sz w:val="20"/>
                <w:szCs w:val="20"/>
                <w:color w:val="auto"/>
              </w:rPr>
            </w:pPr>
            <w:r>
              <w:rPr>
                <w:rFonts w:ascii="Arial" w:cs="Arial" w:eastAsia="Arial" w:hAnsi="Arial"/>
                <w:sz w:val="18"/>
                <w:szCs w:val="18"/>
                <w:color w:val="auto"/>
              </w:rPr>
              <w:t>Proposal Six</w:t>
            </w:r>
          </w:p>
        </w:tc>
        <w:tc>
          <w:tcPr>
            <w:tcW w:w="9560" w:type="dxa"/>
            <w:vAlign w:val="bottom"/>
          </w:tcPr>
          <w:p>
            <w:pPr>
              <w:ind w:left="220"/>
              <w:spacing w:after="0"/>
              <w:rPr>
                <w:sz w:val="20"/>
                <w:szCs w:val="20"/>
                <w:color w:val="auto"/>
              </w:rPr>
            </w:pPr>
            <w:r>
              <w:rPr>
                <w:rFonts w:ascii="Arial" w:cs="Arial" w:eastAsia="Arial" w:hAnsi="Arial"/>
                <w:sz w:val="18"/>
                <w:szCs w:val="18"/>
                <w:color w:val="auto"/>
              </w:rPr>
              <w:t>Approval of an amendment to the Company's Restated Certificate of Incorporation to change the par value of all</w:t>
            </w:r>
          </w:p>
        </w:tc>
        <w:tc>
          <w:tcPr>
            <w:tcW w:w="0" w:type="dxa"/>
            <w:vAlign w:val="bottom"/>
          </w:tcPr>
          <w:p>
            <w:pPr>
              <w:spacing w:after="0"/>
              <w:rPr>
                <w:sz w:val="1"/>
                <w:szCs w:val="1"/>
                <w:color w:val="auto"/>
              </w:rPr>
            </w:pPr>
          </w:p>
        </w:tc>
      </w:tr>
      <w:tr>
        <w:trPr>
          <w:trHeight w:val="126"/>
        </w:trPr>
        <w:tc>
          <w:tcPr>
            <w:tcW w:w="1460" w:type="dxa"/>
            <w:vAlign w:val="bottom"/>
            <w:vMerge w:val="continue"/>
          </w:tcPr>
          <w:p>
            <w:pPr>
              <w:spacing w:after="0"/>
              <w:rPr>
                <w:sz w:val="10"/>
                <w:szCs w:val="10"/>
                <w:color w:val="auto"/>
              </w:rPr>
            </w:pPr>
          </w:p>
        </w:tc>
        <w:tc>
          <w:tcPr>
            <w:tcW w:w="9560" w:type="dxa"/>
            <w:vAlign w:val="bottom"/>
            <w:vMerge w:val="restart"/>
          </w:tcPr>
          <w:p>
            <w:pPr>
              <w:ind w:left="220"/>
              <w:spacing w:after="0"/>
              <w:rPr>
                <w:sz w:val="20"/>
                <w:szCs w:val="20"/>
                <w:color w:val="auto"/>
              </w:rPr>
            </w:pPr>
            <w:r>
              <w:rPr>
                <w:rFonts w:ascii="Arial" w:cs="Arial" w:eastAsia="Arial" w:hAnsi="Arial"/>
                <w:sz w:val="18"/>
                <w:szCs w:val="18"/>
                <w:color w:val="auto"/>
              </w:rPr>
              <w:t>capital stock from $1.00 to $0.01 per share</w:t>
            </w:r>
          </w:p>
        </w:tc>
        <w:tc>
          <w:tcPr>
            <w:tcW w:w="0" w:type="dxa"/>
            <w:vAlign w:val="bottom"/>
          </w:tcPr>
          <w:p>
            <w:pPr>
              <w:spacing w:after="0"/>
              <w:rPr>
                <w:sz w:val="1"/>
                <w:szCs w:val="1"/>
                <w:color w:val="auto"/>
              </w:rPr>
            </w:pPr>
          </w:p>
        </w:tc>
      </w:tr>
      <w:tr>
        <w:trPr>
          <w:trHeight w:val="107"/>
        </w:trPr>
        <w:tc>
          <w:tcPr>
            <w:tcW w:w="1460" w:type="dxa"/>
            <w:vAlign w:val="bottom"/>
          </w:tcPr>
          <w:p>
            <w:pPr>
              <w:spacing w:after="0"/>
              <w:rPr>
                <w:sz w:val="9"/>
                <w:szCs w:val="9"/>
                <w:color w:val="auto"/>
              </w:rPr>
            </w:pPr>
          </w:p>
        </w:tc>
        <w:tc>
          <w:tcPr>
            <w:tcW w:w="9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103" w:name="page104"/>
    <w:bookmarkEnd w:id="103"/>
    <w:p>
      <w:pPr>
        <w:spacing w:after="0"/>
        <w:rPr>
          <w:sz w:val="20"/>
          <w:szCs w:val="20"/>
          <w:color w:val="auto"/>
        </w:rPr>
      </w:pPr>
      <w:r>
        <w:rPr>
          <w:rFonts w:ascii="Arial" w:cs="Arial" w:eastAsia="Arial" w:hAnsi="Arial"/>
          <w:sz w:val="20"/>
          <w:szCs w:val="20"/>
          <w:b w:val="1"/>
          <w:bCs w:val="1"/>
          <w:color w:val="C00000"/>
        </w:rPr>
        <w:t>Are There Any Matters To Be Voted On at the Annual Meeting that Are Not Included in this Proxy Statement?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We currently are not aware of any business to be acted upon at the annual meeting other than as described in this proxy statement. If,</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however, other matters are properly brought before the annual meeting, or any adjournment or postponement of the annual meeting, your proxy includes discretionary authority on the part of the individuals appointed to vote your shares or act on those matters according to their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best judgment.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Who Is Entitled to Vote and How Many Shares Must Be Present to Hold the Annual Meeting?</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record at the close of business on January 20, 2026, the record date, will be entitled to vote at the annual meeting or any</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adjournment or postponement of the annual meeting. As of January 20, 2026, there were 97,480,643 outstanding shares of our common stock. Each share of our common stock is entitled to one vote on each matter to be voted on at the annual meeting. Shares of our common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stock that are held by us in our treasury are not counted as outstanding shares and will not be voted.</w:t>
      </w:r>
    </w:p>
    <w:p>
      <w:pPr>
        <w:spacing w:after="0" w:line="84"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Stockholders holding a majority of the voting power of the outstanding shares of our common stock must be present at the virtual annual meeting or represented by proxy in order for us to have a quorum for the transaction of business at the annual meeting. Your shares will be</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counted toward the quorum if you submit a proxy or vote at the annual meeting. Shares represented by proxies marked "abstain" and "broker non-votes" also are counted in determining whether a quorum is present.</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Do I Vote My Shares?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If your shares are registered in your name, you may vote your shares by one of the five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7117080" cy="6864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17080" cy="68643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p>
      <w:pPr>
        <w:spacing w:after="0" w:line="1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Vote by Internet</w:t>
      </w: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6"/>
          <w:szCs w:val="16"/>
          <w:color w:val="auto"/>
        </w:rPr>
        <w:t>Vote by Telephone</w:t>
      </w: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Vote by Mail</w:t>
      </w:r>
    </w:p>
    <w:p>
      <w:pPr>
        <w:spacing w:after="0" w:line="3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Vote by Mobile Device</w:t>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5"/>
          <w:szCs w:val="15"/>
          <w:color w:val="auto"/>
        </w:rPr>
        <w:t>Vote at the Virtual Meeting</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340"/>
        <w:spacing w:after="0" w:line="243" w:lineRule="auto"/>
        <w:rPr>
          <w:sz w:val="20"/>
          <w:szCs w:val="20"/>
          <w:color w:val="auto"/>
        </w:rPr>
      </w:pPr>
      <w:r>
        <w:rPr>
          <w:rFonts w:ascii="Arial" w:cs="Arial" w:eastAsia="Arial" w:hAnsi="Arial"/>
          <w:sz w:val="16"/>
          <w:szCs w:val="16"/>
          <w:color w:val="auto"/>
        </w:rPr>
        <w:t>Go to www.proxyvote.com and follow the instructions for Internet voting shown on your Notice Regarding the Availability of Proxy Materials or proxy card.</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Call 800-690-6903 and follow the instructions for telephone voting shown on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-2031365</wp:posOffset>
            </wp:positionH>
            <wp:positionV relativeFrom="paragraph">
              <wp:posOffset>163195</wp:posOffset>
            </wp:positionV>
            <wp:extent cx="7117080" cy="5759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17080" cy="575945"/>
                    </a:xfrm>
                    <a:prstGeom prst="rect">
                      <a:avLst/>
                    </a:prstGeom>
                    <a:noFill/>
                  </pic:spPr>
                </pic:pic>
              </a:graphicData>
            </a:graphic>
          </wp:anchor>
        </w:drawing>
      </w:r>
    </w:p>
    <w:p>
      <w:pPr>
        <w:spacing w:after="0" w:line="316" w:lineRule="exact"/>
        <w:rPr>
          <w:sz w:val="20"/>
          <w:szCs w:val="20"/>
          <w:color w:val="auto"/>
        </w:rPr>
      </w:pPr>
    </w:p>
    <w:p>
      <w:pPr>
        <w:ind w:right="120"/>
        <w:spacing w:after="0" w:line="243" w:lineRule="auto"/>
        <w:rPr>
          <w:sz w:val="20"/>
          <w:szCs w:val="20"/>
          <w:color w:val="auto"/>
        </w:rPr>
      </w:pPr>
      <w:r>
        <w:rPr>
          <w:rFonts w:ascii="Arial" w:cs="Arial" w:eastAsia="Arial" w:hAnsi="Arial"/>
          <w:sz w:val="16"/>
          <w:szCs w:val="16"/>
          <w:color w:val="auto"/>
        </w:rPr>
        <w:t>Complete, sign, date and mail your proxy card in the envelope provided if you received paper proxy materials. If you vote by Internet, telephone or mobile device, please do not mail your proxy card.</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Scan the QR code on your Notice Regarding the Availability of Proxy Materials or proxy card and follow the links.</w:t>
      </w:r>
    </w:p>
    <w:p>
      <w:pPr>
        <w:spacing w:after="0" w:line="163" w:lineRule="exact"/>
        <w:rPr>
          <w:sz w:val="20"/>
          <w:szCs w:val="20"/>
          <w:color w:val="auto"/>
        </w:rPr>
      </w:pPr>
    </w:p>
    <w:p>
      <w:pPr>
        <w:ind w:right="100"/>
        <w:spacing w:after="0" w:line="277" w:lineRule="auto"/>
        <w:rPr>
          <w:sz w:val="20"/>
          <w:szCs w:val="20"/>
          <w:color w:val="auto"/>
        </w:rPr>
      </w:pPr>
      <w:r>
        <w:rPr>
          <w:rFonts w:ascii="Arial" w:cs="Arial" w:eastAsia="Arial" w:hAnsi="Arial"/>
          <w:sz w:val="15"/>
          <w:szCs w:val="15"/>
          <w:color w:val="auto"/>
        </w:rPr>
        <w:t>Attend our virtual meeting and vote your shares electronically by visiting www.virtualshareholdermeeting.com/TTC2026. You will need the 16-digit control number included on your proxy card voting instruction form or Notice Regarding the Availability of Proxy Materials to enter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-2031365</wp:posOffset>
            </wp:positionH>
            <wp:positionV relativeFrom="paragraph">
              <wp:posOffset>-377825</wp:posOffset>
            </wp:positionV>
            <wp:extent cx="7117080" cy="3810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17080" cy="381000"/>
                    </a:xfrm>
                    <a:prstGeom prst="rect">
                      <a:avLst/>
                    </a:prstGeom>
                    <a:noFill/>
                  </pic:spPr>
                </pic:pic>
              </a:graphicData>
            </a:graphic>
          </wp:anchor>
        </w:drawing>
      </w:r>
    </w:p>
    <w:p>
      <w:pPr>
        <w:spacing w:after="0" w:line="67" w:lineRule="exact"/>
        <w:rPr>
          <w:sz w:val="20"/>
          <w:szCs w:val="20"/>
          <w:color w:val="auto"/>
        </w:rPr>
      </w:pPr>
    </w:p>
    <w:p>
      <w:pPr>
        <w:sectPr>
          <w:pgSz w:w="11900" w:h="16838" w:orient="portrait"/>
          <w:cols w:equalWidth="0" w:num="2">
            <w:col w:w="2500" w:space="720"/>
            <w:col w:w="8020"/>
          </w:cols>
          <w:pgMar w:left="320" w:top="1157" w:right="339" w:bottom="1440" w:gutter="0" w:footer="0" w:header="0"/>
          <w:type w:val="continuous"/>
        </w:sectPr>
      </w:pPr>
    </w:p>
    <w:p>
      <w:pPr>
        <w:spacing w:after="0" w:line="247" w:lineRule="auto"/>
        <w:rPr>
          <w:sz w:val="20"/>
          <w:szCs w:val="20"/>
          <w:color w:val="auto"/>
        </w:rPr>
      </w:pPr>
      <w:r>
        <w:rPr>
          <w:rFonts w:ascii="Arial" w:cs="Arial" w:eastAsia="Arial" w:hAnsi="Arial"/>
          <w:sz w:val="17"/>
          <w:szCs w:val="17"/>
          <w:color w:val="auto"/>
        </w:rPr>
        <w:t>If you hold shares as a participant in certain TTC employee benefit plans, you may vote your shares by one of the five methods noted above. If your shares are held in "street name," you may receive a separate voting instruction form with this proxy statement or you may need to contact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your broker, bank or other nominee to determine whether you will be able to vote electronically using the Internet, telephone or mobile device.</w:t>
      </w:r>
    </w:p>
    <w:p>
      <w:pPr>
        <w:spacing w:after="0" w:line="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On the day of the annual meeting, you may go to www.virtualshareholdermeeting.com/TTC2026, and log in by entering the 16-digit control number found on your voting instruction form. If you do not have your control number, you will be able register as a guest; however, you will not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 able to vote or submit questions during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20"/>
          <w:szCs w:val="20"/>
          <w:b w:val="1"/>
          <w:bCs w:val="1"/>
          <w:color w:val="C00000"/>
        </w:rPr>
        <w:t>How Does the Board Recommend that I Vote and What Vote is Required for Each Proposal?</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00" w:type="dxa"/>
            <w:vAlign w:val="bottom"/>
            <w:shd w:val="clear" w:color="auto" w:fill="BF2115"/>
          </w:tcPr>
          <w:p>
            <w:pPr>
              <w:spacing w:after="0"/>
              <w:rPr>
                <w:sz w:val="17"/>
                <w:szCs w:val="17"/>
                <w:color w:val="auto"/>
              </w:rPr>
            </w:pPr>
          </w:p>
        </w:tc>
        <w:tc>
          <w:tcPr>
            <w:tcW w:w="2160" w:type="dxa"/>
            <w:vAlign w:val="bottom"/>
            <w:vMerge w:val="restart"/>
            <w:shd w:val="clear" w:color="auto" w:fill="BF2115"/>
          </w:tcPr>
          <w:p>
            <w:pPr>
              <w:ind w:left="640"/>
              <w:spacing w:after="0"/>
              <w:rPr>
                <w:sz w:val="20"/>
                <w:szCs w:val="20"/>
                <w:color w:val="auto"/>
              </w:rPr>
            </w:pPr>
            <w:r>
              <w:rPr>
                <w:rFonts w:ascii="Arial" w:cs="Arial" w:eastAsia="Arial" w:hAnsi="Arial"/>
                <w:sz w:val="14"/>
                <w:szCs w:val="14"/>
                <w:b w:val="1"/>
                <w:bCs w:val="1"/>
                <w:color w:val="FFFFFF"/>
              </w:rPr>
              <w:t>Board</w:t>
            </w:r>
          </w:p>
        </w:tc>
        <w:tc>
          <w:tcPr>
            <w:tcW w:w="1960" w:type="dxa"/>
            <w:vAlign w:val="bottom"/>
            <w:vMerge w:val="restart"/>
            <w:shd w:val="clear" w:color="auto" w:fill="BF2115"/>
          </w:tcPr>
          <w:p>
            <w:pPr>
              <w:ind w:left="120"/>
              <w:spacing w:after="0"/>
              <w:rPr>
                <w:sz w:val="20"/>
                <w:szCs w:val="20"/>
                <w:color w:val="auto"/>
              </w:rPr>
            </w:pPr>
            <w:r>
              <w:rPr>
                <w:rFonts w:ascii="Arial" w:cs="Arial" w:eastAsia="Arial" w:hAnsi="Arial"/>
                <w:sz w:val="14"/>
                <w:szCs w:val="14"/>
                <w:b w:val="1"/>
                <w:bCs w:val="1"/>
                <w:color w:val="FFFFFF"/>
              </w:rPr>
              <w:t>Available Voting</w:t>
            </w:r>
          </w:p>
        </w:tc>
        <w:tc>
          <w:tcPr>
            <w:tcW w:w="1780" w:type="dxa"/>
            <w:vAlign w:val="bottom"/>
            <w:vMerge w:val="restart"/>
            <w:shd w:val="clear" w:color="auto" w:fill="BF2115"/>
          </w:tcPr>
          <w:p>
            <w:pPr>
              <w:ind w:left="100"/>
              <w:spacing w:after="0"/>
              <w:rPr>
                <w:sz w:val="20"/>
                <w:szCs w:val="20"/>
                <w:color w:val="auto"/>
              </w:rPr>
            </w:pPr>
            <w:r>
              <w:rPr>
                <w:rFonts w:ascii="Arial" w:cs="Arial" w:eastAsia="Arial" w:hAnsi="Arial"/>
                <w:sz w:val="14"/>
                <w:szCs w:val="14"/>
                <w:b w:val="1"/>
                <w:bCs w:val="1"/>
                <w:color w:val="FFFFFF"/>
              </w:rPr>
              <w:t>Voting Approval</w:t>
            </w:r>
          </w:p>
        </w:tc>
        <w:tc>
          <w:tcPr>
            <w:tcW w:w="112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Effect of</w:t>
            </w:r>
          </w:p>
        </w:tc>
        <w:tc>
          <w:tcPr>
            <w:tcW w:w="1520" w:type="dxa"/>
            <w:vAlign w:val="bottom"/>
            <w:shd w:val="clear" w:color="auto" w:fill="BF2115"/>
          </w:tcPr>
          <w:p>
            <w:pPr>
              <w:ind w:left="300"/>
              <w:spacing w:after="0"/>
              <w:rPr>
                <w:sz w:val="20"/>
                <w:szCs w:val="20"/>
                <w:color w:val="auto"/>
              </w:rPr>
            </w:pPr>
            <w:r>
              <w:rPr>
                <w:rFonts w:ascii="Arial" w:cs="Arial" w:eastAsia="Arial" w:hAnsi="Arial"/>
                <w:sz w:val="14"/>
                <w:szCs w:val="14"/>
                <w:b w:val="1"/>
                <w:bCs w:val="1"/>
                <w:color w:val="FFFFFF"/>
              </w:rPr>
              <w:t>Effect of</w:t>
            </w:r>
          </w:p>
        </w:tc>
        <w:tc>
          <w:tcPr>
            <w:tcW w:w="0" w:type="dxa"/>
            <w:vAlign w:val="bottom"/>
          </w:tcPr>
          <w:p>
            <w:pPr>
              <w:spacing w:after="0"/>
              <w:rPr>
                <w:sz w:val="1"/>
                <w:szCs w:val="1"/>
                <w:color w:val="auto"/>
              </w:rPr>
            </w:pPr>
          </w:p>
        </w:tc>
      </w:tr>
      <w:tr>
        <w:trPr>
          <w:trHeight w:val="173"/>
        </w:trPr>
        <w:tc>
          <w:tcPr>
            <w:tcW w:w="2400" w:type="dxa"/>
            <w:vAlign w:val="bottom"/>
            <w:shd w:val="clear" w:color="auto" w:fill="BF2115"/>
          </w:tcPr>
          <w:p>
            <w:pPr>
              <w:spacing w:after="0"/>
              <w:rPr>
                <w:sz w:val="15"/>
                <w:szCs w:val="15"/>
                <w:color w:val="auto"/>
              </w:rPr>
            </w:pPr>
          </w:p>
        </w:tc>
        <w:tc>
          <w:tcPr>
            <w:tcW w:w="2160" w:type="dxa"/>
            <w:vAlign w:val="bottom"/>
            <w:vMerge w:val="continue"/>
            <w:shd w:val="clear" w:color="auto" w:fill="BF2115"/>
          </w:tcPr>
          <w:p>
            <w:pPr>
              <w:spacing w:after="0"/>
              <w:rPr>
                <w:sz w:val="15"/>
                <w:szCs w:val="15"/>
                <w:color w:val="auto"/>
              </w:rPr>
            </w:pPr>
          </w:p>
        </w:tc>
        <w:tc>
          <w:tcPr>
            <w:tcW w:w="1960" w:type="dxa"/>
            <w:vAlign w:val="bottom"/>
            <w:vMerge w:val="continue"/>
            <w:shd w:val="clear" w:color="auto" w:fill="BF2115"/>
          </w:tcPr>
          <w:p>
            <w:pPr>
              <w:spacing w:after="0"/>
              <w:rPr>
                <w:sz w:val="15"/>
                <w:szCs w:val="15"/>
                <w:color w:val="auto"/>
              </w:rPr>
            </w:pPr>
          </w:p>
        </w:tc>
        <w:tc>
          <w:tcPr>
            <w:tcW w:w="1780" w:type="dxa"/>
            <w:vAlign w:val="bottom"/>
            <w:vMerge w:val="continue"/>
            <w:shd w:val="clear" w:color="auto" w:fill="BF2115"/>
          </w:tcPr>
          <w:p>
            <w:pPr>
              <w:spacing w:after="0"/>
              <w:rPr>
                <w:sz w:val="15"/>
                <w:szCs w:val="15"/>
                <w:color w:val="auto"/>
              </w:rPr>
            </w:pPr>
          </w:p>
        </w:tc>
        <w:tc>
          <w:tcPr>
            <w:tcW w:w="112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Withhold or</w:t>
            </w:r>
          </w:p>
        </w:tc>
        <w:tc>
          <w:tcPr>
            <w:tcW w:w="1520" w:type="dxa"/>
            <w:vAlign w:val="bottom"/>
            <w:shd w:val="clear" w:color="auto" w:fill="BF2115"/>
          </w:tcPr>
          <w:p>
            <w:pPr>
              <w:ind w:left="300"/>
              <w:spacing w:after="0"/>
              <w:rPr>
                <w:sz w:val="20"/>
                <w:szCs w:val="20"/>
                <w:color w:val="auto"/>
              </w:rPr>
            </w:pPr>
            <w:r>
              <w:rPr>
                <w:rFonts w:ascii="Arial" w:cs="Arial" w:eastAsia="Arial" w:hAnsi="Arial"/>
                <w:sz w:val="14"/>
                <w:szCs w:val="14"/>
                <w:b w:val="1"/>
                <w:bCs w:val="1"/>
                <w:color w:val="FFFFFF"/>
              </w:rPr>
              <w:t>Broker Non-</w:t>
            </w:r>
          </w:p>
        </w:tc>
        <w:tc>
          <w:tcPr>
            <w:tcW w:w="0" w:type="dxa"/>
            <w:vAlign w:val="bottom"/>
          </w:tcPr>
          <w:p>
            <w:pPr>
              <w:spacing w:after="0"/>
              <w:rPr>
                <w:sz w:val="1"/>
                <w:szCs w:val="1"/>
                <w:color w:val="auto"/>
              </w:rPr>
            </w:pPr>
          </w:p>
        </w:tc>
      </w:tr>
      <w:tr>
        <w:trPr>
          <w:trHeight w:val="223"/>
        </w:trPr>
        <w:tc>
          <w:tcPr>
            <w:tcW w:w="240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Proposal</w:t>
            </w:r>
          </w:p>
        </w:tc>
        <w:tc>
          <w:tcPr>
            <w:tcW w:w="2160" w:type="dxa"/>
            <w:vAlign w:val="bottom"/>
            <w:shd w:val="clear" w:color="auto" w:fill="BF2115"/>
          </w:tcPr>
          <w:p>
            <w:pPr>
              <w:ind w:left="640"/>
              <w:spacing w:after="0"/>
              <w:rPr>
                <w:sz w:val="20"/>
                <w:szCs w:val="20"/>
                <w:color w:val="auto"/>
              </w:rPr>
            </w:pPr>
            <w:r>
              <w:rPr>
                <w:rFonts w:ascii="Arial" w:cs="Arial" w:eastAsia="Arial" w:hAnsi="Arial"/>
                <w:sz w:val="14"/>
                <w:szCs w:val="14"/>
                <w:b w:val="1"/>
                <w:bCs w:val="1"/>
                <w:color w:val="FFFFFF"/>
              </w:rPr>
              <w:t>Recommendation</w:t>
            </w:r>
          </w:p>
        </w:tc>
        <w:tc>
          <w:tcPr>
            <w:tcW w:w="1960" w:type="dxa"/>
            <w:vAlign w:val="bottom"/>
            <w:shd w:val="clear" w:color="auto" w:fill="BF2115"/>
          </w:tcPr>
          <w:p>
            <w:pPr>
              <w:ind w:left="120"/>
              <w:spacing w:after="0"/>
              <w:rPr>
                <w:sz w:val="20"/>
                <w:szCs w:val="20"/>
                <w:color w:val="auto"/>
              </w:rPr>
            </w:pPr>
            <w:r>
              <w:rPr>
                <w:rFonts w:ascii="Arial" w:cs="Arial" w:eastAsia="Arial" w:hAnsi="Arial"/>
                <w:sz w:val="14"/>
                <w:szCs w:val="14"/>
                <w:b w:val="1"/>
                <w:bCs w:val="1"/>
                <w:color w:val="FFFFFF"/>
              </w:rPr>
              <w:t>Selections</w:t>
            </w:r>
          </w:p>
        </w:tc>
        <w:tc>
          <w:tcPr>
            <w:tcW w:w="1780" w:type="dxa"/>
            <w:vAlign w:val="bottom"/>
            <w:shd w:val="clear" w:color="auto" w:fill="BF2115"/>
          </w:tcPr>
          <w:p>
            <w:pPr>
              <w:ind w:left="100"/>
              <w:spacing w:after="0"/>
              <w:rPr>
                <w:sz w:val="20"/>
                <w:szCs w:val="20"/>
                <w:color w:val="auto"/>
              </w:rPr>
            </w:pPr>
            <w:r>
              <w:rPr>
                <w:rFonts w:ascii="Arial" w:cs="Arial" w:eastAsia="Arial" w:hAnsi="Arial"/>
                <w:sz w:val="14"/>
                <w:szCs w:val="14"/>
                <w:b w:val="1"/>
                <w:bCs w:val="1"/>
                <w:color w:val="FFFFFF"/>
              </w:rPr>
              <w:t>Standard</w:t>
            </w:r>
          </w:p>
        </w:tc>
        <w:tc>
          <w:tcPr>
            <w:tcW w:w="112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Abstention</w:t>
            </w:r>
          </w:p>
        </w:tc>
        <w:tc>
          <w:tcPr>
            <w:tcW w:w="1520" w:type="dxa"/>
            <w:vAlign w:val="bottom"/>
            <w:shd w:val="clear" w:color="auto" w:fill="BF2115"/>
          </w:tcPr>
          <w:p>
            <w:pPr>
              <w:ind w:left="300"/>
              <w:spacing w:after="0"/>
              <w:rPr>
                <w:sz w:val="20"/>
                <w:szCs w:val="20"/>
                <w:color w:val="auto"/>
              </w:rPr>
            </w:pPr>
            <w:r>
              <w:rPr>
                <w:rFonts w:ascii="Arial" w:cs="Arial" w:eastAsia="Arial" w:hAnsi="Arial"/>
                <w:sz w:val="14"/>
                <w:szCs w:val="14"/>
                <w:b w:val="1"/>
                <w:bCs w:val="1"/>
                <w:color w:val="FFFFFF"/>
              </w:rPr>
              <w:t>Vote</w:t>
            </w:r>
          </w:p>
        </w:tc>
        <w:tc>
          <w:tcPr>
            <w:tcW w:w="0" w:type="dxa"/>
            <w:vAlign w:val="bottom"/>
          </w:tcPr>
          <w:p>
            <w:pPr>
              <w:spacing w:after="0"/>
              <w:rPr>
                <w:sz w:val="1"/>
                <w:szCs w:val="1"/>
                <w:color w:val="auto"/>
              </w:rPr>
            </w:pPr>
          </w:p>
        </w:tc>
      </w:tr>
      <w:tr>
        <w:trPr>
          <w:trHeight w:val="186"/>
        </w:trPr>
        <w:tc>
          <w:tcPr>
            <w:tcW w:w="2400" w:type="dxa"/>
            <w:vAlign w:val="bottom"/>
          </w:tcPr>
          <w:p>
            <w:pPr>
              <w:ind w:left="20"/>
              <w:spacing w:after="0"/>
              <w:rPr>
                <w:sz w:val="20"/>
                <w:szCs w:val="20"/>
                <w:color w:val="auto"/>
              </w:rPr>
            </w:pPr>
            <w:r>
              <w:rPr>
                <w:rFonts w:ascii="Arial" w:cs="Arial" w:eastAsia="Arial" w:hAnsi="Arial"/>
                <w:sz w:val="16"/>
                <w:szCs w:val="16"/>
                <w:color w:val="auto"/>
              </w:rPr>
              <w:t>1.  Election of directors</w:t>
            </w:r>
          </w:p>
        </w:tc>
        <w:tc>
          <w:tcPr>
            <w:tcW w:w="2160" w:type="dxa"/>
            <w:vAlign w:val="bottom"/>
          </w:tcPr>
          <w:p>
            <w:pPr>
              <w:ind w:left="64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each nominee</w:t>
            </w:r>
          </w:p>
        </w:tc>
        <w:tc>
          <w:tcPr>
            <w:tcW w:w="1960" w:type="dxa"/>
            <w:vAlign w:val="bottom"/>
          </w:tcPr>
          <w:p>
            <w:pPr>
              <w:ind w:left="120"/>
              <w:spacing w:after="0"/>
              <w:rPr>
                <w:sz w:val="20"/>
                <w:szCs w:val="20"/>
                <w:color w:val="auto"/>
              </w:rPr>
            </w:pPr>
            <w:r>
              <w:rPr>
                <w:rFonts w:ascii="Arial" w:cs="Arial" w:eastAsia="Arial" w:hAnsi="Arial"/>
                <w:sz w:val="16"/>
                <w:szCs w:val="16"/>
                <w:color w:val="auto"/>
              </w:rPr>
              <w:t>FOR each nominee;</w:t>
            </w:r>
          </w:p>
        </w:tc>
        <w:tc>
          <w:tcPr>
            <w:tcW w:w="1780" w:type="dxa"/>
            <w:vAlign w:val="bottom"/>
          </w:tcPr>
          <w:p>
            <w:pPr>
              <w:ind w:left="100"/>
              <w:spacing w:after="0"/>
              <w:rPr>
                <w:sz w:val="20"/>
                <w:szCs w:val="20"/>
                <w:color w:val="auto"/>
              </w:rPr>
            </w:pPr>
            <w:r>
              <w:rPr>
                <w:rFonts w:ascii="Arial" w:cs="Arial" w:eastAsia="Arial" w:hAnsi="Arial"/>
                <w:sz w:val="16"/>
                <w:szCs w:val="16"/>
                <w:color w:val="auto"/>
              </w:rPr>
              <w:t>Plurality: the three</w:t>
            </w:r>
          </w:p>
        </w:tc>
        <w:tc>
          <w:tcPr>
            <w:tcW w:w="1120" w:type="dxa"/>
            <w:vAlign w:val="bottom"/>
          </w:tcPr>
          <w:p>
            <w:pPr>
              <w:ind w:left="20"/>
              <w:spacing w:after="0"/>
              <w:rPr>
                <w:sz w:val="20"/>
                <w:szCs w:val="20"/>
                <w:color w:val="auto"/>
              </w:rPr>
            </w:pPr>
            <w:r>
              <w:rPr>
                <w:rFonts w:ascii="Arial" w:cs="Arial" w:eastAsia="Arial" w:hAnsi="Arial"/>
                <w:sz w:val="16"/>
                <w:szCs w:val="16"/>
                <w:color w:val="auto"/>
              </w:rPr>
              <w:t>No effect</w:t>
            </w:r>
          </w:p>
        </w:tc>
        <w:tc>
          <w:tcPr>
            <w:tcW w:w="1520" w:type="dxa"/>
            <w:vAlign w:val="bottom"/>
          </w:tcPr>
          <w:p>
            <w:pPr>
              <w:ind w:left="30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174"/>
        </w:trPr>
        <w:tc>
          <w:tcPr>
            <w:tcW w:w="24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960" w:type="dxa"/>
            <w:vAlign w:val="bottom"/>
          </w:tcPr>
          <w:p>
            <w:pPr>
              <w:ind w:left="120"/>
              <w:spacing w:after="0" w:line="175" w:lineRule="exact"/>
              <w:rPr>
                <w:sz w:val="20"/>
                <w:szCs w:val="20"/>
                <w:color w:val="auto"/>
              </w:rPr>
            </w:pPr>
            <w:r>
              <w:rPr>
                <w:rFonts w:ascii="Arial" w:cs="Arial" w:eastAsia="Arial" w:hAnsi="Arial"/>
                <w:sz w:val="16"/>
                <w:szCs w:val="16"/>
                <w:color w:val="auto"/>
              </w:rPr>
              <w:t>WITHHOLD from each</w:t>
            </w:r>
          </w:p>
        </w:tc>
        <w:tc>
          <w:tcPr>
            <w:tcW w:w="1780" w:type="dxa"/>
            <w:vAlign w:val="bottom"/>
          </w:tcPr>
          <w:p>
            <w:pPr>
              <w:ind w:left="100"/>
              <w:spacing w:after="0" w:line="175" w:lineRule="exact"/>
              <w:rPr>
                <w:sz w:val="20"/>
                <w:szCs w:val="20"/>
                <w:color w:val="auto"/>
              </w:rPr>
            </w:pPr>
            <w:r>
              <w:rPr>
                <w:rFonts w:ascii="Arial" w:cs="Arial" w:eastAsia="Arial" w:hAnsi="Arial"/>
                <w:sz w:val="16"/>
                <w:szCs w:val="16"/>
                <w:color w:val="auto"/>
              </w:rPr>
              <w:t>individuals who receive</w:t>
            </w:r>
          </w:p>
        </w:tc>
        <w:tc>
          <w:tcPr>
            <w:tcW w:w="1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4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960" w:type="dxa"/>
            <w:vAlign w:val="bottom"/>
          </w:tcPr>
          <w:p>
            <w:pPr>
              <w:ind w:left="120"/>
              <w:spacing w:after="0"/>
              <w:rPr>
                <w:sz w:val="20"/>
                <w:szCs w:val="20"/>
                <w:color w:val="auto"/>
              </w:rPr>
            </w:pPr>
            <w:r>
              <w:rPr>
                <w:rFonts w:ascii="Arial" w:cs="Arial" w:eastAsia="Arial" w:hAnsi="Arial"/>
                <w:sz w:val="16"/>
                <w:szCs w:val="16"/>
                <w:color w:val="auto"/>
              </w:rPr>
              <w:t>nominee; or WITHHOLD</w:t>
            </w:r>
          </w:p>
        </w:tc>
        <w:tc>
          <w:tcPr>
            <w:tcW w:w="1780" w:type="dxa"/>
            <w:vAlign w:val="bottom"/>
          </w:tcPr>
          <w:p>
            <w:pPr>
              <w:ind w:left="100"/>
              <w:spacing w:after="0"/>
              <w:rPr>
                <w:sz w:val="20"/>
                <w:szCs w:val="20"/>
                <w:color w:val="auto"/>
              </w:rPr>
            </w:pPr>
            <w:r>
              <w:rPr>
                <w:rFonts w:ascii="Arial" w:cs="Arial" w:eastAsia="Arial" w:hAnsi="Arial"/>
                <w:sz w:val="16"/>
                <w:szCs w:val="16"/>
                <w:color w:val="auto"/>
              </w:rPr>
              <w:t>the greatest number of</w:t>
            </w:r>
          </w:p>
        </w:tc>
        <w:tc>
          <w:tcPr>
            <w:tcW w:w="1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960" w:type="dxa"/>
            <w:vAlign w:val="bottom"/>
          </w:tcPr>
          <w:p>
            <w:pPr>
              <w:ind w:left="120"/>
              <w:spacing w:after="0"/>
              <w:rPr>
                <w:sz w:val="20"/>
                <w:szCs w:val="20"/>
                <w:color w:val="auto"/>
              </w:rPr>
            </w:pPr>
            <w:r>
              <w:rPr>
                <w:rFonts w:ascii="Arial" w:cs="Arial" w:eastAsia="Arial" w:hAnsi="Arial"/>
                <w:sz w:val="16"/>
                <w:szCs w:val="16"/>
                <w:color w:val="auto"/>
              </w:rPr>
              <w:t>from one or more of the</w:t>
            </w:r>
          </w:p>
        </w:tc>
        <w:tc>
          <w:tcPr>
            <w:tcW w:w="1780" w:type="dxa"/>
            <w:vAlign w:val="bottom"/>
          </w:tcPr>
          <w:p>
            <w:pPr>
              <w:ind w:left="100"/>
              <w:spacing w:after="0"/>
              <w:rPr>
                <w:sz w:val="20"/>
                <w:szCs w:val="20"/>
                <w:color w:val="auto"/>
              </w:rPr>
            </w:pPr>
            <w:r>
              <w:rPr>
                <w:rFonts w:ascii="Arial" w:cs="Arial" w:eastAsia="Arial" w:hAnsi="Arial"/>
                <w:sz w:val="16"/>
                <w:szCs w:val="16"/>
                <w:color w:val="auto"/>
              </w:rPr>
              <w:t>votes cast "for" are</w:t>
            </w:r>
          </w:p>
        </w:tc>
        <w:tc>
          <w:tcPr>
            <w:tcW w:w="1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2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960" w:type="dxa"/>
            <w:vAlign w:val="bottom"/>
          </w:tcPr>
          <w:p>
            <w:pPr>
              <w:ind w:left="120"/>
              <w:spacing w:after="0"/>
              <w:rPr>
                <w:sz w:val="20"/>
                <w:szCs w:val="20"/>
                <w:color w:val="auto"/>
              </w:rPr>
            </w:pPr>
            <w:r>
              <w:rPr>
                <w:rFonts w:ascii="Arial" w:cs="Arial" w:eastAsia="Arial" w:hAnsi="Arial"/>
                <w:sz w:val="16"/>
                <w:szCs w:val="16"/>
                <w:color w:val="auto"/>
              </w:rPr>
              <w:t>three nominees</w:t>
            </w:r>
          </w:p>
        </w:tc>
        <w:tc>
          <w:tcPr>
            <w:tcW w:w="1780" w:type="dxa"/>
            <w:vAlign w:val="bottom"/>
          </w:tcPr>
          <w:p>
            <w:pPr>
              <w:ind w:left="100"/>
              <w:spacing w:after="0"/>
              <w:rPr>
                <w:sz w:val="20"/>
                <w:szCs w:val="20"/>
                <w:color w:val="auto"/>
              </w:rPr>
            </w:pPr>
            <w:r>
              <w:rPr>
                <w:rFonts w:ascii="Arial" w:cs="Arial" w:eastAsia="Arial" w:hAnsi="Arial"/>
                <w:sz w:val="16"/>
                <w:szCs w:val="16"/>
                <w:color w:val="auto"/>
              </w:rPr>
              <w:t>elected as directors</w:t>
            </w:r>
            <w:r>
              <w:rPr>
                <w:rFonts w:ascii="Arial" w:cs="Arial" w:eastAsia="Arial" w:hAnsi="Arial"/>
                <w:sz w:val="20"/>
                <w:szCs w:val="20"/>
                <w:color w:val="auto"/>
                <w:vertAlign w:val="superscript"/>
              </w:rPr>
              <w:t>1</w:t>
            </w: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6939280" cy="4997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39280" cy="4997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ind w:left="340" w:right="600" w:hanging="316"/>
        <w:spacing w:after="0" w:line="238" w:lineRule="auto"/>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Ratification of the selection of KPMG </w:t>
      </w:r>
      <w:r>
        <w:rPr>
          <w:rFonts w:ascii="Arial" w:cs="Arial" w:eastAsia="Arial" w:hAnsi="Arial"/>
          <w:sz w:val="16"/>
          <w:szCs w:val="16"/>
          <w:b w:val="1"/>
          <w:bCs w:val="1"/>
          <w:color w:val="auto"/>
        </w:rPr>
        <w:t>FOR</w:t>
      </w:r>
      <w:r>
        <w:rPr>
          <w:rFonts w:ascii="Arial" w:cs="Arial" w:eastAsia="Arial" w:hAnsi="Arial"/>
          <w:sz w:val="16"/>
          <w:szCs w:val="16"/>
          <w:color w:val="auto"/>
        </w:rPr>
        <w:t xml:space="preserve"> LLP as our independent registered public accounting firm for our fiscal</w:t>
      </w:r>
    </w:p>
    <w:p>
      <w:pPr>
        <w:spacing w:after="0" w:line="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year ending October 31, 2026</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160" w:type="dxa"/>
            <w:vAlign w:val="bottom"/>
          </w:tcPr>
          <w:p>
            <w:pPr>
              <w:jc w:val="right"/>
              <w:spacing w:after="0"/>
              <w:rPr>
                <w:sz w:val="20"/>
                <w:szCs w:val="20"/>
                <w:color w:val="auto"/>
              </w:rPr>
            </w:pPr>
            <w:r>
              <w:rPr>
                <w:rFonts w:ascii="Arial" w:cs="Arial" w:eastAsia="Arial" w:hAnsi="Arial"/>
                <w:sz w:val="16"/>
                <w:szCs w:val="16"/>
                <w:color w:val="auto"/>
                <w:w w:val="89"/>
              </w:rPr>
              <w:t>3.</w:t>
            </w:r>
          </w:p>
        </w:tc>
        <w:tc>
          <w:tcPr>
            <w:tcW w:w="2800" w:type="dxa"/>
            <w:vAlign w:val="bottom"/>
          </w:tcPr>
          <w:p>
            <w:pPr>
              <w:ind w:left="160"/>
              <w:spacing w:after="0"/>
              <w:rPr>
                <w:sz w:val="20"/>
                <w:szCs w:val="20"/>
                <w:color w:val="auto"/>
              </w:rPr>
            </w:pPr>
            <w:r>
              <w:rPr>
                <w:rFonts w:ascii="Arial" w:cs="Arial" w:eastAsia="Arial" w:hAnsi="Arial"/>
                <w:sz w:val="16"/>
                <w:szCs w:val="16"/>
                <w:color w:val="auto"/>
              </w:rPr>
              <w:t>Approval of, on an advisory basis,</w:t>
            </w:r>
          </w:p>
        </w:tc>
        <w:tc>
          <w:tcPr>
            <w:tcW w:w="380" w:type="dxa"/>
            <w:vAlign w:val="bottom"/>
          </w:tcPr>
          <w:p>
            <w:pPr>
              <w:ind w:left="60"/>
              <w:spacing w:after="0"/>
              <w:rPr>
                <w:sz w:val="20"/>
                <w:szCs w:val="20"/>
                <w:color w:val="auto"/>
              </w:rPr>
            </w:pPr>
            <w:r>
              <w:rPr>
                <w:rFonts w:ascii="Arial" w:cs="Arial" w:eastAsia="Arial" w:hAnsi="Arial"/>
                <w:sz w:val="16"/>
                <w:szCs w:val="16"/>
                <w:b w:val="1"/>
                <w:bCs w:val="1"/>
                <w:color w:val="auto"/>
                <w:w w:val="88"/>
              </w:rPr>
              <w:t>FOR</w:t>
            </w:r>
          </w:p>
        </w:tc>
      </w:tr>
      <w:tr>
        <w:trPr>
          <w:trHeight w:val="280"/>
        </w:trPr>
        <w:tc>
          <w:tcPr>
            <w:tcW w:w="160" w:type="dxa"/>
            <w:vAlign w:val="bottom"/>
          </w:tcPr>
          <w:p>
            <w:pPr>
              <w:spacing w:after="0"/>
              <w:rPr>
                <w:sz w:val="24"/>
                <w:szCs w:val="24"/>
                <w:color w:val="auto"/>
              </w:rPr>
            </w:pPr>
          </w:p>
        </w:tc>
        <w:tc>
          <w:tcPr>
            <w:tcW w:w="2800" w:type="dxa"/>
            <w:vAlign w:val="bottom"/>
          </w:tcPr>
          <w:p>
            <w:pPr>
              <w:ind w:left="160"/>
              <w:spacing w:after="0"/>
              <w:rPr>
                <w:sz w:val="20"/>
                <w:szCs w:val="20"/>
                <w:color w:val="auto"/>
              </w:rPr>
            </w:pPr>
            <w:r>
              <w:rPr>
                <w:rFonts w:ascii="Arial" w:cs="Arial" w:eastAsia="Arial" w:hAnsi="Arial"/>
                <w:sz w:val="16"/>
                <w:szCs w:val="16"/>
                <w:color w:val="auto"/>
              </w:rPr>
              <w:t>our executive compensation</w:t>
            </w:r>
            <w:r>
              <w:rPr>
                <w:rFonts w:ascii="Arial" w:cs="Arial" w:eastAsia="Arial" w:hAnsi="Arial"/>
                <w:sz w:val="20"/>
                <w:szCs w:val="20"/>
                <w:color w:val="auto"/>
                <w:vertAlign w:val="superscript"/>
              </w:rPr>
              <w:t>3</w:t>
            </w:r>
          </w:p>
        </w:tc>
        <w:tc>
          <w:tcPr>
            <w:tcW w:w="380" w:type="dxa"/>
            <w:vAlign w:val="bottom"/>
          </w:tcPr>
          <w:p>
            <w:pPr>
              <w:spacing w:after="0"/>
              <w:rPr>
                <w:sz w:val="24"/>
                <w:szCs w:val="24"/>
                <w:color w:val="auto"/>
              </w:rPr>
            </w:pPr>
          </w:p>
        </w:tc>
      </w:tr>
      <w:tr>
        <w:trPr>
          <w:trHeight w:val="187"/>
        </w:trPr>
        <w:tc>
          <w:tcPr>
            <w:tcW w:w="160" w:type="dxa"/>
            <w:vAlign w:val="bottom"/>
          </w:tcPr>
          <w:p>
            <w:pPr>
              <w:jc w:val="right"/>
              <w:spacing w:after="0"/>
              <w:rPr>
                <w:sz w:val="20"/>
                <w:szCs w:val="20"/>
                <w:color w:val="auto"/>
              </w:rPr>
            </w:pPr>
            <w:r>
              <w:rPr>
                <w:rFonts w:ascii="Arial" w:cs="Arial" w:eastAsia="Arial" w:hAnsi="Arial"/>
                <w:sz w:val="16"/>
                <w:szCs w:val="16"/>
                <w:color w:val="auto"/>
                <w:w w:val="89"/>
              </w:rPr>
              <w:t>4.</w:t>
            </w:r>
          </w:p>
        </w:tc>
        <w:tc>
          <w:tcPr>
            <w:tcW w:w="2800" w:type="dxa"/>
            <w:vAlign w:val="bottom"/>
          </w:tcPr>
          <w:p>
            <w:pPr>
              <w:ind w:left="20"/>
              <w:spacing w:after="0"/>
              <w:rPr>
                <w:sz w:val="20"/>
                <w:szCs w:val="20"/>
                <w:color w:val="auto"/>
              </w:rPr>
            </w:pPr>
            <w:r>
              <w:rPr>
                <w:rFonts w:ascii="Arial" w:cs="Arial" w:eastAsia="Arial" w:hAnsi="Arial"/>
                <w:sz w:val="16"/>
                <w:szCs w:val="16"/>
                <w:color w:val="auto"/>
              </w:rPr>
              <w:t>Approval of The Toro Company 2026</w:t>
            </w:r>
          </w:p>
        </w:tc>
        <w:tc>
          <w:tcPr>
            <w:tcW w:w="380" w:type="dxa"/>
            <w:vAlign w:val="bottom"/>
          </w:tcPr>
          <w:p>
            <w:pPr>
              <w:ind w:left="60"/>
              <w:spacing w:after="0"/>
              <w:rPr>
                <w:sz w:val="20"/>
                <w:szCs w:val="20"/>
                <w:color w:val="auto"/>
              </w:rPr>
            </w:pPr>
            <w:r>
              <w:rPr>
                <w:rFonts w:ascii="Arial" w:cs="Arial" w:eastAsia="Arial" w:hAnsi="Arial"/>
                <w:sz w:val="16"/>
                <w:szCs w:val="16"/>
                <w:b w:val="1"/>
                <w:bCs w:val="1"/>
                <w:color w:val="auto"/>
                <w:w w:val="88"/>
              </w:rPr>
              <w:t>FOR</w:t>
            </w:r>
          </w:p>
        </w:tc>
      </w:tr>
      <w:tr>
        <w:trPr>
          <w:trHeight w:val="211"/>
        </w:trPr>
        <w:tc>
          <w:tcPr>
            <w:tcW w:w="16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6"/>
                <w:szCs w:val="16"/>
                <w:color w:val="auto"/>
              </w:rPr>
              <w:t>Equity Plan</w:t>
            </w:r>
          </w:p>
        </w:tc>
        <w:tc>
          <w:tcPr>
            <w:tcW w:w="380" w:type="dxa"/>
            <w:vAlign w:val="bottom"/>
          </w:tcPr>
          <w:p>
            <w:pPr>
              <w:spacing w:after="0"/>
              <w:rPr>
                <w:sz w:val="18"/>
                <w:szCs w:val="18"/>
                <w:color w:val="auto"/>
              </w:rPr>
            </w:pPr>
          </w:p>
        </w:tc>
      </w:tr>
      <w:tr>
        <w:trPr>
          <w:trHeight w:val="269"/>
        </w:trPr>
        <w:tc>
          <w:tcPr>
            <w:tcW w:w="160" w:type="dxa"/>
            <w:vAlign w:val="bottom"/>
          </w:tcPr>
          <w:p>
            <w:pPr>
              <w:jc w:val="right"/>
              <w:spacing w:after="0"/>
              <w:rPr>
                <w:sz w:val="20"/>
                <w:szCs w:val="20"/>
                <w:color w:val="auto"/>
              </w:rPr>
            </w:pPr>
            <w:r>
              <w:rPr>
                <w:rFonts w:ascii="Arial" w:cs="Arial" w:eastAsia="Arial" w:hAnsi="Arial"/>
                <w:sz w:val="16"/>
                <w:szCs w:val="16"/>
                <w:color w:val="auto"/>
                <w:w w:val="89"/>
              </w:rPr>
              <w:t>5.</w:t>
            </w:r>
          </w:p>
        </w:tc>
        <w:tc>
          <w:tcPr>
            <w:tcW w:w="2800" w:type="dxa"/>
            <w:vAlign w:val="bottom"/>
          </w:tcPr>
          <w:p>
            <w:pPr>
              <w:ind w:left="20"/>
              <w:spacing w:after="0"/>
              <w:rPr>
                <w:sz w:val="20"/>
                <w:szCs w:val="20"/>
                <w:color w:val="auto"/>
              </w:rPr>
            </w:pPr>
            <w:r>
              <w:rPr>
                <w:rFonts w:ascii="Arial" w:cs="Arial" w:eastAsia="Arial" w:hAnsi="Arial"/>
                <w:sz w:val="16"/>
                <w:szCs w:val="16"/>
                <w:color w:val="auto"/>
              </w:rPr>
              <w:t>Approval of an amendment to the</w:t>
            </w:r>
          </w:p>
        </w:tc>
        <w:tc>
          <w:tcPr>
            <w:tcW w:w="380" w:type="dxa"/>
            <w:vAlign w:val="bottom"/>
          </w:tcPr>
          <w:p>
            <w:pPr>
              <w:ind w:left="60"/>
              <w:spacing w:after="0"/>
              <w:rPr>
                <w:sz w:val="20"/>
                <w:szCs w:val="20"/>
                <w:color w:val="auto"/>
              </w:rPr>
            </w:pPr>
            <w:r>
              <w:rPr>
                <w:rFonts w:ascii="Arial" w:cs="Arial" w:eastAsia="Arial" w:hAnsi="Arial"/>
                <w:sz w:val="16"/>
                <w:szCs w:val="16"/>
                <w:b w:val="1"/>
                <w:bCs w:val="1"/>
                <w:color w:val="auto"/>
                <w:w w:val="88"/>
              </w:rPr>
              <w:t>FOR</w:t>
            </w:r>
          </w:p>
        </w:tc>
      </w:tr>
      <w:tr>
        <w:trPr>
          <w:trHeight w:val="173"/>
        </w:trPr>
        <w:tc>
          <w:tcPr>
            <w:tcW w:w="160" w:type="dxa"/>
            <w:vAlign w:val="bottom"/>
          </w:tcPr>
          <w:p>
            <w:pPr>
              <w:spacing w:after="0"/>
              <w:rPr>
                <w:sz w:val="15"/>
                <w:szCs w:val="15"/>
                <w:color w:val="auto"/>
              </w:rPr>
            </w:pPr>
          </w:p>
        </w:tc>
        <w:tc>
          <w:tcPr>
            <w:tcW w:w="2800" w:type="dxa"/>
            <w:vAlign w:val="bottom"/>
          </w:tcPr>
          <w:p>
            <w:pPr>
              <w:ind w:left="160"/>
              <w:spacing w:after="0" w:line="174" w:lineRule="exact"/>
              <w:rPr>
                <w:sz w:val="20"/>
                <w:szCs w:val="20"/>
                <w:color w:val="auto"/>
              </w:rPr>
            </w:pPr>
            <w:r>
              <w:rPr>
                <w:rFonts w:ascii="Arial" w:cs="Arial" w:eastAsia="Arial" w:hAnsi="Arial"/>
                <w:sz w:val="16"/>
                <w:szCs w:val="16"/>
                <w:color w:val="auto"/>
              </w:rPr>
              <w:t>Company's Restated Certificate of</w:t>
            </w:r>
          </w:p>
        </w:tc>
        <w:tc>
          <w:tcPr>
            <w:tcW w:w="380" w:type="dxa"/>
            <w:vAlign w:val="bottom"/>
          </w:tcPr>
          <w:p>
            <w:pPr>
              <w:spacing w:after="0"/>
              <w:rPr>
                <w:sz w:val="15"/>
                <w:szCs w:val="15"/>
                <w:color w:val="auto"/>
              </w:rPr>
            </w:pPr>
          </w:p>
        </w:tc>
      </w:tr>
      <w:tr>
        <w:trPr>
          <w:trHeight w:val="187"/>
        </w:trPr>
        <w:tc>
          <w:tcPr>
            <w:tcW w:w="160" w:type="dxa"/>
            <w:vAlign w:val="bottom"/>
          </w:tcPr>
          <w:p>
            <w:pPr>
              <w:spacing w:after="0"/>
              <w:rPr>
                <w:sz w:val="16"/>
                <w:szCs w:val="16"/>
                <w:color w:val="auto"/>
              </w:rPr>
            </w:pPr>
          </w:p>
        </w:tc>
        <w:tc>
          <w:tcPr>
            <w:tcW w:w="2800" w:type="dxa"/>
            <w:vAlign w:val="bottom"/>
          </w:tcPr>
          <w:p>
            <w:pPr>
              <w:ind w:left="160"/>
              <w:spacing w:after="0"/>
              <w:rPr>
                <w:sz w:val="20"/>
                <w:szCs w:val="20"/>
                <w:color w:val="auto"/>
              </w:rPr>
            </w:pPr>
            <w:r>
              <w:rPr>
                <w:rFonts w:ascii="Arial" w:cs="Arial" w:eastAsia="Arial" w:hAnsi="Arial"/>
                <w:sz w:val="16"/>
                <w:szCs w:val="16"/>
                <w:color w:val="auto"/>
              </w:rPr>
              <w:t>Incorporation to eliminate or limit the</w:t>
            </w:r>
          </w:p>
        </w:tc>
        <w:tc>
          <w:tcPr>
            <w:tcW w:w="380" w:type="dxa"/>
            <w:vAlign w:val="bottom"/>
          </w:tcPr>
          <w:p>
            <w:pPr>
              <w:spacing w:after="0"/>
              <w:rPr>
                <w:sz w:val="16"/>
                <w:szCs w:val="16"/>
                <w:color w:val="auto"/>
              </w:rPr>
            </w:pPr>
          </w:p>
        </w:tc>
      </w:tr>
      <w:tr>
        <w:trPr>
          <w:trHeight w:val="187"/>
        </w:trPr>
        <w:tc>
          <w:tcPr>
            <w:tcW w:w="160" w:type="dxa"/>
            <w:vAlign w:val="bottom"/>
          </w:tcPr>
          <w:p>
            <w:pPr>
              <w:spacing w:after="0"/>
              <w:rPr>
                <w:sz w:val="16"/>
                <w:szCs w:val="16"/>
                <w:color w:val="auto"/>
              </w:rPr>
            </w:pPr>
          </w:p>
        </w:tc>
        <w:tc>
          <w:tcPr>
            <w:tcW w:w="2800" w:type="dxa"/>
            <w:vAlign w:val="bottom"/>
          </w:tcPr>
          <w:p>
            <w:pPr>
              <w:ind w:left="160"/>
              <w:spacing w:after="0"/>
              <w:rPr>
                <w:sz w:val="20"/>
                <w:szCs w:val="20"/>
                <w:color w:val="auto"/>
              </w:rPr>
            </w:pPr>
            <w:r>
              <w:rPr>
                <w:rFonts w:ascii="Arial" w:cs="Arial" w:eastAsia="Arial" w:hAnsi="Arial"/>
                <w:sz w:val="16"/>
                <w:szCs w:val="16"/>
                <w:color w:val="auto"/>
              </w:rPr>
              <w:t>liability of officers as provided under</w:t>
            </w:r>
          </w:p>
        </w:tc>
        <w:tc>
          <w:tcPr>
            <w:tcW w:w="380" w:type="dxa"/>
            <w:vAlign w:val="bottom"/>
          </w:tcPr>
          <w:p>
            <w:pPr>
              <w:spacing w:after="0"/>
              <w:rPr>
                <w:sz w:val="16"/>
                <w:szCs w:val="16"/>
                <w:color w:val="auto"/>
              </w:rPr>
            </w:pPr>
          </w:p>
        </w:tc>
      </w:tr>
      <w:tr>
        <w:trPr>
          <w:trHeight w:val="211"/>
        </w:trPr>
        <w:tc>
          <w:tcPr>
            <w:tcW w:w="16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6"/>
                <w:szCs w:val="16"/>
                <w:color w:val="auto"/>
              </w:rPr>
              <w:t>Delaware Law</w:t>
            </w:r>
          </w:p>
        </w:tc>
        <w:tc>
          <w:tcPr>
            <w:tcW w:w="3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FOR; AGAINST;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or ABSTAIN</w:t>
      </w:r>
    </w:p>
    <w:p>
      <w:pPr>
        <w:spacing w:after="0" w:line="392" w:lineRule="exact"/>
        <w:rPr>
          <w:sz w:val="20"/>
          <w:szCs w:val="20"/>
          <w:color w:val="auto"/>
        </w:rPr>
      </w:pPr>
    </w:p>
    <w:p>
      <w:pPr>
        <w:spacing w:after="0"/>
        <w:rPr>
          <w:sz w:val="20"/>
          <w:szCs w:val="20"/>
          <w:color w:val="auto"/>
        </w:rPr>
      </w:pPr>
      <w:r>
        <w:rPr>
          <w:rFonts w:ascii="Arial" w:cs="Arial" w:eastAsia="Arial" w:hAnsi="Arial"/>
          <w:sz w:val="15"/>
          <w:szCs w:val="15"/>
          <w:color w:val="auto"/>
        </w:rPr>
        <w:t>FOR; AGAINST;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or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46355</wp:posOffset>
            </wp:positionV>
            <wp:extent cx="6939280" cy="3048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39280" cy="30480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auto"/>
        </w:rPr>
        <w:t>FOR; AGAINST;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or ABSTAIN</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FOR; AGAINST;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or ABSTAIN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Pr>
          <w:p>
            <w:pPr>
              <w:spacing w:after="0"/>
              <w:rPr>
                <w:sz w:val="20"/>
                <w:szCs w:val="20"/>
                <w:color w:val="auto"/>
              </w:rPr>
            </w:pPr>
            <w:r>
              <w:rPr>
                <w:rFonts w:ascii="Arial" w:cs="Arial" w:eastAsia="Arial" w:hAnsi="Arial"/>
                <w:sz w:val="16"/>
                <w:szCs w:val="16"/>
                <w:color w:val="auto"/>
              </w:rPr>
              <w:t>Majority of votes cast</w:t>
            </w:r>
          </w:p>
        </w:tc>
        <w:tc>
          <w:tcPr>
            <w:tcW w:w="1400" w:type="dxa"/>
            <w:vAlign w:val="bottom"/>
          </w:tcPr>
          <w:p>
            <w:pPr>
              <w:ind w:left="60"/>
              <w:spacing w:after="0"/>
              <w:rPr>
                <w:sz w:val="20"/>
                <w:szCs w:val="20"/>
                <w:color w:val="auto"/>
              </w:rPr>
            </w:pPr>
            <w:r>
              <w:rPr>
                <w:rFonts w:ascii="Arial" w:cs="Arial" w:eastAsia="Arial" w:hAnsi="Arial"/>
                <w:sz w:val="16"/>
                <w:szCs w:val="16"/>
                <w:color w:val="auto"/>
              </w:rPr>
              <w:t>No effect</w:t>
            </w:r>
          </w:p>
        </w:tc>
        <w:tc>
          <w:tcPr>
            <w:tcW w:w="1180" w:type="dxa"/>
            <w:vAlign w:val="bottom"/>
          </w:tcPr>
          <w:p>
            <w:pPr>
              <w:ind w:left="60"/>
              <w:spacing w:after="0"/>
              <w:rPr>
                <w:sz w:val="20"/>
                <w:szCs w:val="20"/>
                <w:color w:val="auto"/>
              </w:rPr>
            </w:pPr>
            <w:r>
              <w:rPr>
                <w:rFonts w:ascii="Arial" w:cs="Arial" w:eastAsia="Arial" w:hAnsi="Arial"/>
                <w:sz w:val="16"/>
                <w:szCs w:val="16"/>
                <w:color w:val="auto"/>
              </w:rPr>
              <w:t>Not applicable</w:t>
            </w:r>
            <w:r>
              <w:rPr>
                <w:rFonts w:ascii="Arial" w:cs="Arial" w:eastAsia="Arial" w:hAnsi="Arial"/>
                <w:sz w:val="20"/>
                <w:szCs w:val="20"/>
                <w:color w:val="auto"/>
                <w:vertAlign w:val="superscript"/>
              </w:rPr>
              <w:t>2</w:t>
            </w:r>
          </w:p>
        </w:tc>
      </w:tr>
      <w:tr>
        <w:trPr>
          <w:trHeight w:val="704"/>
        </w:trPr>
        <w:tc>
          <w:tcPr>
            <w:tcW w:w="1640" w:type="dxa"/>
            <w:vAlign w:val="bottom"/>
          </w:tcPr>
          <w:p>
            <w:pPr>
              <w:spacing w:after="0"/>
              <w:rPr>
                <w:sz w:val="20"/>
                <w:szCs w:val="20"/>
                <w:color w:val="auto"/>
              </w:rPr>
            </w:pPr>
            <w:r>
              <w:rPr>
                <w:rFonts w:ascii="Arial" w:cs="Arial" w:eastAsia="Arial" w:hAnsi="Arial"/>
                <w:sz w:val="16"/>
                <w:szCs w:val="16"/>
                <w:color w:val="auto"/>
              </w:rPr>
              <w:t>Majority of votes cast</w:t>
            </w:r>
          </w:p>
        </w:tc>
        <w:tc>
          <w:tcPr>
            <w:tcW w:w="1400" w:type="dxa"/>
            <w:vAlign w:val="bottom"/>
          </w:tcPr>
          <w:p>
            <w:pPr>
              <w:ind w:left="60"/>
              <w:spacing w:after="0"/>
              <w:rPr>
                <w:sz w:val="20"/>
                <w:szCs w:val="20"/>
                <w:color w:val="auto"/>
              </w:rPr>
            </w:pPr>
            <w:r>
              <w:rPr>
                <w:rFonts w:ascii="Arial" w:cs="Arial" w:eastAsia="Arial" w:hAnsi="Arial"/>
                <w:sz w:val="16"/>
                <w:szCs w:val="16"/>
                <w:color w:val="auto"/>
              </w:rPr>
              <w:t>No effect</w:t>
            </w:r>
          </w:p>
        </w:tc>
        <w:tc>
          <w:tcPr>
            <w:tcW w:w="1180" w:type="dxa"/>
            <w:vAlign w:val="bottom"/>
          </w:tcPr>
          <w:p>
            <w:pPr>
              <w:ind w:left="60"/>
              <w:spacing w:after="0"/>
              <w:rPr>
                <w:sz w:val="20"/>
                <w:szCs w:val="20"/>
                <w:color w:val="auto"/>
              </w:rPr>
            </w:pPr>
            <w:r>
              <w:rPr>
                <w:rFonts w:ascii="Arial" w:cs="Arial" w:eastAsia="Arial" w:hAnsi="Arial"/>
                <w:sz w:val="16"/>
                <w:szCs w:val="16"/>
                <w:color w:val="auto"/>
              </w:rPr>
              <w:t>No effect</w:t>
            </w:r>
          </w:p>
        </w:tc>
      </w:tr>
      <w:tr>
        <w:trPr>
          <w:trHeight w:val="480"/>
        </w:trPr>
        <w:tc>
          <w:tcPr>
            <w:tcW w:w="1640" w:type="dxa"/>
            <w:vAlign w:val="bottom"/>
          </w:tcPr>
          <w:p>
            <w:pPr>
              <w:spacing w:after="0"/>
              <w:rPr>
                <w:sz w:val="20"/>
                <w:szCs w:val="20"/>
                <w:color w:val="auto"/>
              </w:rPr>
            </w:pPr>
            <w:r>
              <w:rPr>
                <w:rFonts w:ascii="Arial" w:cs="Arial" w:eastAsia="Arial" w:hAnsi="Arial"/>
                <w:sz w:val="16"/>
                <w:szCs w:val="16"/>
                <w:color w:val="auto"/>
              </w:rPr>
              <w:t>Majority of votes cast</w:t>
            </w:r>
          </w:p>
        </w:tc>
        <w:tc>
          <w:tcPr>
            <w:tcW w:w="1400" w:type="dxa"/>
            <w:vAlign w:val="bottom"/>
          </w:tcPr>
          <w:p>
            <w:pPr>
              <w:ind w:left="60"/>
              <w:spacing w:after="0"/>
              <w:rPr>
                <w:sz w:val="20"/>
                <w:szCs w:val="20"/>
                <w:color w:val="auto"/>
              </w:rPr>
            </w:pPr>
            <w:r>
              <w:rPr>
                <w:rFonts w:ascii="Arial" w:cs="Arial" w:eastAsia="Arial" w:hAnsi="Arial"/>
                <w:sz w:val="16"/>
                <w:szCs w:val="16"/>
                <w:color w:val="auto"/>
              </w:rPr>
              <w:t>No effect</w:t>
            </w:r>
          </w:p>
        </w:tc>
        <w:tc>
          <w:tcPr>
            <w:tcW w:w="1180" w:type="dxa"/>
            <w:vAlign w:val="bottom"/>
          </w:tcPr>
          <w:p>
            <w:pPr>
              <w:ind w:left="60"/>
              <w:spacing w:after="0"/>
              <w:rPr>
                <w:sz w:val="20"/>
                <w:szCs w:val="20"/>
                <w:color w:val="auto"/>
              </w:rPr>
            </w:pPr>
            <w:r>
              <w:rPr>
                <w:rFonts w:ascii="Arial" w:cs="Arial" w:eastAsia="Arial" w:hAnsi="Arial"/>
                <w:sz w:val="16"/>
                <w:szCs w:val="16"/>
                <w:color w:val="auto"/>
              </w:rPr>
              <w:t>No effect</w:t>
            </w:r>
          </w:p>
        </w:tc>
      </w:tr>
      <w:tr>
        <w:trPr>
          <w:trHeight w:val="456"/>
        </w:trPr>
        <w:tc>
          <w:tcPr>
            <w:tcW w:w="1640" w:type="dxa"/>
            <w:vAlign w:val="bottom"/>
          </w:tcPr>
          <w:p>
            <w:pPr>
              <w:spacing w:after="0"/>
              <w:rPr>
                <w:sz w:val="20"/>
                <w:szCs w:val="20"/>
                <w:color w:val="auto"/>
              </w:rPr>
            </w:pPr>
            <w:r>
              <w:rPr>
                <w:rFonts w:ascii="Arial" w:cs="Arial" w:eastAsia="Arial" w:hAnsi="Arial"/>
                <w:sz w:val="16"/>
                <w:szCs w:val="16"/>
                <w:color w:val="auto"/>
              </w:rPr>
              <w:t>Majority of shares</w:t>
            </w:r>
          </w:p>
        </w:tc>
        <w:tc>
          <w:tcPr>
            <w:tcW w:w="1400" w:type="dxa"/>
            <w:vAlign w:val="bottom"/>
          </w:tcPr>
          <w:p>
            <w:pPr>
              <w:ind w:left="60"/>
              <w:spacing w:after="0"/>
              <w:rPr>
                <w:sz w:val="20"/>
                <w:szCs w:val="20"/>
                <w:color w:val="auto"/>
              </w:rPr>
            </w:pPr>
            <w:r>
              <w:rPr>
                <w:rFonts w:ascii="Arial" w:cs="Arial" w:eastAsia="Arial" w:hAnsi="Arial"/>
                <w:sz w:val="16"/>
                <w:szCs w:val="16"/>
                <w:color w:val="auto"/>
              </w:rPr>
              <w:t>Abstentions will</w:t>
            </w:r>
          </w:p>
        </w:tc>
        <w:tc>
          <w:tcPr>
            <w:tcW w:w="1180" w:type="dxa"/>
            <w:vAlign w:val="bottom"/>
          </w:tcPr>
          <w:p>
            <w:pPr>
              <w:ind w:left="60"/>
              <w:spacing w:after="0"/>
              <w:rPr>
                <w:sz w:val="20"/>
                <w:szCs w:val="20"/>
                <w:color w:val="auto"/>
              </w:rPr>
            </w:pPr>
            <w:r>
              <w:rPr>
                <w:rFonts w:ascii="Arial" w:cs="Arial" w:eastAsia="Arial" w:hAnsi="Arial"/>
                <w:sz w:val="16"/>
                <w:szCs w:val="16"/>
                <w:color w:val="auto"/>
              </w:rPr>
              <w:t>Broker non-</w:t>
            </w:r>
          </w:p>
        </w:tc>
      </w:tr>
      <w:tr>
        <w:trPr>
          <w:trHeight w:val="173"/>
        </w:trPr>
        <w:tc>
          <w:tcPr>
            <w:tcW w:w="1640" w:type="dxa"/>
            <w:vAlign w:val="bottom"/>
          </w:tcPr>
          <w:p>
            <w:pPr>
              <w:spacing w:after="0" w:line="174" w:lineRule="exact"/>
              <w:rPr>
                <w:sz w:val="20"/>
                <w:szCs w:val="20"/>
                <w:color w:val="auto"/>
              </w:rPr>
            </w:pPr>
            <w:r>
              <w:rPr>
                <w:rFonts w:ascii="Arial" w:cs="Arial" w:eastAsia="Arial" w:hAnsi="Arial"/>
                <w:sz w:val="16"/>
                <w:szCs w:val="16"/>
                <w:color w:val="auto"/>
              </w:rPr>
              <w:t>outstanding entitled to</w:t>
            </w:r>
          </w:p>
        </w:tc>
        <w:tc>
          <w:tcPr>
            <w:tcW w:w="1400" w:type="dxa"/>
            <w:vAlign w:val="bottom"/>
          </w:tcPr>
          <w:p>
            <w:pPr>
              <w:ind w:left="60"/>
              <w:spacing w:after="0" w:line="174" w:lineRule="exact"/>
              <w:rPr>
                <w:sz w:val="20"/>
                <w:szCs w:val="20"/>
                <w:color w:val="auto"/>
              </w:rPr>
            </w:pPr>
            <w:r>
              <w:rPr>
                <w:rFonts w:ascii="Arial" w:cs="Arial" w:eastAsia="Arial" w:hAnsi="Arial"/>
                <w:sz w:val="16"/>
                <w:szCs w:val="16"/>
                <w:color w:val="auto"/>
              </w:rPr>
              <w:t>have the effect of</w:t>
            </w:r>
          </w:p>
        </w:tc>
        <w:tc>
          <w:tcPr>
            <w:tcW w:w="1180" w:type="dxa"/>
            <w:vAlign w:val="bottom"/>
          </w:tcPr>
          <w:p>
            <w:pPr>
              <w:ind w:left="60"/>
              <w:spacing w:after="0" w:line="174" w:lineRule="exact"/>
              <w:rPr>
                <w:sz w:val="20"/>
                <w:szCs w:val="20"/>
                <w:color w:val="auto"/>
              </w:rPr>
            </w:pPr>
            <w:r>
              <w:rPr>
                <w:rFonts w:ascii="Arial" w:cs="Arial" w:eastAsia="Arial" w:hAnsi="Arial"/>
                <w:sz w:val="16"/>
                <w:szCs w:val="16"/>
                <w:color w:val="auto"/>
              </w:rPr>
              <w:t>votes will have</w:t>
            </w:r>
          </w:p>
        </w:tc>
      </w:tr>
      <w:tr>
        <w:trPr>
          <w:trHeight w:val="187"/>
        </w:trPr>
        <w:tc>
          <w:tcPr>
            <w:tcW w:w="1640" w:type="dxa"/>
            <w:vAlign w:val="bottom"/>
          </w:tcPr>
          <w:p>
            <w:pPr>
              <w:spacing w:after="0"/>
              <w:rPr>
                <w:sz w:val="20"/>
                <w:szCs w:val="20"/>
                <w:color w:val="auto"/>
              </w:rPr>
            </w:pPr>
            <w:r>
              <w:rPr>
                <w:rFonts w:ascii="Arial" w:cs="Arial" w:eastAsia="Arial" w:hAnsi="Arial"/>
                <w:sz w:val="16"/>
                <w:szCs w:val="16"/>
                <w:color w:val="auto"/>
              </w:rPr>
              <w:t>vote on the proposal</w:t>
            </w:r>
          </w:p>
        </w:tc>
        <w:tc>
          <w:tcPr>
            <w:tcW w:w="1400" w:type="dxa"/>
            <w:vAlign w:val="bottom"/>
          </w:tcPr>
          <w:p>
            <w:pPr>
              <w:ind w:left="60"/>
              <w:spacing w:after="0"/>
              <w:rPr>
                <w:sz w:val="20"/>
                <w:szCs w:val="20"/>
                <w:color w:val="auto"/>
              </w:rPr>
            </w:pPr>
            <w:r>
              <w:rPr>
                <w:rFonts w:ascii="Arial" w:cs="Arial" w:eastAsia="Arial" w:hAnsi="Arial"/>
                <w:sz w:val="16"/>
                <w:szCs w:val="16"/>
                <w:color w:val="auto"/>
              </w:rPr>
              <w:t>a vote against the</w:t>
            </w:r>
          </w:p>
        </w:tc>
        <w:tc>
          <w:tcPr>
            <w:tcW w:w="1180" w:type="dxa"/>
            <w:vAlign w:val="bottom"/>
          </w:tcPr>
          <w:p>
            <w:pPr>
              <w:ind w:left="60"/>
              <w:spacing w:after="0"/>
              <w:rPr>
                <w:sz w:val="20"/>
                <w:szCs w:val="20"/>
                <w:color w:val="auto"/>
              </w:rPr>
            </w:pPr>
            <w:r>
              <w:rPr>
                <w:rFonts w:ascii="Arial" w:cs="Arial" w:eastAsia="Arial" w:hAnsi="Arial"/>
                <w:sz w:val="16"/>
                <w:szCs w:val="16"/>
                <w:color w:val="auto"/>
              </w:rPr>
              <w:t>the effect of a</w:t>
            </w:r>
          </w:p>
        </w:tc>
      </w:tr>
      <w:tr>
        <w:trPr>
          <w:trHeight w:val="187"/>
        </w:trPr>
        <w:tc>
          <w:tcPr>
            <w:tcW w:w="1640" w:type="dxa"/>
            <w:vAlign w:val="bottom"/>
          </w:tcPr>
          <w:p>
            <w:pPr>
              <w:spacing w:after="0"/>
              <w:rPr>
                <w:sz w:val="16"/>
                <w:szCs w:val="16"/>
                <w:color w:val="auto"/>
              </w:rPr>
            </w:pPr>
          </w:p>
        </w:tc>
        <w:tc>
          <w:tcPr>
            <w:tcW w:w="1400" w:type="dxa"/>
            <w:vAlign w:val="bottom"/>
          </w:tcPr>
          <w:p>
            <w:pPr>
              <w:ind w:left="60"/>
              <w:spacing w:after="0"/>
              <w:rPr>
                <w:sz w:val="20"/>
                <w:szCs w:val="20"/>
                <w:color w:val="auto"/>
              </w:rPr>
            </w:pPr>
            <w:r>
              <w:rPr>
                <w:rFonts w:ascii="Arial" w:cs="Arial" w:eastAsia="Arial" w:hAnsi="Arial"/>
                <w:sz w:val="16"/>
                <w:szCs w:val="16"/>
                <w:color w:val="auto"/>
              </w:rPr>
              <w:t>proposal</w:t>
            </w:r>
          </w:p>
        </w:tc>
        <w:tc>
          <w:tcPr>
            <w:tcW w:w="1180" w:type="dxa"/>
            <w:vAlign w:val="bottom"/>
          </w:tcPr>
          <w:p>
            <w:pPr>
              <w:ind w:left="60"/>
              <w:spacing w:after="0"/>
              <w:rPr>
                <w:sz w:val="20"/>
                <w:szCs w:val="20"/>
                <w:color w:val="auto"/>
              </w:rPr>
            </w:pPr>
            <w:r>
              <w:rPr>
                <w:rFonts w:ascii="Arial" w:cs="Arial" w:eastAsia="Arial" w:hAnsi="Arial"/>
                <w:sz w:val="16"/>
                <w:szCs w:val="16"/>
                <w:color w:val="auto"/>
                <w:w w:val="97"/>
              </w:rPr>
              <w:t>vote against the</w:t>
            </w:r>
          </w:p>
        </w:tc>
      </w:tr>
      <w:tr>
        <w:trPr>
          <w:trHeight w:val="211"/>
        </w:trPr>
        <w:tc>
          <w:tcPr>
            <w:tcW w:w="1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Arial" w:cs="Arial" w:eastAsia="Arial" w:hAnsi="Arial"/>
                <w:sz w:val="16"/>
                <w:szCs w:val="16"/>
                <w:color w:val="auto"/>
              </w:rPr>
              <w:t>proposal</w:t>
            </w:r>
          </w:p>
        </w:tc>
      </w:tr>
    </w:tbl>
    <w:p>
      <w:pPr>
        <w:spacing w:after="0" w:line="30" w:lineRule="exact"/>
        <w:rPr>
          <w:sz w:val="20"/>
          <w:szCs w:val="20"/>
          <w:color w:val="auto"/>
        </w:rPr>
      </w:pPr>
    </w:p>
    <w:p>
      <w:pPr>
        <w:sectPr>
          <w:pgSz w:w="11900" w:h="16838" w:orient="portrait"/>
          <w:cols w:equalWidth="0" w:num="3">
            <w:col w:w="3960" w:space="720"/>
            <w:col w:w="1220" w:space="720"/>
            <w:col w:w="4620"/>
          </w:cols>
          <w:pgMar w:left="320" w:top="1343" w:right="3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2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6. Approval of an amendment to the</w:t>
            </w:r>
          </w:p>
        </w:tc>
        <w:tc>
          <w:tcPr>
            <w:tcW w:w="940" w:type="dxa"/>
            <w:vAlign w:val="bottom"/>
            <w:shd w:val="clear" w:color="auto" w:fill="DBDBDB"/>
          </w:tcPr>
          <w:p>
            <w:pPr>
              <w:ind w:left="100"/>
              <w:spacing w:after="0"/>
              <w:rPr>
                <w:sz w:val="20"/>
                <w:szCs w:val="20"/>
                <w:color w:val="auto"/>
              </w:rPr>
            </w:pPr>
            <w:r>
              <w:rPr>
                <w:rFonts w:ascii="Arial" w:cs="Arial" w:eastAsia="Arial" w:hAnsi="Arial"/>
                <w:sz w:val="16"/>
                <w:szCs w:val="16"/>
                <w:b w:val="1"/>
                <w:bCs w:val="1"/>
                <w:color w:val="auto"/>
              </w:rPr>
              <w:t>FOR</w:t>
            </w:r>
          </w:p>
        </w:tc>
        <w:tc>
          <w:tcPr>
            <w:tcW w:w="2340" w:type="dxa"/>
            <w:vAlign w:val="bottom"/>
            <w:shd w:val="clear" w:color="auto" w:fill="DBDBDB"/>
          </w:tcPr>
          <w:p>
            <w:pPr>
              <w:ind w:left="800"/>
              <w:spacing w:after="0"/>
              <w:rPr>
                <w:sz w:val="20"/>
                <w:szCs w:val="20"/>
                <w:color w:val="auto"/>
              </w:rPr>
            </w:pPr>
            <w:r>
              <w:rPr>
                <w:rFonts w:ascii="Arial" w:cs="Arial" w:eastAsia="Arial" w:hAnsi="Arial"/>
                <w:sz w:val="16"/>
                <w:szCs w:val="16"/>
                <w:color w:val="auto"/>
              </w:rPr>
              <w:t>FOR; AGAINST;</w:t>
            </w:r>
          </w:p>
        </w:tc>
        <w:tc>
          <w:tcPr>
            <w:tcW w:w="2040" w:type="dxa"/>
            <w:vAlign w:val="bottom"/>
            <w:shd w:val="clear" w:color="auto" w:fill="DBDBDB"/>
          </w:tcPr>
          <w:p>
            <w:pPr>
              <w:ind w:left="400"/>
              <w:spacing w:after="0"/>
              <w:rPr>
                <w:sz w:val="20"/>
                <w:szCs w:val="20"/>
                <w:color w:val="auto"/>
              </w:rPr>
            </w:pPr>
            <w:r>
              <w:rPr>
                <w:rFonts w:ascii="Arial" w:cs="Arial" w:eastAsia="Arial" w:hAnsi="Arial"/>
                <w:sz w:val="16"/>
                <w:szCs w:val="16"/>
                <w:color w:val="auto"/>
              </w:rPr>
              <w:t>Majority of shares</w:t>
            </w:r>
          </w:p>
        </w:tc>
        <w:tc>
          <w:tcPr>
            <w:tcW w:w="1400" w:type="dxa"/>
            <w:vAlign w:val="bottom"/>
            <w:shd w:val="clear" w:color="auto" w:fill="DBDBDB"/>
          </w:tcPr>
          <w:p>
            <w:pPr>
              <w:ind w:left="60"/>
              <w:spacing w:after="0"/>
              <w:rPr>
                <w:sz w:val="20"/>
                <w:szCs w:val="20"/>
                <w:color w:val="auto"/>
              </w:rPr>
            </w:pPr>
            <w:r>
              <w:rPr>
                <w:rFonts w:ascii="Arial" w:cs="Arial" w:eastAsia="Arial" w:hAnsi="Arial"/>
                <w:sz w:val="16"/>
                <w:szCs w:val="16"/>
                <w:color w:val="auto"/>
              </w:rPr>
              <w:t>Abstentions will</w:t>
            </w:r>
          </w:p>
        </w:tc>
        <w:tc>
          <w:tcPr>
            <w:tcW w:w="1280" w:type="dxa"/>
            <w:vAlign w:val="bottom"/>
            <w:shd w:val="clear" w:color="auto" w:fill="DBDBDB"/>
          </w:tcPr>
          <w:p>
            <w:pPr>
              <w:ind w:left="60"/>
              <w:spacing w:after="0"/>
              <w:rPr>
                <w:sz w:val="20"/>
                <w:szCs w:val="20"/>
                <w:color w:val="auto"/>
              </w:rPr>
            </w:pPr>
            <w:r>
              <w:rPr>
                <w:rFonts w:ascii="Arial" w:cs="Arial" w:eastAsia="Arial" w:hAnsi="Arial"/>
                <w:sz w:val="16"/>
                <w:szCs w:val="16"/>
                <w:color w:val="auto"/>
              </w:rPr>
              <w:t>Broker non-</w:t>
            </w:r>
          </w:p>
        </w:tc>
      </w:tr>
      <w:tr>
        <w:trPr>
          <w:trHeight w:val="188"/>
        </w:trPr>
        <w:tc>
          <w:tcPr>
            <w:tcW w:w="2940" w:type="dxa"/>
            <w:vAlign w:val="bottom"/>
            <w:shd w:val="clear" w:color="auto" w:fill="DBDBDB"/>
          </w:tcPr>
          <w:p>
            <w:pPr>
              <w:ind w:left="340"/>
              <w:spacing w:after="0"/>
              <w:rPr>
                <w:sz w:val="20"/>
                <w:szCs w:val="20"/>
                <w:color w:val="auto"/>
              </w:rPr>
            </w:pPr>
            <w:r>
              <w:rPr>
                <w:rFonts w:ascii="Arial" w:cs="Arial" w:eastAsia="Arial" w:hAnsi="Arial"/>
                <w:sz w:val="16"/>
                <w:szCs w:val="16"/>
                <w:color w:val="auto"/>
              </w:rPr>
              <w:t>Company's Restated Certificate of</w:t>
            </w:r>
          </w:p>
        </w:tc>
        <w:tc>
          <w:tcPr>
            <w:tcW w:w="940" w:type="dxa"/>
            <w:vAlign w:val="bottom"/>
            <w:shd w:val="clear" w:color="auto" w:fill="DBDBDB"/>
          </w:tcPr>
          <w:p>
            <w:pPr>
              <w:spacing w:after="0"/>
              <w:rPr>
                <w:sz w:val="16"/>
                <w:szCs w:val="16"/>
                <w:color w:val="auto"/>
              </w:rPr>
            </w:pPr>
          </w:p>
        </w:tc>
        <w:tc>
          <w:tcPr>
            <w:tcW w:w="2340" w:type="dxa"/>
            <w:vAlign w:val="bottom"/>
            <w:shd w:val="clear" w:color="auto" w:fill="DBDBDB"/>
          </w:tcPr>
          <w:p>
            <w:pPr>
              <w:ind w:left="800"/>
              <w:spacing w:after="0"/>
              <w:rPr>
                <w:sz w:val="20"/>
                <w:szCs w:val="20"/>
                <w:color w:val="auto"/>
              </w:rPr>
            </w:pPr>
            <w:r>
              <w:rPr>
                <w:rFonts w:ascii="Arial" w:cs="Arial" w:eastAsia="Arial" w:hAnsi="Arial"/>
                <w:sz w:val="16"/>
                <w:szCs w:val="16"/>
                <w:color w:val="auto"/>
              </w:rPr>
              <w:t>or ABSTAIN</w:t>
            </w:r>
          </w:p>
        </w:tc>
        <w:tc>
          <w:tcPr>
            <w:tcW w:w="2040" w:type="dxa"/>
            <w:vAlign w:val="bottom"/>
            <w:shd w:val="clear" w:color="auto" w:fill="DBDBDB"/>
          </w:tcPr>
          <w:p>
            <w:pPr>
              <w:ind w:left="400"/>
              <w:spacing w:after="0"/>
              <w:rPr>
                <w:sz w:val="20"/>
                <w:szCs w:val="20"/>
                <w:color w:val="auto"/>
              </w:rPr>
            </w:pPr>
            <w:r>
              <w:rPr>
                <w:rFonts w:ascii="Arial" w:cs="Arial" w:eastAsia="Arial" w:hAnsi="Arial"/>
                <w:sz w:val="16"/>
                <w:szCs w:val="16"/>
                <w:color w:val="auto"/>
              </w:rPr>
              <w:t>outstanding entitled to</w:t>
            </w:r>
          </w:p>
        </w:tc>
        <w:tc>
          <w:tcPr>
            <w:tcW w:w="1400" w:type="dxa"/>
            <w:vAlign w:val="bottom"/>
            <w:shd w:val="clear" w:color="auto" w:fill="DBDBDB"/>
          </w:tcPr>
          <w:p>
            <w:pPr>
              <w:ind w:left="60"/>
              <w:spacing w:after="0"/>
              <w:rPr>
                <w:sz w:val="20"/>
                <w:szCs w:val="20"/>
                <w:color w:val="auto"/>
              </w:rPr>
            </w:pPr>
            <w:r>
              <w:rPr>
                <w:rFonts w:ascii="Arial" w:cs="Arial" w:eastAsia="Arial" w:hAnsi="Arial"/>
                <w:sz w:val="16"/>
                <w:szCs w:val="16"/>
                <w:color w:val="auto"/>
              </w:rPr>
              <w:t>have the effect of</w:t>
            </w:r>
          </w:p>
        </w:tc>
        <w:tc>
          <w:tcPr>
            <w:tcW w:w="1280" w:type="dxa"/>
            <w:vAlign w:val="bottom"/>
            <w:shd w:val="clear" w:color="auto" w:fill="DBDBDB"/>
          </w:tcPr>
          <w:p>
            <w:pPr>
              <w:ind w:left="60"/>
              <w:spacing w:after="0"/>
              <w:rPr>
                <w:sz w:val="20"/>
                <w:szCs w:val="20"/>
                <w:color w:val="auto"/>
              </w:rPr>
            </w:pPr>
            <w:r>
              <w:rPr>
                <w:rFonts w:ascii="Arial" w:cs="Arial" w:eastAsia="Arial" w:hAnsi="Arial"/>
                <w:sz w:val="16"/>
                <w:szCs w:val="16"/>
                <w:color w:val="auto"/>
              </w:rPr>
              <w:t>votes will have</w:t>
            </w:r>
          </w:p>
        </w:tc>
      </w:tr>
      <w:tr>
        <w:trPr>
          <w:trHeight w:val="173"/>
        </w:trPr>
        <w:tc>
          <w:tcPr>
            <w:tcW w:w="2940" w:type="dxa"/>
            <w:vAlign w:val="bottom"/>
            <w:shd w:val="clear" w:color="auto" w:fill="DBDBDB"/>
          </w:tcPr>
          <w:p>
            <w:pPr>
              <w:ind w:left="340"/>
              <w:spacing w:after="0" w:line="173" w:lineRule="exact"/>
              <w:rPr>
                <w:sz w:val="20"/>
                <w:szCs w:val="20"/>
                <w:color w:val="auto"/>
              </w:rPr>
            </w:pPr>
            <w:r>
              <w:rPr>
                <w:rFonts w:ascii="Arial" w:cs="Arial" w:eastAsia="Arial" w:hAnsi="Arial"/>
                <w:sz w:val="16"/>
                <w:szCs w:val="16"/>
                <w:color w:val="auto"/>
              </w:rPr>
              <w:t>Incorporation to change the par</w:t>
            </w:r>
          </w:p>
        </w:tc>
        <w:tc>
          <w:tcPr>
            <w:tcW w:w="940" w:type="dxa"/>
            <w:vAlign w:val="bottom"/>
            <w:shd w:val="clear" w:color="auto" w:fill="DBDBDB"/>
          </w:tcPr>
          <w:p>
            <w:pPr>
              <w:spacing w:after="0"/>
              <w:rPr>
                <w:sz w:val="15"/>
                <w:szCs w:val="15"/>
                <w:color w:val="auto"/>
              </w:rPr>
            </w:pPr>
          </w:p>
        </w:tc>
        <w:tc>
          <w:tcPr>
            <w:tcW w:w="2340" w:type="dxa"/>
            <w:vAlign w:val="bottom"/>
            <w:shd w:val="clear" w:color="auto" w:fill="DBDBDB"/>
          </w:tcPr>
          <w:p>
            <w:pPr>
              <w:spacing w:after="0"/>
              <w:rPr>
                <w:sz w:val="15"/>
                <w:szCs w:val="15"/>
                <w:color w:val="auto"/>
              </w:rPr>
            </w:pPr>
          </w:p>
        </w:tc>
        <w:tc>
          <w:tcPr>
            <w:tcW w:w="2040" w:type="dxa"/>
            <w:vAlign w:val="bottom"/>
            <w:shd w:val="clear" w:color="auto" w:fill="DBDBDB"/>
          </w:tcPr>
          <w:p>
            <w:pPr>
              <w:ind w:left="400"/>
              <w:spacing w:after="0" w:line="173" w:lineRule="exact"/>
              <w:rPr>
                <w:sz w:val="20"/>
                <w:szCs w:val="20"/>
                <w:color w:val="auto"/>
              </w:rPr>
            </w:pPr>
            <w:r>
              <w:rPr>
                <w:rFonts w:ascii="Arial" w:cs="Arial" w:eastAsia="Arial" w:hAnsi="Arial"/>
                <w:sz w:val="16"/>
                <w:szCs w:val="16"/>
                <w:color w:val="auto"/>
              </w:rPr>
              <w:t>vote on the proposal</w:t>
            </w:r>
          </w:p>
        </w:tc>
        <w:tc>
          <w:tcPr>
            <w:tcW w:w="1400" w:type="dxa"/>
            <w:vAlign w:val="bottom"/>
            <w:shd w:val="clear" w:color="auto" w:fill="DBDBDB"/>
          </w:tcPr>
          <w:p>
            <w:pPr>
              <w:ind w:left="60"/>
              <w:spacing w:after="0" w:line="173" w:lineRule="exact"/>
              <w:rPr>
                <w:sz w:val="20"/>
                <w:szCs w:val="20"/>
                <w:color w:val="auto"/>
              </w:rPr>
            </w:pPr>
            <w:r>
              <w:rPr>
                <w:rFonts w:ascii="Arial" w:cs="Arial" w:eastAsia="Arial" w:hAnsi="Arial"/>
                <w:sz w:val="16"/>
                <w:szCs w:val="16"/>
                <w:color w:val="auto"/>
              </w:rPr>
              <w:t>a vote against the</w:t>
            </w:r>
          </w:p>
        </w:tc>
        <w:tc>
          <w:tcPr>
            <w:tcW w:w="1280" w:type="dxa"/>
            <w:vAlign w:val="bottom"/>
            <w:shd w:val="clear" w:color="auto" w:fill="DBDBDB"/>
          </w:tcPr>
          <w:p>
            <w:pPr>
              <w:ind w:left="60"/>
              <w:spacing w:after="0" w:line="173" w:lineRule="exact"/>
              <w:rPr>
                <w:sz w:val="20"/>
                <w:szCs w:val="20"/>
                <w:color w:val="auto"/>
              </w:rPr>
            </w:pPr>
            <w:r>
              <w:rPr>
                <w:rFonts w:ascii="Arial" w:cs="Arial" w:eastAsia="Arial" w:hAnsi="Arial"/>
                <w:sz w:val="16"/>
                <w:szCs w:val="16"/>
                <w:color w:val="auto"/>
              </w:rPr>
              <w:t>the effect of a</w:t>
            </w:r>
          </w:p>
        </w:tc>
      </w:tr>
      <w:tr>
        <w:trPr>
          <w:trHeight w:val="187"/>
        </w:trPr>
        <w:tc>
          <w:tcPr>
            <w:tcW w:w="2940" w:type="dxa"/>
            <w:vAlign w:val="bottom"/>
            <w:shd w:val="clear" w:color="auto" w:fill="DBDBDB"/>
          </w:tcPr>
          <w:p>
            <w:pPr>
              <w:ind w:left="340"/>
              <w:spacing w:after="0"/>
              <w:rPr>
                <w:sz w:val="20"/>
                <w:szCs w:val="20"/>
                <w:color w:val="auto"/>
              </w:rPr>
            </w:pPr>
            <w:r>
              <w:rPr>
                <w:rFonts w:ascii="Arial" w:cs="Arial" w:eastAsia="Arial" w:hAnsi="Arial"/>
                <w:sz w:val="16"/>
                <w:szCs w:val="16"/>
                <w:color w:val="auto"/>
              </w:rPr>
              <w:t>value of all capital stock from $1.00</w:t>
            </w:r>
          </w:p>
        </w:tc>
        <w:tc>
          <w:tcPr>
            <w:tcW w:w="940" w:type="dxa"/>
            <w:vAlign w:val="bottom"/>
            <w:shd w:val="clear" w:color="auto" w:fill="DBDBDB"/>
          </w:tcPr>
          <w:p>
            <w:pPr>
              <w:spacing w:after="0"/>
              <w:rPr>
                <w:sz w:val="16"/>
                <w:szCs w:val="16"/>
                <w:color w:val="auto"/>
              </w:rPr>
            </w:pPr>
          </w:p>
        </w:tc>
        <w:tc>
          <w:tcPr>
            <w:tcW w:w="2340" w:type="dxa"/>
            <w:vAlign w:val="bottom"/>
            <w:shd w:val="clear" w:color="auto" w:fill="DBDBDB"/>
          </w:tcPr>
          <w:p>
            <w:pPr>
              <w:spacing w:after="0"/>
              <w:rPr>
                <w:sz w:val="16"/>
                <w:szCs w:val="16"/>
                <w:color w:val="auto"/>
              </w:rPr>
            </w:pPr>
          </w:p>
        </w:tc>
        <w:tc>
          <w:tcPr>
            <w:tcW w:w="2040" w:type="dxa"/>
            <w:vAlign w:val="bottom"/>
            <w:shd w:val="clear" w:color="auto" w:fill="DBDBDB"/>
          </w:tcPr>
          <w:p>
            <w:pPr>
              <w:spacing w:after="0"/>
              <w:rPr>
                <w:sz w:val="16"/>
                <w:szCs w:val="16"/>
                <w:color w:val="auto"/>
              </w:rPr>
            </w:pPr>
          </w:p>
        </w:tc>
        <w:tc>
          <w:tcPr>
            <w:tcW w:w="1400" w:type="dxa"/>
            <w:vAlign w:val="bottom"/>
            <w:shd w:val="clear" w:color="auto" w:fill="DBDBDB"/>
          </w:tcPr>
          <w:p>
            <w:pPr>
              <w:ind w:left="60"/>
              <w:spacing w:after="0"/>
              <w:rPr>
                <w:sz w:val="20"/>
                <w:szCs w:val="20"/>
                <w:color w:val="auto"/>
              </w:rPr>
            </w:pPr>
            <w:r>
              <w:rPr>
                <w:rFonts w:ascii="Arial" w:cs="Arial" w:eastAsia="Arial" w:hAnsi="Arial"/>
                <w:sz w:val="16"/>
                <w:szCs w:val="16"/>
                <w:color w:val="auto"/>
              </w:rPr>
              <w:t>proposal</w:t>
            </w:r>
          </w:p>
        </w:tc>
        <w:tc>
          <w:tcPr>
            <w:tcW w:w="1280" w:type="dxa"/>
            <w:vAlign w:val="bottom"/>
            <w:shd w:val="clear" w:color="auto" w:fill="DBDBDB"/>
          </w:tcPr>
          <w:p>
            <w:pPr>
              <w:ind w:left="60"/>
              <w:spacing w:after="0"/>
              <w:rPr>
                <w:sz w:val="20"/>
                <w:szCs w:val="20"/>
                <w:color w:val="auto"/>
              </w:rPr>
            </w:pPr>
            <w:r>
              <w:rPr>
                <w:rFonts w:ascii="Arial" w:cs="Arial" w:eastAsia="Arial" w:hAnsi="Arial"/>
                <w:sz w:val="16"/>
                <w:szCs w:val="16"/>
                <w:color w:val="auto"/>
              </w:rPr>
              <w:t>vote against the</w:t>
            </w:r>
          </w:p>
        </w:tc>
      </w:tr>
      <w:tr>
        <w:trPr>
          <w:trHeight w:val="221"/>
        </w:trPr>
        <w:tc>
          <w:tcPr>
            <w:tcW w:w="294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6"/>
                <w:szCs w:val="16"/>
                <w:color w:val="auto"/>
              </w:rPr>
              <w:t>to $0.01 per share</w:t>
            </w:r>
          </w:p>
        </w:tc>
        <w:tc>
          <w:tcPr>
            <w:tcW w:w="940" w:type="dxa"/>
            <w:vAlign w:val="bottom"/>
            <w:tcBorders>
              <w:bottom w:val="single" w:sz="8" w:color="DBDBDB"/>
            </w:tcBorders>
            <w:shd w:val="clear" w:color="auto" w:fill="DBDBDB"/>
          </w:tcPr>
          <w:p>
            <w:pPr>
              <w:spacing w:after="0"/>
              <w:rPr>
                <w:sz w:val="19"/>
                <w:szCs w:val="19"/>
                <w:color w:val="auto"/>
              </w:rPr>
            </w:pPr>
          </w:p>
        </w:tc>
        <w:tc>
          <w:tcPr>
            <w:tcW w:w="2340" w:type="dxa"/>
            <w:vAlign w:val="bottom"/>
            <w:tcBorders>
              <w:bottom w:val="single" w:sz="8" w:color="DBDBDB"/>
            </w:tcBorders>
            <w:shd w:val="clear" w:color="auto" w:fill="DBDBDB"/>
          </w:tcPr>
          <w:p>
            <w:pPr>
              <w:spacing w:after="0"/>
              <w:rPr>
                <w:sz w:val="19"/>
                <w:szCs w:val="19"/>
                <w:color w:val="auto"/>
              </w:rPr>
            </w:pPr>
          </w:p>
        </w:tc>
        <w:tc>
          <w:tcPr>
            <w:tcW w:w="2040" w:type="dxa"/>
            <w:vAlign w:val="bottom"/>
            <w:tcBorders>
              <w:bottom w:val="single" w:sz="8" w:color="DBDBDB"/>
            </w:tcBorders>
            <w:shd w:val="clear" w:color="auto" w:fill="DBDBDB"/>
          </w:tcPr>
          <w:p>
            <w:pPr>
              <w:spacing w:after="0"/>
              <w:rPr>
                <w:sz w:val="19"/>
                <w:szCs w:val="19"/>
                <w:color w:val="auto"/>
              </w:rPr>
            </w:pPr>
          </w:p>
        </w:tc>
        <w:tc>
          <w:tcPr>
            <w:tcW w:w="1400" w:type="dxa"/>
            <w:vAlign w:val="bottom"/>
            <w:tcBorders>
              <w:bottom w:val="single" w:sz="8" w:color="DBDBDB"/>
            </w:tcBorders>
            <w:shd w:val="clear" w:color="auto" w:fill="DBDBDB"/>
          </w:tcPr>
          <w:p>
            <w:pPr>
              <w:spacing w:after="0"/>
              <w:rPr>
                <w:sz w:val="19"/>
                <w:szCs w:val="19"/>
                <w:color w:val="auto"/>
              </w:rPr>
            </w:pPr>
          </w:p>
        </w:tc>
        <w:tc>
          <w:tcPr>
            <w:tcW w:w="128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6"/>
                <w:szCs w:val="16"/>
                <w:color w:val="auto"/>
              </w:rPr>
              <w:t>proposal</w:t>
            </w:r>
          </w:p>
        </w:tc>
      </w:tr>
      <w:tr>
        <w:trPr>
          <w:trHeight w:val="173"/>
        </w:trPr>
        <w:tc>
          <w:tcPr>
            <w:tcW w:w="2940" w:type="dxa"/>
            <w:vAlign w:val="bottom"/>
            <w:tcBorders>
              <w:bottom w:val="single" w:sz="8" w:color="BF2115"/>
            </w:tcBorders>
          </w:tcPr>
          <w:p>
            <w:pPr>
              <w:spacing w:after="0"/>
              <w:rPr>
                <w:sz w:val="15"/>
                <w:szCs w:val="15"/>
                <w:color w:val="auto"/>
              </w:rPr>
            </w:pPr>
          </w:p>
        </w:tc>
        <w:tc>
          <w:tcPr>
            <w:tcW w:w="940" w:type="dxa"/>
            <w:vAlign w:val="bottom"/>
            <w:tcBorders>
              <w:bottom w:val="single" w:sz="8" w:color="BF2115"/>
            </w:tcBorders>
          </w:tcPr>
          <w:p>
            <w:pPr>
              <w:spacing w:after="0"/>
              <w:rPr>
                <w:sz w:val="15"/>
                <w:szCs w:val="15"/>
                <w:color w:val="auto"/>
              </w:rPr>
            </w:pPr>
          </w:p>
        </w:tc>
        <w:tc>
          <w:tcPr>
            <w:tcW w:w="23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80" w:type="dxa"/>
            <w:vAlign w:val="bottom"/>
          </w:tcPr>
          <w:p>
            <w:pPr>
              <w:spacing w:after="0"/>
              <w:rPr>
                <w:sz w:val="15"/>
                <w:szCs w:val="15"/>
                <w:color w:val="auto"/>
              </w:rPr>
            </w:pPr>
          </w:p>
        </w:tc>
      </w:tr>
    </w:tbl>
    <w:p>
      <w:pPr>
        <w:spacing w:after="0" w:line="143" w:lineRule="exact"/>
        <w:rPr>
          <w:sz w:val="20"/>
          <w:szCs w:val="20"/>
          <w:color w:val="auto"/>
        </w:rPr>
      </w:pPr>
    </w:p>
    <w:p>
      <w:pPr>
        <w:jc w:val="both"/>
        <w:ind w:left="320" w:hanging="313"/>
        <w:spacing w:after="0" w:line="236" w:lineRule="auto"/>
        <w:tabs>
          <w:tab w:leader="none" w:pos="308" w:val="left"/>
        </w:tabs>
        <w:numPr>
          <w:ilvl w:val="0"/>
          <w:numId w:val="97"/>
        </w:numPr>
        <w:rPr>
          <w:rFonts w:ascii="Arial" w:cs="Arial" w:eastAsia="Arial" w:hAnsi="Arial"/>
          <w:sz w:val="18"/>
          <w:szCs w:val="18"/>
          <w:color w:val="auto"/>
        </w:rPr>
      </w:pPr>
      <w:r>
        <w:rPr>
          <w:rFonts w:ascii="Arial" w:cs="Arial" w:eastAsia="Arial" w:hAnsi="Arial"/>
          <w:sz w:val="18"/>
          <w:szCs w:val="18"/>
          <w:color w:val="auto"/>
        </w:rPr>
        <w:t>Under our Amended and Restated Bylaws, if any nominee for director in an uncontested election as to whom a majority of the votes of the shares present at the virtual meeting or represented by proxy at the annual meeting and entitled to vote on the election of directors are designated to be “withheld” from or are voted “against,” that director must tender a resignation for consideration by our Nominating and Governance Committee. Our Nominating and Governance Committee then must evaluate the best interests of our Company and stockholders and recommend the action to be taken by the Board with respect to such tendered resignation.</w:t>
      </w:r>
    </w:p>
    <w:p>
      <w:pPr>
        <w:spacing w:after="0" w:line="9" w:lineRule="exact"/>
        <w:rPr>
          <w:rFonts w:ascii="Arial" w:cs="Arial" w:eastAsia="Arial" w:hAnsi="Arial"/>
          <w:sz w:val="18"/>
          <w:szCs w:val="18"/>
          <w:color w:val="auto"/>
        </w:rPr>
      </w:pPr>
    </w:p>
    <w:p>
      <w:pPr>
        <w:jc w:val="both"/>
        <w:ind w:left="320" w:right="20" w:hanging="313"/>
        <w:spacing w:after="0" w:line="247" w:lineRule="auto"/>
        <w:tabs>
          <w:tab w:leader="none" w:pos="308" w:val="left"/>
        </w:tabs>
        <w:numPr>
          <w:ilvl w:val="0"/>
          <w:numId w:val="97"/>
        </w:numPr>
        <w:rPr>
          <w:rFonts w:ascii="Arial" w:cs="Arial" w:eastAsia="Arial" w:hAnsi="Arial"/>
          <w:sz w:val="18"/>
          <w:szCs w:val="18"/>
          <w:color w:val="auto"/>
        </w:rPr>
      </w:pPr>
      <w:r>
        <w:rPr>
          <w:rFonts w:ascii="Arial" w:cs="Arial" w:eastAsia="Arial" w:hAnsi="Arial"/>
          <w:sz w:val="18"/>
          <w:szCs w:val="18"/>
          <w:color w:val="auto"/>
        </w:rPr>
        <w:t>Under applicable New York Stock Exchange, or NYSE, rules, brokers and custodians may vote on the ratification of KPMG LLP as our independent registered public accounting firm for fiscal 2026 in their discretion, and, therefore, we do not expect any broker non-votes on this matter.</w:t>
      </w:r>
    </w:p>
    <w:p>
      <w:pPr>
        <w:spacing w:after="0" w:line="1" w:lineRule="exact"/>
        <w:rPr>
          <w:rFonts w:ascii="Arial" w:cs="Arial" w:eastAsia="Arial" w:hAnsi="Arial"/>
          <w:sz w:val="18"/>
          <w:szCs w:val="18"/>
          <w:color w:val="auto"/>
        </w:rPr>
      </w:pPr>
    </w:p>
    <w:p>
      <w:pPr>
        <w:ind w:left="320" w:hanging="313"/>
        <w:spacing w:after="0" w:line="262" w:lineRule="auto"/>
        <w:tabs>
          <w:tab w:leader="none" w:pos="308"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While an advisory vote, our Compensation &amp; Human Resources Committee and Board expect to take into account the outcome of this vote when considering future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b w:val="1"/>
          <w:bCs w:val="1"/>
          <w:color w:val="C00000"/>
        </w:rPr>
        <w:t>How Will My Shares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112395</wp:posOffset>
            </wp:positionV>
            <wp:extent cx="7040880" cy="279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040880" cy="27940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p>
      <w:pPr>
        <w:spacing w:after="0" w:line="208" w:lineRule="exact"/>
        <w:rPr>
          <w:sz w:val="20"/>
          <w:szCs w:val="20"/>
          <w:color w:val="auto"/>
        </w:rPr>
      </w:pPr>
    </w:p>
    <w:p>
      <w:pPr>
        <w:ind w:left="2760"/>
        <w:spacing w:after="0"/>
        <w:rPr>
          <w:sz w:val="20"/>
          <w:szCs w:val="20"/>
          <w:color w:val="auto"/>
        </w:rPr>
      </w:pPr>
      <w:r>
        <w:rPr>
          <w:rFonts w:ascii="Arial" w:cs="Arial" w:eastAsia="Arial" w:hAnsi="Arial"/>
          <w:sz w:val="14"/>
          <w:szCs w:val="14"/>
          <w:b w:val="1"/>
          <w:bCs w:val="1"/>
          <w:color w:val="FFFFFF"/>
        </w:rPr>
        <w:t>How Your Shares will be Voted If You</w:t>
      </w:r>
    </w:p>
    <w:p>
      <w:pPr>
        <w:spacing w:after="0" w:line="34" w:lineRule="exact"/>
        <w:rPr>
          <w:sz w:val="20"/>
          <w:szCs w:val="20"/>
          <w:color w:val="auto"/>
        </w:rPr>
      </w:pPr>
    </w:p>
    <w:p>
      <w:pPr>
        <w:ind w:left="140"/>
        <w:spacing w:after="0"/>
        <w:tabs>
          <w:tab w:leader="none" w:pos="2740" w:val="left"/>
        </w:tabs>
        <w:rPr>
          <w:sz w:val="20"/>
          <w:szCs w:val="20"/>
          <w:color w:val="auto"/>
        </w:rPr>
      </w:pPr>
      <w:r>
        <w:rPr>
          <w:rFonts w:ascii="Arial" w:cs="Arial" w:eastAsia="Arial" w:hAnsi="Arial"/>
          <w:sz w:val="14"/>
          <w:szCs w:val="14"/>
          <w:b w:val="1"/>
          <w:bCs w:val="1"/>
          <w:color w:val="FFFFFF"/>
        </w:rPr>
        <w:t>How Your Shares are Held</w:t>
      </w:r>
      <w:r>
        <w:rPr>
          <w:sz w:val="20"/>
          <w:szCs w:val="20"/>
          <w:color w:val="auto"/>
        </w:rPr>
        <w:tab/>
      </w:r>
      <w:r>
        <w:rPr>
          <w:rFonts w:ascii="Arial" w:cs="Arial" w:eastAsia="Arial" w:hAnsi="Arial"/>
          <w:sz w:val="14"/>
          <w:szCs w:val="14"/>
          <w:b w:val="1"/>
          <w:bCs w:val="1"/>
          <w:color w:val="FFFFFF"/>
        </w:rPr>
        <w:t>Specify How to Vote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How Your Shares will be Voted If You</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Do Not Specify How to Vote</w:t>
      </w:r>
    </w:p>
    <w:p>
      <w:pPr>
        <w:spacing w:after="0" w:line="53" w:lineRule="exact"/>
        <w:rPr>
          <w:sz w:val="20"/>
          <w:szCs w:val="20"/>
          <w:color w:val="auto"/>
        </w:rPr>
      </w:pPr>
    </w:p>
    <w:p>
      <w:pPr>
        <w:sectPr>
          <w:pgSz w:w="11900" w:h="16838" w:orient="portrait"/>
          <w:cols w:equalWidth="0" w:num="2">
            <w:col w:w="6240" w:space="720"/>
            <w:col w:w="4280"/>
          </w:cols>
          <w:pgMar w:left="320" w:top="1157" w:right="339" w:bottom="1440" w:gutter="0" w:footer="0" w:header="0"/>
          <w:type w:val="continuous"/>
        </w:sectPr>
      </w:pPr>
    </w:p>
    <w:tbl>
      <w:tblPr>
        <w:tblLayout w:type="fixed"/>
        <w:tblInd w:w="80" w:type="dxa"/>
        <w:tblCellMar>
          <w:top w:w="0" w:type="dxa"/>
          <w:left w:w="0" w:type="dxa"/>
          <w:bottom w:w="0" w:type="dxa"/>
          <w:right w:w="0" w:type="dxa"/>
        </w:tblCellMar>
      </w:tblPr>
      <w:tr>
        <w:trPr>
          <w:trHeight w:val="234"/>
        </w:trPr>
        <w:tc>
          <w:tcPr>
            <w:tcW w:w="2460" w:type="dxa"/>
            <w:vAlign w:val="bottom"/>
          </w:tcPr>
          <w:p>
            <w:pPr>
              <w:ind w:left="20"/>
              <w:spacing w:after="0"/>
              <w:rPr>
                <w:sz w:val="20"/>
                <w:szCs w:val="20"/>
                <w:color w:val="auto"/>
              </w:rPr>
            </w:pPr>
            <w:r>
              <w:rPr>
                <w:rFonts w:ascii="Arial" w:cs="Arial" w:eastAsia="Arial" w:hAnsi="Arial"/>
                <w:sz w:val="16"/>
                <w:szCs w:val="16"/>
                <w:color w:val="auto"/>
              </w:rPr>
              <w:t>Shares registered in your name</w:t>
            </w:r>
          </w:p>
        </w:tc>
        <w:tc>
          <w:tcPr>
            <w:tcW w:w="4240" w:type="dxa"/>
            <w:vAlign w:val="bottom"/>
          </w:tcPr>
          <w:p>
            <w:pPr>
              <w:ind w:left="220"/>
              <w:spacing w:after="0"/>
              <w:rPr>
                <w:sz w:val="20"/>
                <w:szCs w:val="20"/>
                <w:color w:val="auto"/>
              </w:rPr>
            </w:pPr>
            <w:r>
              <w:rPr>
                <w:rFonts w:ascii="Arial" w:cs="Arial" w:eastAsia="Arial" w:hAnsi="Arial"/>
                <w:sz w:val="16"/>
                <w:szCs w:val="16"/>
                <w:color w:val="auto"/>
              </w:rPr>
              <w:t>The named proxies will vote your shares as you direct</w:t>
            </w:r>
          </w:p>
        </w:tc>
        <w:tc>
          <w:tcPr>
            <w:tcW w:w="4400" w:type="dxa"/>
            <w:vAlign w:val="bottom"/>
          </w:tcPr>
          <w:p>
            <w:pPr>
              <w:ind w:left="180"/>
              <w:spacing w:after="0"/>
              <w:rPr>
                <w:sz w:val="20"/>
                <w:szCs w:val="20"/>
                <w:color w:val="auto"/>
              </w:rPr>
            </w:pPr>
            <w:r>
              <w:rPr>
                <w:rFonts w:ascii="Arial" w:cs="Arial" w:eastAsia="Arial" w:hAnsi="Arial"/>
                <w:sz w:val="16"/>
                <w:szCs w:val="16"/>
                <w:color w:val="auto"/>
              </w:rPr>
              <w:t xml:space="preserve">The named proxies will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all proposals</w:t>
            </w:r>
          </w:p>
        </w:tc>
      </w:tr>
      <w:tr>
        <w:trPr>
          <w:trHeight w:val="33"/>
        </w:trPr>
        <w:tc>
          <w:tcPr>
            <w:tcW w:w="2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173"/>
        </w:trPr>
        <w:tc>
          <w:tcPr>
            <w:tcW w:w="2460" w:type="dxa"/>
            <w:vAlign w:val="bottom"/>
            <w:shd w:val="clear" w:color="auto" w:fill="DBDBDB"/>
          </w:tcPr>
          <w:p>
            <w:pPr>
              <w:ind w:left="20"/>
              <w:spacing w:after="0" w:line="174" w:lineRule="exact"/>
              <w:rPr>
                <w:sz w:val="20"/>
                <w:szCs w:val="20"/>
                <w:color w:val="auto"/>
              </w:rPr>
            </w:pPr>
            <w:r>
              <w:rPr>
                <w:rFonts w:ascii="Arial" w:cs="Arial" w:eastAsia="Arial" w:hAnsi="Arial"/>
                <w:sz w:val="16"/>
                <w:szCs w:val="16"/>
                <w:color w:val="auto"/>
              </w:rPr>
              <w:t>Shares held in street name</w:t>
            </w:r>
          </w:p>
        </w:tc>
        <w:tc>
          <w:tcPr>
            <w:tcW w:w="4240" w:type="dxa"/>
            <w:vAlign w:val="bottom"/>
            <w:shd w:val="clear" w:color="auto" w:fill="DBDBDB"/>
          </w:tcPr>
          <w:p>
            <w:pPr>
              <w:ind w:left="220"/>
              <w:spacing w:after="0" w:line="174" w:lineRule="exact"/>
              <w:rPr>
                <w:sz w:val="20"/>
                <w:szCs w:val="20"/>
                <w:color w:val="auto"/>
              </w:rPr>
            </w:pPr>
            <w:r>
              <w:rPr>
                <w:rFonts w:ascii="Arial" w:cs="Arial" w:eastAsia="Arial" w:hAnsi="Arial"/>
                <w:sz w:val="16"/>
                <w:szCs w:val="16"/>
                <w:color w:val="auto"/>
              </w:rPr>
              <w:t>Your broker will vote your shares as you direct</w:t>
            </w:r>
          </w:p>
        </w:tc>
        <w:tc>
          <w:tcPr>
            <w:tcW w:w="4400" w:type="dxa"/>
            <w:vAlign w:val="bottom"/>
            <w:shd w:val="clear" w:color="auto" w:fill="DBDBDB"/>
          </w:tcPr>
          <w:p>
            <w:pPr>
              <w:ind w:left="180"/>
              <w:spacing w:after="0" w:line="174" w:lineRule="exact"/>
              <w:rPr>
                <w:sz w:val="20"/>
                <w:szCs w:val="20"/>
                <w:color w:val="auto"/>
              </w:rPr>
            </w:pPr>
            <w:r>
              <w:rPr>
                <w:rFonts w:ascii="Arial" w:cs="Arial" w:eastAsia="Arial" w:hAnsi="Arial"/>
                <w:sz w:val="16"/>
                <w:szCs w:val="16"/>
                <w:color w:val="auto"/>
              </w:rPr>
              <w:t>Your broker may vote only on routine items in the absence</w:t>
            </w:r>
          </w:p>
        </w:tc>
      </w:tr>
      <w:tr>
        <w:trPr>
          <w:trHeight w:val="280"/>
        </w:trPr>
        <w:tc>
          <w:tcPr>
            <w:tcW w:w="2460" w:type="dxa"/>
            <w:vAlign w:val="bottom"/>
            <w:shd w:val="clear" w:color="auto" w:fill="DBDBDB"/>
          </w:tcPr>
          <w:p>
            <w:pPr>
              <w:spacing w:after="0"/>
              <w:rPr>
                <w:sz w:val="24"/>
                <w:szCs w:val="24"/>
                <w:color w:val="auto"/>
              </w:rPr>
            </w:pPr>
          </w:p>
        </w:tc>
        <w:tc>
          <w:tcPr>
            <w:tcW w:w="4240" w:type="dxa"/>
            <w:vAlign w:val="bottom"/>
            <w:shd w:val="clear" w:color="auto" w:fill="DBDBDB"/>
          </w:tcPr>
          <w:p>
            <w:pPr>
              <w:spacing w:after="0"/>
              <w:rPr>
                <w:sz w:val="24"/>
                <w:szCs w:val="24"/>
                <w:color w:val="auto"/>
              </w:rPr>
            </w:pPr>
          </w:p>
        </w:tc>
        <w:tc>
          <w:tcPr>
            <w:tcW w:w="4400" w:type="dxa"/>
            <w:vAlign w:val="bottom"/>
            <w:shd w:val="clear" w:color="auto" w:fill="DBDBDB"/>
          </w:tcPr>
          <w:p>
            <w:pPr>
              <w:ind w:left="180"/>
              <w:spacing w:after="0" w:line="280" w:lineRule="exact"/>
              <w:rPr>
                <w:sz w:val="20"/>
                <w:szCs w:val="20"/>
                <w:color w:val="auto"/>
              </w:rPr>
            </w:pPr>
            <w:r>
              <w:rPr>
                <w:rFonts w:ascii="Arial" w:cs="Arial" w:eastAsia="Arial" w:hAnsi="Arial"/>
                <w:sz w:val="16"/>
                <w:szCs w:val="16"/>
                <w:color w:val="auto"/>
              </w:rPr>
              <w:t>of your instruction how to vote</w:t>
            </w:r>
            <w:r>
              <w:rPr>
                <w:rFonts w:ascii="Arial" w:cs="Arial" w:eastAsia="Arial" w:hAnsi="Arial"/>
                <w:sz w:val="27"/>
                <w:szCs w:val="27"/>
                <w:color w:val="auto"/>
                <w:vertAlign w:val="superscript"/>
              </w:rPr>
              <w:t>1</w:t>
            </w:r>
          </w:p>
        </w:tc>
      </w:tr>
    </w:tbl>
    <w:p>
      <w:pPr>
        <w:spacing w:after="0" w:line="1" w:lineRule="exact"/>
        <w:rPr>
          <w:sz w:val="20"/>
          <w:szCs w:val="20"/>
          <w:color w:val="auto"/>
        </w:rPr>
      </w:pPr>
    </w:p>
    <w:p>
      <w:pPr>
        <w:sectPr>
          <w:pgSz w:w="11900" w:h="16838" w:orient="portrait"/>
          <w:cols w:equalWidth="0" w:num="1">
            <w:col w:w="11240"/>
          </w:cols>
          <w:pgMar w:left="320" w:top="1157" w:right="339" w:bottom="1440" w:gutter="0" w:footer="0" w:header="0"/>
          <w:type w:val="continuous"/>
        </w:sectPr>
      </w:pPr>
    </w:p>
    <w:p>
      <w:pPr>
        <w:ind w:left="100" w:right="40"/>
        <w:spacing w:after="0" w:line="312" w:lineRule="auto"/>
        <w:rPr>
          <w:sz w:val="20"/>
          <w:szCs w:val="20"/>
          <w:color w:val="auto"/>
        </w:rPr>
      </w:pPr>
      <w:r>
        <w:rPr>
          <w:rFonts w:ascii="Arial" w:cs="Arial" w:eastAsia="Arial" w:hAnsi="Arial"/>
          <w:sz w:val="15"/>
          <w:szCs w:val="15"/>
          <w:color w:val="auto"/>
        </w:rPr>
        <w:t>Shares held in certain TTC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246570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4657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6"/>
          <w:szCs w:val="16"/>
          <w:color w:val="auto"/>
        </w:rPr>
        <w:t>The plan trustee will vote your shares confidentially as you direct</w:t>
      </w:r>
    </w:p>
    <w:p>
      <w:pPr>
        <w:spacing w:after="0" w:line="20" w:lineRule="exact"/>
        <w:rPr>
          <w:sz w:val="20"/>
          <w:szCs w:val="20"/>
          <w:color w:val="auto"/>
        </w:rPr>
      </w:pPr>
      <w:r>
        <w:rPr>
          <w:sz w:val="20"/>
          <w:szCs w:val="20"/>
          <w:color w:val="auto"/>
        </w:rPr>
        <w:br w:type="column"/>
      </w:r>
    </w:p>
    <w:p>
      <w:pPr>
        <w:ind w:right="640"/>
        <w:spacing w:after="0" w:line="277" w:lineRule="auto"/>
        <w:rPr>
          <w:sz w:val="20"/>
          <w:szCs w:val="20"/>
          <w:color w:val="auto"/>
        </w:rPr>
      </w:pPr>
      <w:r>
        <w:rPr>
          <w:rFonts w:ascii="Arial" w:cs="Arial" w:eastAsia="Arial" w:hAnsi="Arial"/>
          <w:sz w:val="16"/>
          <w:szCs w:val="16"/>
          <w:color w:val="auto"/>
        </w:rPr>
        <w:t>The plan trustee will vote your shares in the same proportion as the votes actually cast by participants</w:t>
      </w:r>
    </w:p>
    <w:p>
      <w:pPr>
        <w:spacing w:after="0" w:line="223" w:lineRule="exact"/>
        <w:rPr>
          <w:sz w:val="20"/>
          <w:szCs w:val="20"/>
          <w:color w:val="auto"/>
        </w:rPr>
      </w:pPr>
    </w:p>
    <w:p>
      <w:pPr>
        <w:sectPr>
          <w:pgSz w:w="11900" w:h="16838" w:orient="portrait"/>
          <w:cols w:equalWidth="0" w:num="3">
            <w:col w:w="2040" w:space="720"/>
            <w:col w:w="4140" w:space="60"/>
            <w:col w:w="4280"/>
          </w:cols>
          <w:pgMar w:left="320" w:top="1157" w:right="339" w:bottom="1440" w:gutter="0" w:footer="0" w:header="0"/>
          <w:type w:val="continuous"/>
        </w:sectPr>
      </w:pPr>
    </w:p>
    <w:p>
      <w:pPr>
        <w:spacing w:after="0" w:line="95" w:lineRule="exact"/>
        <w:rPr>
          <w:sz w:val="20"/>
          <w:szCs w:val="20"/>
          <w:color w:val="auto"/>
        </w:rPr>
      </w:pPr>
    </w:p>
    <w:p>
      <w:pPr>
        <w:jc w:val="both"/>
        <w:ind w:left="320" w:hanging="313"/>
        <w:spacing w:after="0" w:line="232" w:lineRule="auto"/>
        <w:tabs>
          <w:tab w:leader="none" w:pos="308"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your shares are held in “street name” and you do not indicate how you wish to vote, under NYSE rules your broker is permitted to exercise its discretion to vote your shares only on certain “routine” matters. The ratification of the appointment of KPMG LLP as our independent registered public accounting firm for 2026 (proposal two) is the only matter to be voted on at the annual meeting as to which brokers will be permitted to vote uninstructed shares. Accordingly, if you do not direct your broker how to vote on the other proposals, your broker may not exercise discretionary voting authority and may not vote your shares on those proposals. This is called a “broker non-vote” and although your shares will be considered to be represented by proxy at the annual meeting for purposes of establishing quorum, as discussed on page 91, they are not considered to be votes cast at the annual meeting and will not be counted as having been voted on the applicable proposal.</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What Does It Mean If I Receive More Than One Notice or Set of Proxy Materials?</w:t>
      </w:r>
    </w:p>
    <w:p>
      <w:pPr>
        <w:spacing w:after="0" w:line="9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If you hold your shares in more than one account, you may receive multiple copies of the Notice Regarding the Availability of Proxy Materials and/or electronic or paper copies of our proxy materials. If you are a participant in the dividend reinvestment feature of our Direct Stock</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Purchase Plan, shares registered in your name are combined with shares you hold in that plan. Similarly, where possible, shares registered in your name are combined with shares you hold, if any, as a participant in certain TTC employee benefit plans. However, shares you hold 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"street name" (through a broker, bank or other nominee) are not combined with shares registered in your name or held as a participant in TTC</w:t>
      </w:r>
    </w:p>
    <w:p>
      <w:pPr>
        <w:spacing w:after="0" w:line="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employee benefit plans. If you receive more than one Notice Regarding the Availability of Proxy Materials and/or electronic or paper copies of our proxy materials, you must vote separately for each notice, e-mail notification or proxy and/or voting instruction card having a unique control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number to ensure that all of your shares are voted.</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Can I Revoke or Change My Vote?</w:t>
      </w:r>
    </w:p>
    <w:p>
      <w:pPr>
        <w:spacing w:after="0" w:line="84"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You may revoke your proxy or change your vote at any time before your shares are voted at the annual meeting by one of the following methods:</w:t>
      </w:r>
    </w:p>
    <w:p>
      <w:pPr>
        <w:spacing w:after="0" w:line="5"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246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How Your Shares are Held</w:t>
            </w:r>
          </w:p>
        </w:tc>
        <w:tc>
          <w:tcPr>
            <w:tcW w:w="8640" w:type="dxa"/>
            <w:vAlign w:val="bottom"/>
            <w:gridSpan w:val="2"/>
            <w:shd w:val="clear" w:color="auto" w:fill="BF2115"/>
          </w:tcPr>
          <w:p>
            <w:pPr>
              <w:ind w:left="220"/>
              <w:spacing w:after="0"/>
              <w:rPr>
                <w:sz w:val="20"/>
                <w:szCs w:val="20"/>
                <w:color w:val="auto"/>
              </w:rPr>
            </w:pPr>
            <w:r>
              <w:rPr>
                <w:rFonts w:ascii="Arial" w:cs="Arial" w:eastAsia="Arial" w:hAnsi="Arial"/>
                <w:sz w:val="14"/>
                <w:szCs w:val="14"/>
                <w:b w:val="1"/>
                <w:bCs w:val="1"/>
                <w:color w:val="FFFFFF"/>
              </w:rPr>
              <w:t>Method to Revoke or Change Your Vote</w:t>
            </w:r>
          </w:p>
        </w:tc>
      </w:tr>
      <w:tr>
        <w:trPr>
          <w:trHeight w:val="199"/>
        </w:trPr>
        <w:tc>
          <w:tcPr>
            <w:tcW w:w="2460" w:type="dxa"/>
            <w:vAlign w:val="bottom"/>
          </w:tcPr>
          <w:p>
            <w:pPr>
              <w:ind w:left="20"/>
              <w:spacing w:after="0"/>
              <w:rPr>
                <w:sz w:val="20"/>
                <w:szCs w:val="20"/>
                <w:color w:val="auto"/>
              </w:rPr>
            </w:pPr>
            <w:r>
              <w:rPr>
                <w:rFonts w:ascii="Arial" w:cs="Arial" w:eastAsia="Arial" w:hAnsi="Arial"/>
                <w:sz w:val="16"/>
                <w:szCs w:val="16"/>
                <w:color w:val="auto"/>
              </w:rPr>
              <w:t>Shares registered in your name</w:t>
            </w:r>
          </w:p>
        </w:tc>
        <w:tc>
          <w:tcPr>
            <w:tcW w:w="320" w:type="dxa"/>
            <w:vAlign w:val="bottom"/>
          </w:tcPr>
          <w:p>
            <w:pPr>
              <w:ind w:left="220"/>
              <w:spacing w:after="0"/>
              <w:rPr>
                <w:sz w:val="20"/>
                <w:szCs w:val="20"/>
                <w:color w:val="auto"/>
              </w:rPr>
            </w:pPr>
            <w:r>
              <w:rPr>
                <w:rFonts w:ascii="Arial" w:cs="Arial" w:eastAsia="Arial" w:hAnsi="Arial"/>
                <w:sz w:val="16"/>
                <w:szCs w:val="16"/>
                <w:color w:val="auto"/>
              </w:rPr>
              <w:t>•</w:t>
            </w:r>
          </w:p>
        </w:tc>
        <w:tc>
          <w:tcPr>
            <w:tcW w:w="8320" w:type="dxa"/>
            <w:vAlign w:val="bottom"/>
          </w:tcPr>
          <w:p>
            <w:pPr>
              <w:ind w:left="60"/>
              <w:spacing w:after="0"/>
              <w:rPr>
                <w:sz w:val="20"/>
                <w:szCs w:val="20"/>
                <w:color w:val="auto"/>
              </w:rPr>
            </w:pPr>
            <w:r>
              <w:rPr>
                <w:rFonts w:ascii="Arial" w:cs="Arial" w:eastAsia="Arial" w:hAnsi="Arial"/>
                <w:sz w:val="16"/>
                <w:szCs w:val="16"/>
                <w:color w:val="auto"/>
              </w:rPr>
              <w:t>Submit another proper proxy with a more recent date than that of the proxy first given by following the Internet,</w:t>
            </w:r>
          </w:p>
        </w:tc>
      </w:tr>
      <w:tr>
        <w:trPr>
          <w:trHeight w:val="200"/>
        </w:trPr>
        <w:tc>
          <w:tcPr>
            <w:tcW w:w="2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20" w:type="dxa"/>
            <w:vAlign w:val="bottom"/>
          </w:tcPr>
          <w:p>
            <w:pPr>
              <w:ind w:left="60"/>
              <w:spacing w:after="0"/>
              <w:rPr>
                <w:sz w:val="20"/>
                <w:szCs w:val="20"/>
                <w:color w:val="auto"/>
              </w:rPr>
            </w:pPr>
            <w:r>
              <w:rPr>
                <w:rFonts w:ascii="Arial" w:cs="Arial" w:eastAsia="Arial" w:hAnsi="Arial"/>
                <w:sz w:val="16"/>
                <w:szCs w:val="16"/>
                <w:color w:val="auto"/>
              </w:rPr>
              <w:t>telephone or mobile device voting instructions or complete, sign, date and mail a proxy card;</w:t>
            </w:r>
          </w:p>
        </w:tc>
      </w:tr>
      <w:tr>
        <w:trPr>
          <w:trHeight w:val="200"/>
        </w:trPr>
        <w:tc>
          <w:tcPr>
            <w:tcW w:w="2460" w:type="dxa"/>
            <w:vAlign w:val="bottom"/>
          </w:tcPr>
          <w:p>
            <w:pPr>
              <w:spacing w:after="0"/>
              <w:rPr>
                <w:sz w:val="17"/>
                <w:szCs w:val="17"/>
                <w:color w:val="auto"/>
              </w:rPr>
            </w:pPr>
          </w:p>
        </w:tc>
        <w:tc>
          <w:tcPr>
            <w:tcW w:w="320" w:type="dxa"/>
            <w:vAlign w:val="bottom"/>
          </w:tcPr>
          <w:p>
            <w:pPr>
              <w:ind w:left="220"/>
              <w:spacing w:after="0"/>
              <w:rPr>
                <w:sz w:val="20"/>
                <w:szCs w:val="20"/>
                <w:color w:val="auto"/>
              </w:rPr>
            </w:pPr>
            <w:r>
              <w:rPr>
                <w:rFonts w:ascii="Arial" w:cs="Arial" w:eastAsia="Arial" w:hAnsi="Arial"/>
                <w:sz w:val="16"/>
                <w:szCs w:val="16"/>
                <w:color w:val="auto"/>
              </w:rPr>
              <w:t>•</w:t>
            </w:r>
          </w:p>
        </w:tc>
        <w:tc>
          <w:tcPr>
            <w:tcW w:w="8320" w:type="dxa"/>
            <w:vAlign w:val="bottom"/>
          </w:tcPr>
          <w:p>
            <w:pPr>
              <w:ind w:left="60"/>
              <w:spacing w:after="0"/>
              <w:rPr>
                <w:sz w:val="20"/>
                <w:szCs w:val="20"/>
                <w:color w:val="auto"/>
              </w:rPr>
            </w:pPr>
            <w:r>
              <w:rPr>
                <w:rFonts w:ascii="Arial" w:cs="Arial" w:eastAsia="Arial" w:hAnsi="Arial"/>
                <w:sz w:val="16"/>
                <w:szCs w:val="16"/>
                <w:color w:val="auto"/>
              </w:rPr>
              <w:t>Attend the annual meeting virtually and vote electronically at the meeting; or</w:t>
            </w:r>
          </w:p>
        </w:tc>
      </w:tr>
      <w:tr>
        <w:trPr>
          <w:trHeight w:val="211"/>
        </w:trPr>
        <w:tc>
          <w:tcPr>
            <w:tcW w:w="2460" w:type="dxa"/>
            <w:vAlign w:val="bottom"/>
          </w:tcPr>
          <w:p>
            <w:pPr>
              <w:spacing w:after="0"/>
              <w:rPr>
                <w:sz w:val="18"/>
                <w:szCs w:val="18"/>
                <w:color w:val="auto"/>
              </w:rPr>
            </w:pPr>
          </w:p>
        </w:tc>
        <w:tc>
          <w:tcPr>
            <w:tcW w:w="320" w:type="dxa"/>
            <w:vAlign w:val="bottom"/>
          </w:tcPr>
          <w:p>
            <w:pPr>
              <w:ind w:left="220"/>
              <w:spacing w:after="0"/>
              <w:rPr>
                <w:sz w:val="20"/>
                <w:szCs w:val="20"/>
                <w:color w:val="auto"/>
              </w:rPr>
            </w:pPr>
            <w:r>
              <w:rPr>
                <w:rFonts w:ascii="Arial" w:cs="Arial" w:eastAsia="Arial" w:hAnsi="Arial"/>
                <w:sz w:val="16"/>
                <w:szCs w:val="16"/>
                <w:color w:val="auto"/>
              </w:rPr>
              <w:t>•</w:t>
            </w:r>
          </w:p>
        </w:tc>
        <w:tc>
          <w:tcPr>
            <w:tcW w:w="8320" w:type="dxa"/>
            <w:vAlign w:val="bottom"/>
          </w:tcPr>
          <w:p>
            <w:pPr>
              <w:ind w:left="60"/>
              <w:spacing w:after="0"/>
              <w:rPr>
                <w:sz w:val="20"/>
                <w:szCs w:val="20"/>
                <w:color w:val="auto"/>
              </w:rPr>
            </w:pPr>
            <w:r>
              <w:rPr>
                <w:rFonts w:ascii="Arial" w:cs="Arial" w:eastAsia="Arial" w:hAnsi="Arial"/>
                <w:sz w:val="16"/>
                <w:szCs w:val="16"/>
                <w:color w:val="auto"/>
              </w:rPr>
              <w:t>Send written notice of revocation to our General Counsel.</w:t>
            </w:r>
          </w:p>
        </w:tc>
      </w:tr>
      <w:tr>
        <w:trPr>
          <w:trHeight w:val="57"/>
        </w:trPr>
        <w:tc>
          <w:tcPr>
            <w:tcW w:w="2460" w:type="dxa"/>
            <w:vAlign w:val="bottom"/>
          </w:tcPr>
          <w:p>
            <w:pPr>
              <w:spacing w:after="0"/>
              <w:rPr>
                <w:sz w:val="4"/>
                <w:szCs w:val="4"/>
                <w:color w:val="auto"/>
              </w:rPr>
            </w:pPr>
          </w:p>
        </w:tc>
        <w:tc>
          <w:tcPr>
            <w:tcW w:w="8640" w:type="dxa"/>
            <w:vAlign w:val="bottom"/>
            <w:gridSpan w:val="2"/>
          </w:tcPr>
          <w:p>
            <w:pPr>
              <w:spacing w:after="0"/>
              <w:rPr>
                <w:sz w:val="4"/>
                <w:szCs w:val="4"/>
                <w:color w:val="auto"/>
              </w:rPr>
            </w:pPr>
          </w:p>
        </w:tc>
      </w:tr>
      <w:tr>
        <w:trPr>
          <w:trHeight w:val="220"/>
        </w:trPr>
        <w:tc>
          <w:tcPr>
            <w:tcW w:w="2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Shares held in street name</w:t>
            </w:r>
          </w:p>
        </w:tc>
        <w:tc>
          <w:tcPr>
            <w:tcW w:w="864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6"/>
                <w:szCs w:val="16"/>
                <w:color w:val="auto"/>
              </w:rPr>
              <w:t>Follow instructions provided by your broker, bank or other nominee.</w:t>
            </w:r>
          </w:p>
        </w:tc>
      </w:tr>
      <w:tr>
        <w:trPr>
          <w:trHeight w:val="173"/>
        </w:trPr>
        <w:tc>
          <w:tcPr>
            <w:tcW w:w="2460" w:type="dxa"/>
            <w:vAlign w:val="bottom"/>
          </w:tcPr>
          <w:p>
            <w:pPr>
              <w:ind w:left="20"/>
              <w:spacing w:after="0" w:line="173" w:lineRule="exact"/>
              <w:rPr>
                <w:sz w:val="20"/>
                <w:szCs w:val="20"/>
                <w:color w:val="auto"/>
              </w:rPr>
            </w:pPr>
            <w:r>
              <w:rPr>
                <w:rFonts w:ascii="Arial" w:cs="Arial" w:eastAsia="Arial" w:hAnsi="Arial"/>
                <w:sz w:val="16"/>
                <w:szCs w:val="16"/>
                <w:color w:val="auto"/>
              </w:rPr>
              <w:t>Shares held in certain TTC</w:t>
            </w:r>
          </w:p>
        </w:tc>
        <w:tc>
          <w:tcPr>
            <w:tcW w:w="8640" w:type="dxa"/>
            <w:vAlign w:val="bottom"/>
            <w:gridSpan w:val="2"/>
          </w:tcPr>
          <w:p>
            <w:pPr>
              <w:ind w:left="220"/>
              <w:spacing w:after="0" w:line="173" w:lineRule="exact"/>
              <w:rPr>
                <w:sz w:val="20"/>
                <w:szCs w:val="20"/>
                <w:color w:val="auto"/>
              </w:rPr>
            </w:pPr>
            <w:r>
              <w:rPr>
                <w:rFonts w:ascii="Arial" w:cs="Arial" w:eastAsia="Arial" w:hAnsi="Arial"/>
                <w:sz w:val="16"/>
                <w:szCs w:val="16"/>
                <w:color w:val="auto"/>
              </w:rPr>
              <w:t>Submit another proper proxy with a more recent date than that of the proxy first given by following the Internet,</w:t>
            </w:r>
          </w:p>
        </w:tc>
      </w:tr>
      <w:tr>
        <w:trPr>
          <w:trHeight w:val="211"/>
        </w:trPr>
        <w:tc>
          <w:tcPr>
            <w:tcW w:w="2460" w:type="dxa"/>
            <w:vAlign w:val="bottom"/>
          </w:tcPr>
          <w:p>
            <w:pPr>
              <w:ind w:left="20"/>
              <w:spacing w:after="0"/>
              <w:rPr>
                <w:sz w:val="20"/>
                <w:szCs w:val="20"/>
                <w:color w:val="auto"/>
              </w:rPr>
            </w:pPr>
            <w:r>
              <w:rPr>
                <w:rFonts w:ascii="Arial" w:cs="Arial" w:eastAsia="Arial" w:hAnsi="Arial"/>
                <w:sz w:val="16"/>
                <w:szCs w:val="16"/>
                <w:color w:val="auto"/>
              </w:rPr>
              <w:t>employee benefit plans</w:t>
            </w:r>
          </w:p>
        </w:tc>
        <w:tc>
          <w:tcPr>
            <w:tcW w:w="8640" w:type="dxa"/>
            <w:vAlign w:val="bottom"/>
            <w:gridSpan w:val="2"/>
          </w:tcPr>
          <w:p>
            <w:pPr>
              <w:ind w:left="220"/>
              <w:spacing w:after="0"/>
              <w:rPr>
                <w:sz w:val="20"/>
                <w:szCs w:val="20"/>
                <w:color w:val="auto"/>
              </w:rPr>
            </w:pPr>
            <w:r>
              <w:rPr>
                <w:rFonts w:ascii="Arial" w:cs="Arial" w:eastAsia="Arial" w:hAnsi="Arial"/>
                <w:sz w:val="16"/>
                <w:szCs w:val="16"/>
                <w:color w:val="auto"/>
              </w:rPr>
              <w:t>telephone or mobile device voting instructions or complete, sign, date and mail a proxy card.</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Who Will Count the Votes?</w:t>
      </w:r>
    </w:p>
    <w:p>
      <w:pPr>
        <w:spacing w:after="0" w:line="8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Broadridge Financial Solutions, Inc. has been engaged to tabulate stockholder votes. An agent of Broadridge Financial Solutions, Inc. will act as our independent inspector of elections for the annual meeting.</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Will Business Be Conducted at the Annual Meeting?</w:t>
      </w:r>
    </w:p>
    <w:p>
      <w:pPr>
        <w:spacing w:after="0" w:line="8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presiding officer at the annual meeting will determine how business at the meeting will be conducted. Only nominations and other proposals brought before the annual meeting in accordance with the advance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type w:val="continuous"/>
        </w:sectPr>
      </w:pPr>
    </w:p>
    <w:bookmarkStart w:id="106" w:name="page107"/>
    <w:bookmarkEnd w:id="106"/>
    <w:p>
      <w:pPr>
        <w:spacing w:after="0" w:line="262" w:lineRule="auto"/>
        <w:rPr>
          <w:sz w:val="20"/>
          <w:szCs w:val="20"/>
          <w:color w:val="auto"/>
        </w:rPr>
      </w:pPr>
      <w:r>
        <w:rPr>
          <w:rFonts w:ascii="Arial" w:cs="Arial" w:eastAsia="Arial" w:hAnsi="Arial"/>
          <w:sz w:val="18"/>
          <w:szCs w:val="18"/>
          <w:color w:val="auto"/>
        </w:rPr>
        <w:t>and information requirements of our Amended and Restated Bylaws will be considered, and no such nominations or other proposals were received.</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Can I Ask Questions in Advance of and During the Annual Meeting?</w:t>
      </w:r>
    </w:p>
    <w:p>
      <w:pPr>
        <w:spacing w:after="0" w:line="8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are committed to ensuring that our stockholders have substantially the same opportunities to participate in the virtual annual meeting as they would at an in-person meeting. To submit a question at the annual meeting, you will need your 16-digit control number that is printed on</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your proxy card, voting instruction form or Notice Regarding the Availability of Proxy Materials. Stockholders may submit questions in advance of the annual meeting, from February 3, 2026 to March 16, 2026, and during a portion of the annual meeting. If you wish to submit a question</w:t>
      </w:r>
    </w:p>
    <w:p>
      <w:pPr>
        <w:spacing w:after="0" w:line="233" w:lineRule="auto"/>
        <w:rPr>
          <w:sz w:val="20"/>
          <w:szCs w:val="20"/>
          <w:color w:val="auto"/>
        </w:rPr>
      </w:pPr>
      <w:r>
        <w:rPr>
          <w:rFonts w:ascii="Arial" w:cs="Arial" w:eastAsia="Arial" w:hAnsi="Arial"/>
          <w:sz w:val="18"/>
          <w:szCs w:val="18"/>
          <w:color w:val="auto"/>
        </w:rPr>
        <w:t>in advance of the annual meeting, you may log into www.proxyvote.com using your 16-digit control number and follow the instructions to</w:t>
      </w:r>
    </w:p>
    <w:p>
      <w:pPr>
        <w:spacing w:after="0" w:line="237" w:lineRule="auto"/>
        <w:rPr>
          <w:sz w:val="20"/>
          <w:szCs w:val="20"/>
          <w:color w:val="auto"/>
        </w:rPr>
      </w:pPr>
      <w:r>
        <w:rPr>
          <w:rFonts w:ascii="Arial" w:cs="Arial" w:eastAsia="Arial" w:hAnsi="Arial"/>
          <w:sz w:val="17"/>
          <w:szCs w:val="17"/>
          <w:color w:val="auto"/>
        </w:rPr>
        <w:t>submit a question. If you wish to submit a question during the annual meeting, log into the virtual meeting platform at www.virtualshareholdermeeting.com/TTC2026 using the 16-digit control number included on your proxy card, voting instruction form or Notice</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Regarding the Availability of Proxy Materials and follow the instructions to submit a question. Questions pertinent to meeting matters will be answered during the annual meeting, subject to time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21"/>
          <w:szCs w:val="21"/>
          <w:b w:val="1"/>
          <w:bCs w:val="1"/>
          <w:color w:val="FFFFF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-151765</wp:posOffset>
            </wp:positionV>
            <wp:extent cx="6998335" cy="1866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8335" cy="1866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Stockholder Proposals and Director Nominations for the 2027 Annual Meeting</w:t>
      </w:r>
    </w:p>
    <w:p>
      <w:pPr>
        <w:spacing w:after="0" w:line="84" w:lineRule="exact"/>
        <w:rPr>
          <w:sz w:val="20"/>
          <w:szCs w:val="20"/>
          <w:color w:val="auto"/>
        </w:rPr>
      </w:pPr>
    </w:p>
    <w:p>
      <w:pPr>
        <w:ind w:firstLine="640"/>
        <w:spacing w:after="0" w:line="247" w:lineRule="auto"/>
        <w:rPr>
          <w:sz w:val="20"/>
          <w:szCs w:val="20"/>
          <w:color w:val="auto"/>
        </w:rPr>
      </w:pPr>
      <w:r>
        <w:rPr>
          <w:rFonts w:ascii="Arial" w:cs="Arial" w:eastAsia="Arial" w:hAnsi="Arial"/>
          <w:sz w:val="17"/>
          <w:szCs w:val="17"/>
          <w:color w:val="auto"/>
        </w:rPr>
        <w:t>The 2027 Annual Meeting of Stockholders is expected to be held on March 16, 2027. In order for a stockholder proposal to be included in our proxy statement for the 2027 Annual Meeting: (i) our Secretary must receive such proposal no later than the close of business 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October 6, 2026, unless the date of the 2027 Annual Meeting is delayed by more than 30 calendar days; and (ii) such proposal must satisfy all</w:t>
      </w:r>
    </w:p>
    <w:p>
      <w:pPr>
        <w:spacing w:after="0" w:line="5"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of the requirements of, and not otherwise be permitted to be excluded under, Rule 14a-8 promulgated by the SEC and our Amended and Restated Bylaws.</w:t>
      </w:r>
    </w:p>
    <w:p>
      <w:pPr>
        <w:spacing w:after="0" w:line="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our current Amended and Restated Bylaws, in order for a stockholder to nominate one or more persons for election to the</w:t>
      </w:r>
    </w:p>
    <w:p>
      <w:pPr>
        <w:spacing w:after="0" w:line="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Board at the 2027 Annual Meeting of Stockholders or propose any other business to be brought before the 2027 Annual Meeting, complete and timely notice must be given in writing and in proper form to our Secretary not later than December 17, 2026, nor earlier than November 17,</w:t>
      </w:r>
    </w:p>
    <w:p>
      <w:pPr>
        <w:spacing w:after="0" w:line="233" w:lineRule="auto"/>
        <w:rPr>
          <w:sz w:val="20"/>
          <w:szCs w:val="20"/>
          <w:color w:val="auto"/>
        </w:rPr>
      </w:pPr>
      <w:r>
        <w:rPr>
          <w:rFonts w:ascii="Arial" w:cs="Arial" w:eastAsia="Arial" w:hAnsi="Arial"/>
          <w:sz w:val="18"/>
          <w:szCs w:val="18"/>
          <w:color w:val="auto"/>
        </w:rPr>
        <w:t>2026. However, if the date of the 2027 Annual Meeting is advanced by more than 30 days or delayed by more than 60 days from the first</w:t>
      </w:r>
    </w:p>
    <w:p>
      <w:pPr>
        <w:spacing w:after="0" w:line="237" w:lineRule="auto"/>
        <w:rPr>
          <w:sz w:val="20"/>
          <w:szCs w:val="20"/>
          <w:color w:val="auto"/>
        </w:rPr>
      </w:pPr>
      <w:r>
        <w:rPr>
          <w:rFonts w:ascii="Arial" w:cs="Arial" w:eastAsia="Arial" w:hAnsi="Arial"/>
          <w:sz w:val="17"/>
          <w:szCs w:val="17"/>
          <w:color w:val="auto"/>
        </w:rPr>
        <w:t>anniversary date of the 2026 Annual Meeting of Stockholders, such notice must be delivered not earlier than the 120th day prior to the date of the rescheduled 2027 Annual Meeting and not later than the close of business on the later of the 90th day prior to the date of the rescheduled</w:t>
      </w:r>
    </w:p>
    <w:p>
      <w:pPr>
        <w:spacing w:after="0" w:line="233" w:lineRule="auto"/>
        <w:rPr>
          <w:sz w:val="20"/>
          <w:szCs w:val="20"/>
          <w:color w:val="auto"/>
        </w:rPr>
      </w:pPr>
      <w:r>
        <w:rPr>
          <w:rFonts w:ascii="Arial" w:cs="Arial" w:eastAsia="Arial" w:hAnsi="Arial"/>
          <w:sz w:val="18"/>
          <w:szCs w:val="18"/>
          <w:color w:val="auto"/>
        </w:rPr>
        <w:t>2027 Annual Meeting or the 10th day following the day on which we first make a public announcement of the date of the rescheduled 2027</w:t>
      </w:r>
    </w:p>
    <w:p>
      <w:pPr>
        <w:jc w:val="both"/>
        <w:spacing w:after="0" w:line="237" w:lineRule="auto"/>
        <w:rPr>
          <w:sz w:val="20"/>
          <w:szCs w:val="20"/>
          <w:color w:val="auto"/>
        </w:rPr>
      </w:pPr>
      <w:r>
        <w:rPr>
          <w:rFonts w:ascii="Arial" w:cs="Arial" w:eastAsia="Arial" w:hAnsi="Arial"/>
          <w:sz w:val="17"/>
          <w:szCs w:val="17"/>
          <w:color w:val="auto"/>
        </w:rPr>
        <w:t>Annual Meeting. Any notice must contain the specific information required by our Amended and Restated Bylaws, including, among other things, information about: any proposed nominee and his or her relationships with the stockholder submitting the nomination; any agreements,</w:t>
      </w:r>
    </w:p>
    <w:p>
      <w:pPr>
        <w:spacing w:after="0" w:line="233" w:lineRule="auto"/>
        <w:rPr>
          <w:sz w:val="20"/>
          <w:szCs w:val="20"/>
          <w:color w:val="auto"/>
        </w:rPr>
      </w:pPr>
      <w:r>
        <w:rPr>
          <w:rFonts w:ascii="Arial" w:cs="Arial" w:eastAsia="Arial" w:hAnsi="Arial"/>
          <w:sz w:val="18"/>
          <w:szCs w:val="18"/>
          <w:color w:val="auto"/>
        </w:rPr>
        <w:t>arrangements or understandings the stockholder may have with any proposed nominee or other parties relating to the nomination or other</w:t>
      </w:r>
    </w:p>
    <w:p>
      <w:pPr>
        <w:spacing w:after="0" w:line="224" w:lineRule="auto"/>
        <w:rPr>
          <w:sz w:val="20"/>
          <w:szCs w:val="20"/>
          <w:color w:val="auto"/>
        </w:rPr>
      </w:pPr>
      <w:r>
        <w:rPr>
          <w:rFonts w:ascii="Arial" w:cs="Arial" w:eastAsia="Arial" w:hAnsi="Arial"/>
          <w:sz w:val="18"/>
          <w:szCs w:val="18"/>
          <w:color w:val="auto"/>
        </w:rPr>
        <w:t>proposal; and the interests that the stockholder has related to our Company and its shares, including as a result of, among other things, derivative securities, voting arrangements or short positions. Such information must be updated as of the record date for the 2027 Annual</w:t>
      </w:r>
    </w:p>
    <w:p>
      <w:pPr>
        <w:spacing w:after="0" w:line="232" w:lineRule="auto"/>
        <w:rPr>
          <w:sz w:val="20"/>
          <w:szCs w:val="20"/>
          <w:color w:val="auto"/>
        </w:rPr>
      </w:pPr>
      <w:r>
        <w:rPr>
          <w:rFonts w:ascii="Arial" w:cs="Arial" w:eastAsia="Arial" w:hAnsi="Arial"/>
          <w:sz w:val="18"/>
          <w:szCs w:val="18"/>
          <w:color w:val="auto"/>
        </w:rPr>
        <w:t>Meeting and as of the date that is 10 business days prior to the date of the 2027 Annual Meeting. This summary information regarding our</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Amended and Restated Bylaws is qualified in its entirety by reference to the full text of the Amended and Restated Bylaws, which can be found on our website at www.thetorocompany.com/corporategovernance. If a nomination or proposal is not timely and properly made in accordance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with the procedures set forth in our Amended and Restated Bylaws, or does not contain the specific information required by our Amended and</w:t>
      </w:r>
    </w:p>
    <w:p>
      <w:pPr>
        <w:spacing w:after="0" w:line="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Restated Bylaws, such nomination or proposal will be defective and will not be brought before the 2027 Annual Meeting. If a nomination or proposal is nonetheless brought before the 2027 Annual Meeting and the Chairman does not exercise the power and duty to declare the</w:t>
      </w:r>
    </w:p>
    <w:p>
      <w:pPr>
        <w:spacing w:after="0" w:line="232" w:lineRule="auto"/>
        <w:rPr>
          <w:sz w:val="20"/>
          <w:szCs w:val="20"/>
          <w:color w:val="auto"/>
        </w:rPr>
      </w:pPr>
      <w:r>
        <w:rPr>
          <w:rFonts w:ascii="Arial" w:cs="Arial" w:eastAsia="Arial" w:hAnsi="Arial"/>
          <w:sz w:val="18"/>
          <w:szCs w:val="18"/>
          <w:color w:val="auto"/>
        </w:rPr>
        <w:t>nomination or proposal defective, the persons named in the proxy may use their discretionary voting with respect to such nomination or</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proposal. In addition, to comply with the universal proxy rules, stockholders who intend to solicit proxies in support of director nominees other than the nominees of our Board of Directors must also comply with the additional requirements of Rule 14a-19 under the Exchange Act,</w:t>
      </w:r>
    </w:p>
    <w:p>
      <w:pPr>
        <w:spacing w:after="0" w:line="232" w:lineRule="auto"/>
        <w:rPr>
          <w:sz w:val="20"/>
          <w:szCs w:val="20"/>
          <w:color w:val="auto"/>
        </w:rPr>
      </w:pPr>
      <w:r>
        <w:rPr>
          <w:rFonts w:ascii="Arial" w:cs="Arial" w:eastAsia="Arial" w:hAnsi="Arial"/>
          <w:sz w:val="18"/>
          <w:szCs w:val="18"/>
          <w:color w:val="auto"/>
        </w:rPr>
        <w:t>including providing a statement that such stockholder intends to solicit the holders of shares representing at least 67% of the voting power of</w:t>
      </w:r>
    </w:p>
    <w:p>
      <w:pPr>
        <w:spacing w:after="0" w:line="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TTC shares entitled to vote on the election of directors in support of director nominees other than TTC's nominees, as required by Rule 14a-19(b).</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Householding of Annual Meeting Materials</w:t>
      </w:r>
    </w:p>
    <w:p>
      <w:pPr>
        <w:spacing w:after="0" w:line="97" w:lineRule="exact"/>
        <w:rPr>
          <w:sz w:val="20"/>
          <w:szCs w:val="20"/>
          <w:color w:val="auto"/>
        </w:rPr>
      </w:pPr>
    </w:p>
    <w:p>
      <w:pPr>
        <w:ind w:firstLine="640"/>
        <w:spacing w:after="0" w:line="247" w:lineRule="auto"/>
        <w:rPr>
          <w:sz w:val="20"/>
          <w:szCs w:val="20"/>
          <w:color w:val="auto"/>
        </w:rPr>
      </w:pPr>
      <w:r>
        <w:rPr>
          <w:rFonts w:ascii="Arial" w:cs="Arial" w:eastAsia="Arial" w:hAnsi="Arial"/>
          <w:sz w:val="17"/>
          <w:szCs w:val="17"/>
          <w:color w:val="auto"/>
        </w:rPr>
        <w:t>Some banks, brokers and other nominee record holders may be participating in the practice of "householding" proxy statements and annual reports. This means that only one set of these documents may have been sent to multiple stockholders at a shared address. Additional</w:t>
      </w:r>
    </w:p>
    <w:p>
      <w:pPr>
        <w:spacing w:after="0" w:line="232" w:lineRule="auto"/>
        <w:rPr>
          <w:sz w:val="20"/>
          <w:szCs w:val="20"/>
          <w:color w:val="auto"/>
        </w:rPr>
      </w:pPr>
      <w:r>
        <w:rPr>
          <w:rFonts w:ascii="Arial" w:cs="Arial" w:eastAsia="Arial" w:hAnsi="Arial"/>
          <w:sz w:val="18"/>
          <w:szCs w:val="18"/>
          <w:color w:val="auto"/>
        </w:rPr>
        <w:t>copies of this proxy statement and our Annual Report on Form 10-K are available upon request to our General Counsel at 8111 Lyndale</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Avenue South, Bloomington, Minnesota, 55420-1196, by telephone at (952) 888-8801, or by e-mail to invest@toro.com. These documents also may be downloaded and printed from our website at www.thetorocompany.com/proxy. Any stockholder who wants to receive separate</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copies of our proxy statement and annual report in the future, or any stockholder who is receiving multiple copies and would like to receive only one copy per household, should contact his, her or its bank, broker or other nominee record holder.</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Annual Report</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TTC's Annual Report on Form 10-K for the fiscal year ended October 31, 2025, as filed with the SEC, will be sent to any</w:t>
      </w:r>
    </w:p>
    <w:p>
      <w:pPr>
        <w:spacing w:after="0" w:line="11"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color w:val="auto"/>
        </w:rPr>
        <w:t>stockholder, without charge, upon written request to our General Counsel at 8111 Lyndale Avenue South, Bloomington, Minnesota, 55420-1196. You also may obtain our Annual Report on Form 10-K on the Internet at the SEC's website, www.sec.gov, or on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at www.thetorocompany.com/proxy. Our Fiscal Year 2025 Annual Report, which contains information about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108" w:name="page109"/>
    <w:bookmarkEnd w:id="108"/>
    <w:p>
      <w:pPr>
        <w:spacing w:after="0" w:line="276" w:lineRule="auto"/>
        <w:rPr>
          <w:sz w:val="20"/>
          <w:szCs w:val="20"/>
          <w:color w:val="auto"/>
        </w:rPr>
      </w:pPr>
      <w:r>
        <w:rPr>
          <w:rFonts w:ascii="Arial" w:cs="Arial" w:eastAsia="Arial" w:hAnsi="Arial"/>
          <w:sz w:val="18"/>
          <w:szCs w:val="18"/>
          <w:b w:val="1"/>
          <w:bCs w:val="1"/>
          <w:color w:val="auto"/>
        </w:rPr>
        <w:t>our business but is not part of our disclosure deemed to be filed with the SEC, also is available on our website at www.thetorocompany.com/proxy.</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Cost and Method of Solicitation</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will pay the cost of soliciting proxies and may make arrangements with brokerage houses, custodians, nominees and other</w:t>
      </w:r>
    </w:p>
    <w:p>
      <w:pPr>
        <w:spacing w:after="0" w:line="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fiduciaries to send proxy materials to beneficial owners of our common stock. We will reimburse these third-parties for reasonable out-of-pocket expenses. In addition to solicitation by mail, our non-employee directors, executive officers and other employees may solicit proxies by</w:t>
      </w:r>
    </w:p>
    <w:p>
      <w:pPr>
        <w:spacing w:after="0" w:line="233" w:lineRule="auto"/>
        <w:rPr>
          <w:sz w:val="20"/>
          <w:szCs w:val="20"/>
          <w:color w:val="auto"/>
        </w:rPr>
      </w:pPr>
      <w:r>
        <w:rPr>
          <w:rFonts w:ascii="Arial" w:cs="Arial" w:eastAsia="Arial" w:hAnsi="Arial"/>
          <w:sz w:val="18"/>
          <w:szCs w:val="18"/>
          <w:color w:val="auto"/>
        </w:rPr>
        <w:t>telephone, electronic transmission and personally. Our non-employee directors, executive officers and other employees will not receive</w:t>
      </w:r>
    </w:p>
    <w:p>
      <w:pPr>
        <w:spacing w:after="0" w:line="187" w:lineRule="auto"/>
        <w:rPr>
          <w:sz w:val="20"/>
          <w:szCs w:val="20"/>
          <w:color w:val="auto"/>
        </w:rPr>
      </w:pPr>
      <w:r>
        <w:rPr>
          <w:rFonts w:ascii="Arial" w:cs="Arial" w:eastAsia="Arial" w:hAnsi="Arial"/>
          <w:sz w:val="17"/>
          <w:szCs w:val="17"/>
          <w:color w:val="auto"/>
        </w:rPr>
        <w:t>compensation for such services other than regular non-employee director or employee compensation. We have retained Morrow Sodali LLC, 333 Ludlow Street, 5</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Floor, South Tower, Stamford, Connecticut, 06902, for an estimated fee of $10,000, plus out of pocket expenses, to</w:t>
      </w:r>
    </w:p>
    <w:p>
      <w:pPr>
        <w:spacing w:after="0" w:line="2" w:lineRule="exact"/>
        <w:rPr>
          <w:sz w:val="20"/>
          <w:szCs w:val="20"/>
          <w:color w:val="auto"/>
        </w:rPr>
      </w:pPr>
    </w:p>
    <w:p>
      <w:pPr>
        <w:ind w:right="1900"/>
        <w:spacing w:after="0" w:line="362" w:lineRule="auto"/>
        <w:rPr>
          <w:sz w:val="20"/>
          <w:szCs w:val="20"/>
          <w:color w:val="auto"/>
        </w:rPr>
      </w:pPr>
      <w:r>
        <w:rPr>
          <w:rFonts w:ascii="Arial" w:cs="Arial" w:eastAsia="Arial" w:hAnsi="Arial"/>
          <w:sz w:val="18"/>
          <w:szCs w:val="18"/>
          <w:color w:val="auto"/>
        </w:rPr>
        <w:t>assist in distributing proxy materials and soliciting proxies in connection with our 2025 Annual Meeting of Stockholders. Dated: February 3, 2026</w:t>
      </w:r>
    </w:p>
    <w:p>
      <w:pPr>
        <w:ind w:left="74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4478020</wp:posOffset>
            </wp:positionH>
            <wp:positionV relativeFrom="paragraph">
              <wp:posOffset>23495</wp:posOffset>
            </wp:positionV>
            <wp:extent cx="1381125" cy="4406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381125" cy="440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left="5020"/>
        <w:spacing w:after="0"/>
        <w:rPr>
          <w:sz w:val="20"/>
          <w:szCs w:val="20"/>
          <w:color w:val="auto"/>
        </w:rPr>
      </w:pPr>
      <w:r>
        <w:rPr>
          <w:rFonts w:ascii="Arial" w:cs="Arial" w:eastAsia="Arial" w:hAnsi="Arial"/>
          <w:sz w:val="18"/>
          <w:szCs w:val="18"/>
          <w:b w:val="1"/>
          <w:bCs w:val="1"/>
          <w:color w:val="BF2115"/>
        </w:rPr>
        <w:t>Joanna M. Totsky</w:t>
      </w:r>
    </w:p>
    <w:p>
      <w:pPr>
        <w:jc w:val="center"/>
        <w:ind w:left="5020"/>
        <w:spacing w:after="0" w:line="201" w:lineRule="auto"/>
        <w:rPr>
          <w:sz w:val="20"/>
          <w:szCs w:val="20"/>
          <w:color w:val="auto"/>
        </w:rPr>
      </w:pPr>
      <w:r>
        <w:rPr>
          <w:rFonts w:ascii="Arial" w:cs="Arial" w:eastAsia="Arial" w:hAnsi="Arial"/>
          <w:sz w:val="18"/>
          <w:szCs w:val="18"/>
          <w:color w:val="auto"/>
        </w:rPr>
        <w:t>Vice President, General Counsel</w:t>
      </w:r>
    </w:p>
    <w:p>
      <w:pPr>
        <w:jc w:val="center"/>
        <w:ind w:left="5020"/>
        <w:spacing w:after="0"/>
        <w:rPr>
          <w:sz w:val="20"/>
          <w:szCs w:val="20"/>
          <w:color w:val="auto"/>
        </w:rPr>
      </w:pPr>
      <w:r>
        <w:rPr>
          <w:rFonts w:ascii="Arial" w:cs="Arial" w:eastAsia="Arial" w:hAnsi="Arial"/>
          <w:sz w:val="18"/>
          <w:szCs w:val="18"/>
          <w:color w:val="auto"/>
        </w:rPr>
        <w:t>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21"/>
          <w:szCs w:val="21"/>
          <w:b w:val="1"/>
          <w:bCs w:val="1"/>
          <w:color w:val="FFFFFF"/>
        </w:rPr>
        <w:t>APPENDIX A - NON GAAP RECONCILIATIONS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-142875</wp:posOffset>
            </wp:positionV>
            <wp:extent cx="7134225" cy="169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33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Toro Company uses the following non-GAAP financial measure in this proxy statement to analyze the Company’s operating performance and as a corporate performance measure related to executive compensation. The Toro Company's non-GAAP financial measure should not be considered in isolation or as a substitute for GAAP financial measures. Because The Toro Company’s calculation of this measure may differ from similar measures used by other companies, investors should be careful when comparing The Toro Company’s non-GAAP financial measure to those of other companies. The Toro Company uses adjusted net earnings per diluted share. The Company believes this metric provides investors with an important measure of stockholder value. The comparable GAAP measure includes earnings per share.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60" w:type="dxa"/>
            <w:vAlign w:val="bottom"/>
            <w:shd w:val="clear" w:color="auto" w:fill="BF2115"/>
          </w:tcPr>
          <w:p>
            <w:pPr>
              <w:spacing w:after="0"/>
              <w:rPr>
                <w:sz w:val="19"/>
                <w:szCs w:val="19"/>
                <w:color w:val="auto"/>
              </w:rPr>
            </w:pPr>
          </w:p>
        </w:tc>
        <w:tc>
          <w:tcPr>
            <w:tcW w:w="1840" w:type="dxa"/>
            <w:vAlign w:val="bottom"/>
            <w:shd w:val="clear" w:color="auto" w:fill="BF2115"/>
          </w:tcPr>
          <w:p>
            <w:pPr>
              <w:spacing w:after="0"/>
              <w:rPr>
                <w:sz w:val="19"/>
                <w:szCs w:val="19"/>
                <w:color w:val="auto"/>
              </w:rPr>
            </w:pPr>
          </w:p>
        </w:tc>
        <w:tc>
          <w:tcPr>
            <w:tcW w:w="3840" w:type="dxa"/>
            <w:vAlign w:val="bottom"/>
            <w:shd w:val="clear" w:color="auto" w:fill="BF2115"/>
          </w:tcPr>
          <w:p>
            <w:pPr>
              <w:jc w:val="right"/>
              <w:ind w:right="2311"/>
              <w:spacing w:after="0"/>
              <w:rPr>
                <w:sz w:val="20"/>
                <w:szCs w:val="20"/>
                <w:color w:val="auto"/>
              </w:rPr>
            </w:pPr>
            <w:r>
              <w:rPr>
                <w:rFonts w:ascii="Arial" w:cs="Arial" w:eastAsia="Arial" w:hAnsi="Arial"/>
                <w:sz w:val="18"/>
                <w:szCs w:val="18"/>
                <w:b w:val="1"/>
                <w:bCs w:val="1"/>
                <w:color w:val="FFFFFF"/>
              </w:rPr>
              <w:t>F25</w:t>
            </w:r>
          </w:p>
        </w:tc>
      </w:tr>
      <w:tr>
        <w:trPr>
          <w:trHeight w:val="227"/>
        </w:trPr>
        <w:tc>
          <w:tcPr>
            <w:tcW w:w="4460" w:type="dxa"/>
            <w:vAlign w:val="bottom"/>
          </w:tcPr>
          <w:p>
            <w:pPr>
              <w:ind w:left="20"/>
              <w:spacing w:after="0"/>
              <w:rPr>
                <w:sz w:val="20"/>
                <w:szCs w:val="20"/>
                <w:color w:val="auto"/>
              </w:rPr>
            </w:pPr>
            <w:r>
              <w:rPr>
                <w:rFonts w:ascii="Arial" w:cs="Arial" w:eastAsia="Arial" w:hAnsi="Arial"/>
                <w:sz w:val="18"/>
                <w:szCs w:val="18"/>
                <w:color w:val="auto"/>
              </w:rPr>
              <w:t>GAAP EPS</w:t>
            </w:r>
          </w:p>
        </w:tc>
        <w:tc>
          <w:tcPr>
            <w:tcW w:w="1840" w:type="dxa"/>
            <w:vAlign w:val="bottom"/>
          </w:tcPr>
          <w:p>
            <w:pPr>
              <w:jc w:val="right"/>
              <w:ind w:right="1051"/>
              <w:spacing w:after="0"/>
              <w:rPr>
                <w:sz w:val="20"/>
                <w:szCs w:val="20"/>
                <w:color w:val="auto"/>
              </w:rPr>
            </w:pPr>
            <w:r>
              <w:rPr>
                <w:rFonts w:ascii="Arial" w:cs="Arial" w:eastAsia="Arial" w:hAnsi="Arial"/>
                <w:sz w:val="18"/>
                <w:szCs w:val="18"/>
                <w:color w:val="auto"/>
              </w:rPr>
              <w:t>$</w:t>
            </w:r>
          </w:p>
        </w:tc>
        <w:tc>
          <w:tcPr>
            <w:tcW w:w="384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27"/>
        </w:trPr>
        <w:tc>
          <w:tcPr>
            <w:tcW w:w="4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Acquisition-related costs</w:t>
            </w:r>
          </w:p>
        </w:tc>
        <w:tc>
          <w:tcPr>
            <w:tcW w:w="1840" w:type="dxa"/>
            <w:vAlign w:val="bottom"/>
            <w:shd w:val="clear" w:color="auto" w:fill="DBDBDB"/>
          </w:tcPr>
          <w:p>
            <w:pPr>
              <w:jc w:val="right"/>
              <w:ind w:right="1051"/>
              <w:spacing w:after="0"/>
              <w:rPr>
                <w:sz w:val="20"/>
                <w:szCs w:val="20"/>
                <w:color w:val="auto"/>
              </w:rPr>
            </w:pPr>
            <w:r>
              <w:rPr>
                <w:rFonts w:ascii="Arial" w:cs="Arial" w:eastAsia="Arial" w:hAnsi="Arial"/>
                <w:sz w:val="18"/>
                <w:szCs w:val="18"/>
                <w:color w:val="auto"/>
              </w:rPr>
              <w:t>$</w:t>
            </w:r>
          </w:p>
        </w:tc>
        <w:tc>
          <w:tcPr>
            <w:tcW w:w="3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460" w:type="dxa"/>
            <w:vAlign w:val="bottom"/>
          </w:tcPr>
          <w:p>
            <w:pPr>
              <w:ind w:left="20"/>
              <w:spacing w:after="0"/>
              <w:rPr>
                <w:sz w:val="20"/>
                <w:szCs w:val="20"/>
                <w:color w:val="auto"/>
              </w:rPr>
            </w:pPr>
            <w:r>
              <w:rPr>
                <w:rFonts w:ascii="Arial" w:cs="Arial" w:eastAsia="Arial" w:hAnsi="Arial"/>
                <w:sz w:val="18"/>
                <w:szCs w:val="18"/>
                <w:color w:val="auto"/>
              </w:rPr>
              <w:t>Management actions/productivity initiative (AMP)</w:t>
            </w:r>
          </w:p>
        </w:tc>
        <w:tc>
          <w:tcPr>
            <w:tcW w:w="1840" w:type="dxa"/>
            <w:vAlign w:val="bottom"/>
          </w:tcPr>
          <w:p>
            <w:pPr>
              <w:jc w:val="right"/>
              <w:ind w:right="1051"/>
              <w:spacing w:after="0"/>
              <w:rPr>
                <w:sz w:val="20"/>
                <w:szCs w:val="20"/>
                <w:color w:val="auto"/>
              </w:rPr>
            </w:pPr>
            <w:r>
              <w:rPr>
                <w:rFonts w:ascii="Arial" w:cs="Arial" w:eastAsia="Arial" w:hAnsi="Arial"/>
                <w:sz w:val="18"/>
                <w:szCs w:val="18"/>
                <w:color w:val="auto"/>
              </w:rPr>
              <w:t>$</w:t>
            </w:r>
          </w:p>
        </w:tc>
        <w:tc>
          <w:tcPr>
            <w:tcW w:w="3840" w:type="dxa"/>
            <w:vAlign w:val="bottom"/>
          </w:tcPr>
          <w:p>
            <w:pPr>
              <w:jc w:val="right"/>
              <w:spacing w:after="0"/>
              <w:rPr>
                <w:sz w:val="20"/>
                <w:szCs w:val="20"/>
                <w:color w:val="auto"/>
              </w:rPr>
            </w:pPr>
            <w:r>
              <w:rPr>
                <w:rFonts w:ascii="Arial" w:cs="Arial" w:eastAsia="Arial" w:hAnsi="Arial"/>
                <w:sz w:val="18"/>
                <w:szCs w:val="18"/>
                <w:color w:val="auto"/>
              </w:rPr>
              <w:t>0.42</w:t>
            </w:r>
          </w:p>
        </w:tc>
      </w:tr>
      <w:tr>
        <w:trPr>
          <w:trHeight w:val="227"/>
        </w:trPr>
        <w:tc>
          <w:tcPr>
            <w:tcW w:w="4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Tax impact of stock-based compensation</w:t>
            </w:r>
          </w:p>
        </w:tc>
        <w:tc>
          <w:tcPr>
            <w:tcW w:w="1840" w:type="dxa"/>
            <w:vAlign w:val="bottom"/>
            <w:shd w:val="clear" w:color="auto" w:fill="DBDBDB"/>
          </w:tcPr>
          <w:p>
            <w:pPr>
              <w:jc w:val="right"/>
              <w:ind w:right="1051"/>
              <w:spacing w:after="0"/>
              <w:rPr>
                <w:sz w:val="20"/>
                <w:szCs w:val="20"/>
                <w:color w:val="auto"/>
              </w:rPr>
            </w:pPr>
            <w:r>
              <w:rPr>
                <w:rFonts w:ascii="Arial" w:cs="Arial" w:eastAsia="Arial" w:hAnsi="Arial"/>
                <w:sz w:val="18"/>
                <w:szCs w:val="18"/>
                <w:color w:val="auto"/>
              </w:rPr>
              <w:t>$</w:t>
            </w:r>
          </w:p>
        </w:tc>
        <w:tc>
          <w:tcPr>
            <w:tcW w:w="3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460" w:type="dxa"/>
            <w:vAlign w:val="bottom"/>
          </w:tcPr>
          <w:p>
            <w:pPr>
              <w:ind w:left="20"/>
              <w:spacing w:after="0"/>
              <w:rPr>
                <w:sz w:val="20"/>
                <w:szCs w:val="20"/>
                <w:color w:val="auto"/>
              </w:rPr>
            </w:pPr>
            <w:r>
              <w:rPr>
                <w:rFonts w:ascii="Arial" w:cs="Arial" w:eastAsia="Arial" w:hAnsi="Arial"/>
                <w:sz w:val="18"/>
                <w:szCs w:val="18"/>
                <w:color w:val="auto"/>
              </w:rPr>
              <w:t>Other*</w:t>
            </w:r>
          </w:p>
        </w:tc>
        <w:tc>
          <w:tcPr>
            <w:tcW w:w="1840" w:type="dxa"/>
            <w:vAlign w:val="bottom"/>
          </w:tcPr>
          <w:p>
            <w:pPr>
              <w:jc w:val="right"/>
              <w:ind w:right="1051"/>
              <w:spacing w:after="0"/>
              <w:rPr>
                <w:sz w:val="20"/>
                <w:szCs w:val="20"/>
                <w:color w:val="auto"/>
              </w:rPr>
            </w:pPr>
            <w:r>
              <w:rPr>
                <w:rFonts w:ascii="Arial" w:cs="Arial" w:eastAsia="Arial" w:hAnsi="Arial"/>
                <w:sz w:val="18"/>
                <w:szCs w:val="18"/>
                <w:color w:val="auto"/>
              </w:rPr>
              <w:t>$</w:t>
            </w:r>
          </w:p>
        </w:tc>
        <w:tc>
          <w:tcPr>
            <w:tcW w:w="3840" w:type="dxa"/>
            <w:vAlign w:val="bottom"/>
          </w:tcPr>
          <w:p>
            <w:pPr>
              <w:jc w:val="right"/>
              <w:spacing w:after="0"/>
              <w:rPr>
                <w:sz w:val="20"/>
                <w:szCs w:val="20"/>
                <w:color w:val="auto"/>
              </w:rPr>
            </w:pPr>
            <w:r>
              <w:rPr>
                <w:rFonts w:ascii="Arial" w:cs="Arial" w:eastAsia="Arial" w:hAnsi="Arial"/>
                <w:sz w:val="18"/>
                <w:szCs w:val="18"/>
                <w:color w:val="auto"/>
              </w:rPr>
              <w:t>0.61</w:t>
            </w:r>
          </w:p>
        </w:tc>
      </w:tr>
      <w:tr>
        <w:trPr>
          <w:trHeight w:val="227"/>
        </w:trPr>
        <w:tc>
          <w:tcPr>
            <w:tcW w:w="4460" w:type="dxa"/>
            <w:vAlign w:val="bottom"/>
            <w:shd w:val="clear" w:color="auto" w:fill="BF2115"/>
          </w:tcPr>
          <w:p>
            <w:pPr>
              <w:ind w:left="20"/>
              <w:spacing w:after="0"/>
              <w:rPr>
                <w:sz w:val="20"/>
                <w:szCs w:val="20"/>
                <w:color w:val="auto"/>
              </w:rPr>
            </w:pPr>
            <w:r>
              <w:rPr>
                <w:rFonts w:ascii="Arial" w:cs="Arial" w:eastAsia="Arial" w:hAnsi="Arial"/>
                <w:sz w:val="18"/>
                <w:szCs w:val="18"/>
                <w:b w:val="1"/>
                <w:bCs w:val="1"/>
                <w:color w:val="FFFFFF"/>
              </w:rPr>
              <w:t>Adjusted EPS</w:t>
            </w:r>
          </w:p>
        </w:tc>
        <w:tc>
          <w:tcPr>
            <w:tcW w:w="1840" w:type="dxa"/>
            <w:vAlign w:val="bottom"/>
            <w:shd w:val="clear" w:color="auto" w:fill="BF2115"/>
          </w:tcPr>
          <w:p>
            <w:pPr>
              <w:jc w:val="right"/>
              <w:ind w:right="1051"/>
              <w:spacing w:after="0"/>
              <w:rPr>
                <w:sz w:val="20"/>
                <w:szCs w:val="20"/>
                <w:color w:val="auto"/>
              </w:rPr>
            </w:pPr>
            <w:r>
              <w:rPr>
                <w:rFonts w:ascii="Arial" w:cs="Arial" w:eastAsia="Arial" w:hAnsi="Arial"/>
                <w:sz w:val="18"/>
                <w:szCs w:val="18"/>
                <w:b w:val="1"/>
                <w:bCs w:val="1"/>
                <w:color w:val="FFFFFF"/>
              </w:rPr>
              <w:t>$</w:t>
            </w:r>
          </w:p>
        </w:tc>
        <w:tc>
          <w:tcPr>
            <w:tcW w:w="3840" w:type="dxa"/>
            <w:vAlign w:val="bottom"/>
            <w:shd w:val="clear" w:color="auto" w:fill="BF2115"/>
          </w:tcPr>
          <w:p>
            <w:pPr>
              <w:jc w:val="right"/>
              <w:spacing w:after="0"/>
              <w:rPr>
                <w:sz w:val="20"/>
                <w:szCs w:val="20"/>
                <w:color w:val="auto"/>
              </w:rPr>
            </w:pPr>
            <w:r>
              <w:rPr>
                <w:rFonts w:ascii="Arial" w:cs="Arial" w:eastAsia="Arial" w:hAnsi="Arial"/>
                <w:sz w:val="18"/>
                <w:szCs w:val="18"/>
                <w:b w:val="1"/>
                <w:bCs w:val="1"/>
                <w:color w:val="FFFFFF"/>
              </w:rPr>
              <w:t>4.20</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Adjusted for stock splits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Includes non-cash impairment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79"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21"/>
          <w:szCs w:val="21"/>
          <w:b w:val="1"/>
          <w:bCs w:val="1"/>
          <w:color w:val="FFFFFF"/>
        </w:rPr>
        <w:t>APPENDIX B - THE TORO COMPANY 2026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-142875</wp:posOffset>
            </wp:positionV>
            <wp:extent cx="7134225" cy="652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4225" cy="652145"/>
                    </a:xfrm>
                    <a:prstGeom prst="rect">
                      <a:avLst/>
                    </a:prstGeom>
                    <a:noFill/>
                  </pic:spPr>
                </pic:pic>
              </a:graphicData>
            </a:graphic>
          </wp:anchor>
        </w:drawing>
      </w:r>
    </w:p>
    <w:p>
      <w:pPr>
        <w:sectPr>
          <w:pgSz w:w="11900" w:h="16838" w:orient="portrait"/>
          <w:cols w:equalWidth="0" w:num="1">
            <w:col w:w="11240"/>
          </w:cols>
          <w:pgMar w:left="320" w:top="14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300"/>
        <w:spacing w:after="0"/>
        <w:rPr>
          <w:sz w:val="20"/>
          <w:szCs w:val="20"/>
          <w:color w:val="auto"/>
        </w:rPr>
      </w:pPr>
      <w:r>
        <w:rPr>
          <w:rFonts w:ascii="Arial" w:cs="Arial" w:eastAsia="Arial" w:hAnsi="Arial"/>
          <w:sz w:val="28"/>
          <w:szCs w:val="28"/>
          <w:b w:val="1"/>
          <w:bCs w:val="1"/>
          <w:color w:val="auto"/>
        </w:rPr>
        <w:t>The Toro Company</w:t>
      </w:r>
    </w:p>
    <w:p>
      <w:pPr>
        <w:spacing w:after="0" w:line="53" w:lineRule="exact"/>
        <w:rPr>
          <w:sz w:val="20"/>
          <w:szCs w:val="20"/>
          <w:color w:val="auto"/>
        </w:rPr>
      </w:pPr>
    </w:p>
    <w:p>
      <w:pPr>
        <w:ind w:left="4500"/>
        <w:spacing w:after="0"/>
        <w:rPr>
          <w:sz w:val="20"/>
          <w:szCs w:val="20"/>
          <w:color w:val="auto"/>
        </w:rPr>
      </w:pPr>
      <w:r>
        <w:rPr>
          <w:rFonts w:ascii="Arial" w:cs="Arial" w:eastAsia="Arial" w:hAnsi="Arial"/>
          <w:sz w:val="28"/>
          <w:szCs w:val="28"/>
          <w:b w:val="1"/>
          <w:bCs w:val="1"/>
          <w:color w:val="auto"/>
        </w:rPr>
        <w:t>2026 Equity Plan</w:t>
      </w:r>
    </w:p>
    <w:p>
      <w:pPr>
        <w:spacing w:after="0" w:line="237"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8"/>
          <w:szCs w:val="18"/>
          <w:b w:val="1"/>
          <w:bCs w:val="1"/>
          <w:color w:val="auto"/>
        </w:rPr>
        <w:t>Article 1.</w:t>
      </w:r>
      <w:r>
        <w:rPr>
          <w:sz w:val="20"/>
          <w:szCs w:val="20"/>
          <w:color w:val="auto"/>
        </w:rPr>
        <w:tab/>
      </w:r>
      <w:r>
        <w:rPr>
          <w:rFonts w:ascii="Arial" w:cs="Arial" w:eastAsia="Arial" w:hAnsi="Arial"/>
          <w:sz w:val="17"/>
          <w:szCs w:val="17"/>
          <w:b w:val="1"/>
          <w:bCs w:val="1"/>
          <w:color w:val="auto"/>
        </w:rPr>
        <w:t>Establishment, Purpose and Duration</w:t>
      </w:r>
    </w:p>
    <w:p>
      <w:pPr>
        <w:spacing w:after="0" w:line="180" w:lineRule="exact"/>
        <w:rPr>
          <w:sz w:val="20"/>
          <w:szCs w:val="20"/>
          <w:color w:val="auto"/>
        </w:rPr>
      </w:pPr>
    </w:p>
    <w:p>
      <w:pPr>
        <w:jc w:val="both"/>
        <w:ind w:firstLine="640"/>
        <w:spacing w:after="0" w:line="213" w:lineRule="auto"/>
        <w:rPr>
          <w:sz w:val="20"/>
          <w:szCs w:val="20"/>
          <w:color w:val="auto"/>
        </w:rPr>
      </w:pPr>
      <w:r>
        <w:rPr>
          <w:rFonts w:ascii="Arial" w:cs="Arial" w:eastAsia="Arial" w:hAnsi="Arial"/>
          <w:sz w:val="18"/>
          <w:szCs w:val="18"/>
          <w:b w:val="1"/>
          <w:bCs w:val="1"/>
          <w:color w:val="auto"/>
        </w:rPr>
        <w:t>1.1 Establishment</w:t>
      </w:r>
      <w:r>
        <w:rPr>
          <w:rFonts w:ascii="Arial" w:cs="Arial" w:eastAsia="Arial" w:hAnsi="Arial"/>
          <w:sz w:val="18"/>
          <w:szCs w:val="18"/>
          <w:color w:val="auto"/>
        </w:rPr>
        <w:t>. The Toro Company, a Delaware corporation (the “Company”), has established an equity compensation plan</w:t>
      </w:r>
      <w:r>
        <w:rPr>
          <w:rFonts w:ascii="Arial" w:cs="Arial" w:eastAsia="Arial" w:hAnsi="Arial"/>
          <w:sz w:val="18"/>
          <w:szCs w:val="18"/>
          <w:b w:val="1"/>
          <w:bCs w:val="1"/>
          <w:color w:val="auto"/>
        </w:rPr>
        <w:t xml:space="preserve"> </w:t>
      </w:r>
      <w:r>
        <w:rPr>
          <w:rFonts w:ascii="Arial" w:cs="Arial" w:eastAsia="Arial" w:hAnsi="Arial"/>
          <w:sz w:val="18"/>
          <w:szCs w:val="18"/>
          <w:color w:val="auto"/>
        </w:rPr>
        <w:t>known as The Toro Company 2026 Equity Plan, as set forth in this document (this “Plan”). This Plan provides for the grant of Nonqualified Stock Options, Incentive Stock Options, Stock Appreciation Rights, Restricted Stock, Restricted Stock Units, Performance Shares,</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 xml:space="preserve">Performance Units, and Other Stock-Based Awards, each as defined below in Article 2. This Plan will become effective upon its approval by the shareholders of the Company (the “Effective Date”) and will remain in effect as provided in Section 1.3. On the Effective Date, this Plan will replace and supersede in its entirety The Toro Company 2022 Equity and Incentive Plan (the “Prior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awards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outstanding under the Prior Plan as of the Effective Date shall remain outstanding in accordance with their terms. After the Effective Date, no more grants of awards shall be made under the Prior Plan.</w:t>
      </w:r>
    </w:p>
    <w:p>
      <w:pPr>
        <w:spacing w:after="0" w:line="1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Purpose of This Plan</w:t>
      </w:r>
      <w:r>
        <w:rPr>
          <w:rFonts w:ascii="Arial" w:cs="Arial" w:eastAsia="Arial" w:hAnsi="Arial"/>
          <w:sz w:val="17"/>
          <w:szCs w:val="17"/>
          <w:color w:val="auto"/>
        </w:rPr>
        <w:t>. The purpose of this Plan is to provide a means whereby Employees, Directors and Third-Party Service</w:t>
      </w:r>
    </w:p>
    <w:p>
      <w:pPr>
        <w:jc w:val="both"/>
        <w:spacing w:after="0" w:line="206" w:lineRule="auto"/>
        <w:rPr>
          <w:sz w:val="20"/>
          <w:szCs w:val="20"/>
          <w:color w:val="auto"/>
        </w:rPr>
      </w:pPr>
      <w:r>
        <w:rPr>
          <w:rFonts w:ascii="Arial" w:cs="Arial" w:eastAsia="Arial" w:hAnsi="Arial"/>
          <w:sz w:val="18"/>
          <w:szCs w:val="18"/>
          <w:color w:val="auto"/>
        </w:rPr>
        <w:t>Providers, each as defined below in Article 2, develop a sense of ownership and personal involvement in the development and financial success of the Company, and to encourage them to devote their best efforts to the business of the Company, thereby advancing the interests of the Company and its shareholders. A further purpose of this Plan is to provide a means through which the Company may attract talented</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and qualified individuals to become Employees or serve as Directors or Third-Party Service Providers, and provide a means for such individuals to acquire and maintain stock ownership, which facilitates alignment of interests with the Company’s shareholders.</w:t>
      </w:r>
    </w:p>
    <w:p>
      <w:pPr>
        <w:spacing w:after="0" w:line="1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Duration of This Plan</w:t>
      </w:r>
      <w:r>
        <w:rPr>
          <w:rFonts w:ascii="Arial" w:cs="Arial" w:eastAsia="Arial" w:hAnsi="Arial"/>
          <w:sz w:val="18"/>
          <w:szCs w:val="18"/>
          <w:color w:val="auto"/>
        </w:rPr>
        <w:t>. Unless sooner terminated as provided herein, this Plan shall terminate ten (10) years from the</w:t>
      </w:r>
    </w:p>
    <w:p>
      <w:pPr>
        <w:jc w:val="both"/>
        <w:spacing w:after="0" w:line="217" w:lineRule="auto"/>
        <w:rPr>
          <w:sz w:val="20"/>
          <w:szCs w:val="20"/>
          <w:color w:val="auto"/>
        </w:rPr>
      </w:pPr>
      <w:r>
        <w:rPr>
          <w:rFonts w:ascii="Arial" w:cs="Arial" w:eastAsia="Arial" w:hAnsi="Arial"/>
          <w:sz w:val="18"/>
          <w:szCs w:val="18"/>
          <w:color w:val="auto"/>
        </w:rPr>
        <w:t xml:space="preserve">Effective Date. After this Plan is terminated, no Awards may be granted under this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Awards previously granted under this Plan shall remain outstanding in accordance with their respective applicable terms and conditions and this Plan’s terms and conditions.</w:t>
      </w:r>
    </w:p>
    <w:p>
      <w:pPr>
        <w:spacing w:after="0" w:line="168"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8"/>
          <w:szCs w:val="18"/>
          <w:b w:val="1"/>
          <w:bCs w:val="1"/>
          <w:color w:val="auto"/>
        </w:rPr>
        <w:t>Article 2.</w:t>
      </w:r>
      <w:r>
        <w:rPr>
          <w:sz w:val="20"/>
          <w:szCs w:val="20"/>
          <w:color w:val="auto"/>
        </w:rPr>
        <w:tab/>
      </w:r>
      <w:r>
        <w:rPr>
          <w:rFonts w:ascii="Arial" w:cs="Arial" w:eastAsia="Arial" w:hAnsi="Arial"/>
          <w:sz w:val="17"/>
          <w:szCs w:val="17"/>
          <w:b w:val="1"/>
          <w:bCs w:val="1"/>
          <w:color w:val="auto"/>
        </w:rPr>
        <w:t>Definitions</w:t>
      </w:r>
    </w:p>
    <w:p>
      <w:pPr>
        <w:spacing w:after="0" w:line="195" w:lineRule="exact"/>
        <w:rPr>
          <w:sz w:val="20"/>
          <w:szCs w:val="20"/>
          <w:color w:val="auto"/>
        </w:rPr>
      </w:pPr>
    </w:p>
    <w:p>
      <w:pPr>
        <w:jc w:val="both"/>
        <w:ind w:firstLine="640"/>
        <w:spacing w:after="0" w:line="277" w:lineRule="auto"/>
        <w:rPr>
          <w:sz w:val="20"/>
          <w:szCs w:val="20"/>
          <w:color w:val="auto"/>
        </w:rPr>
      </w:pPr>
      <w:r>
        <w:rPr>
          <w:rFonts w:ascii="Arial" w:cs="Arial" w:eastAsia="Arial" w:hAnsi="Arial"/>
          <w:sz w:val="18"/>
          <w:szCs w:val="18"/>
          <w:color w:val="auto"/>
        </w:rPr>
        <w:t>Whenever used in this Plan, the following terms shall have the meanings set forth below, and when the meaning is intended, the initial letter of the word shall be capitalized.</w:t>
      </w:r>
    </w:p>
    <w:p>
      <w:pPr>
        <w:spacing w:after="0" w:line="147"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 corporation or other entity (including a partnership or limited liability company) that is controlled by,</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controlling, or under common control with the Company, and is designated as an Affiliate for purposes of this Plan by the Committee.</w:t>
      </w:r>
    </w:p>
    <w:p>
      <w:pPr>
        <w:spacing w:after="0" w:line="167" w:lineRule="exact"/>
        <w:rPr>
          <w:sz w:val="20"/>
          <w:szCs w:val="20"/>
          <w:color w:val="auto"/>
        </w:rPr>
      </w:pPr>
    </w:p>
    <w:p>
      <w:pPr>
        <w:jc w:val="both"/>
        <w:ind w:firstLine="640"/>
        <w:spacing w:after="0" w:line="213"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w:t>
      </w:r>
      <w:r>
        <w:rPr>
          <w:rFonts w:ascii="Arial" w:cs="Arial" w:eastAsia="Arial" w:hAnsi="Arial"/>
          <w:sz w:val="18"/>
          <w:szCs w:val="18"/>
          <w:b w:val="1"/>
          <w:bCs w:val="1"/>
          <w:color w:val="auto"/>
        </w:rPr>
        <w:t>Adverse Action</w:t>
      </w:r>
      <w:r>
        <w:rPr>
          <w:rFonts w:ascii="Arial" w:cs="Arial" w:eastAsia="Arial" w:hAnsi="Arial"/>
          <w:sz w:val="18"/>
          <w:szCs w:val="18"/>
          <w:color w:val="auto"/>
        </w:rPr>
        <w:t>” means any Participant, during or within one (1) year after the termination of employment or other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 an Affiliate or a Subsidiary, (a) being employed or retained by or rendering services to any organization that, directly or indirectly, competes with or becomes competitive with the Company or such Affiliate or Subsidiary, or rendering such services that are</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prejudicial or in conflict with the interests of the Company, an Affiliate or a Subsidiary, as reasonably determined by the Committee, or (b) violating any confidentiality agreement or agreement governing the ownership or assignment of intellectual property rights with the Company, as reasonably determined by the Committee, or (c) engaging in any other misconduct or significant act reasonably determined by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Committee to be injurious, detrimental or prejudicial to any interest of the Company, an Affiliate or a Subsidiary.</w:t>
      </w:r>
    </w:p>
    <w:p>
      <w:pPr>
        <w:spacing w:after="0" w:line="162"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applicable law, rule, or regulation, including without limitation, (a) provisions of the Code, the</w:t>
      </w:r>
      <w:r>
        <w:rPr>
          <w:rFonts w:ascii="Arial" w:cs="Arial" w:eastAsia="Arial" w:hAnsi="Arial"/>
          <w:sz w:val="18"/>
          <w:szCs w:val="18"/>
          <w:b w:val="1"/>
          <w:bCs w:val="1"/>
          <w:color w:val="auto"/>
        </w:rPr>
        <w:t xml:space="preserve"> </w:t>
      </w:r>
      <w:r>
        <w:rPr>
          <w:rFonts w:ascii="Arial" w:cs="Arial" w:eastAsia="Arial" w:hAnsi="Arial"/>
          <w:sz w:val="18"/>
          <w:szCs w:val="18"/>
          <w:color w:val="auto"/>
        </w:rPr>
        <w:t>U.S. Securities Act of 1933, as amended, the Exchange Act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32" w:right="339" w:bottom="1440" w:gutter="0" w:footer="0" w:header="0"/>
          <w:type w:val="continuous"/>
        </w:sectPr>
      </w:pPr>
    </w:p>
    <w:bookmarkStart w:id="111" w:name="page112"/>
    <w:bookmarkEnd w:id="111"/>
    <w:p>
      <w:pPr>
        <w:jc w:val="both"/>
        <w:spacing w:after="0" w:line="218" w:lineRule="auto"/>
        <w:rPr>
          <w:sz w:val="20"/>
          <w:szCs w:val="20"/>
          <w:color w:val="auto"/>
        </w:rPr>
      </w:pPr>
      <w:r>
        <w:rPr>
          <w:rFonts w:ascii="Arial" w:cs="Arial" w:eastAsia="Arial" w:hAnsi="Arial"/>
          <w:sz w:val="18"/>
          <w:szCs w:val="18"/>
          <w:color w:val="auto"/>
        </w:rPr>
        <w:t>any rules or regulations thereunder; (b) corporate, securities, tax or other laws, statutes, rules, requirements or regulations, whether federal, state, local or foreign; and (c) rules of any securities exchange, national market system or automated quotation system on which the Shares</w:t>
      </w:r>
    </w:p>
    <w:p>
      <w:pPr>
        <w:spacing w:after="0"/>
        <w:rPr>
          <w:sz w:val="20"/>
          <w:szCs w:val="20"/>
          <w:color w:val="auto"/>
        </w:rPr>
      </w:pPr>
      <w:r>
        <w:rPr>
          <w:rFonts w:ascii="Arial" w:cs="Arial" w:eastAsia="Arial" w:hAnsi="Arial"/>
          <w:sz w:val="18"/>
          <w:szCs w:val="18"/>
          <w:color w:val="auto"/>
        </w:rPr>
        <w:t>are listed, quoted or traded.</w:t>
      </w:r>
    </w:p>
    <w:p>
      <w:pPr>
        <w:spacing w:after="0" w:line="162" w:lineRule="exact"/>
        <w:rPr>
          <w:sz w:val="20"/>
          <w:szCs w:val="20"/>
          <w:color w:val="auto"/>
        </w:rPr>
      </w:pPr>
    </w:p>
    <w:p>
      <w:pPr>
        <w:jc w:val="both"/>
        <w:ind w:firstLine="640"/>
        <w:spacing w:after="0" w:line="232" w:lineRule="auto"/>
        <w:rPr>
          <w:sz w:val="20"/>
          <w:szCs w:val="20"/>
          <w:color w:val="auto"/>
        </w:rPr>
      </w:pPr>
      <w:r>
        <w:rPr>
          <w:rFonts w:ascii="Arial" w:cs="Arial" w:eastAsia="Arial" w:hAnsi="Arial"/>
          <w:sz w:val="17"/>
          <w:szCs w:val="17"/>
          <w:b w:val="1"/>
          <w:bCs w:val="1"/>
          <w:color w:val="auto"/>
        </w:rPr>
        <w:t xml:space="preserve">2.4 </w:t>
      </w:r>
      <w:r>
        <w:rPr>
          <w:rFonts w:ascii="Arial" w:cs="Arial" w:eastAsia="Arial" w:hAnsi="Arial"/>
          <w:sz w:val="17"/>
          <w:szCs w:val="17"/>
          <w:color w:val="auto"/>
        </w:rPr>
        <w:t>“</w:t>
      </w:r>
      <w:r>
        <w:rPr>
          <w:rFonts w:ascii="Arial" w:cs="Arial" w:eastAsia="Arial" w:hAnsi="Arial"/>
          <w:sz w:val="17"/>
          <w:szCs w:val="17"/>
          <w:b w:val="1"/>
          <w:bCs w:val="1"/>
          <w:color w:val="auto"/>
        </w:rPr>
        <w:t>Award</w:t>
      </w:r>
      <w:r>
        <w:rPr>
          <w:rFonts w:ascii="Arial" w:cs="Arial" w:eastAsia="Arial" w:hAnsi="Arial"/>
          <w:sz w:val="17"/>
          <w:szCs w:val="17"/>
          <w:color w:val="auto"/>
        </w:rPr>
        <w:t>” means a Nonqualified Stock Option, Incentive Stock Option, Stock Appreciation Right, Restricted Stock, 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Unit, Performance Share, Performance Unit, or Other Stock-Based Award, in each case granted under this Plan and subject to the terms</w:t>
      </w:r>
    </w:p>
    <w:p>
      <w:pPr>
        <w:spacing w:after="0"/>
        <w:rPr>
          <w:sz w:val="20"/>
          <w:szCs w:val="20"/>
          <w:color w:val="auto"/>
        </w:rPr>
      </w:pPr>
      <w:r>
        <w:rPr>
          <w:rFonts w:ascii="Arial" w:cs="Arial" w:eastAsia="Arial" w:hAnsi="Arial"/>
          <w:sz w:val="18"/>
          <w:szCs w:val="18"/>
          <w:color w:val="auto"/>
        </w:rPr>
        <w:t>of this Plan.</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color w:val="auto"/>
        </w:rPr>
        <w:t>“</w:t>
      </w:r>
      <w:r>
        <w:rPr>
          <w:rFonts w:ascii="Arial" w:cs="Arial" w:eastAsia="Arial" w:hAnsi="Arial"/>
          <w:sz w:val="18"/>
          <w:szCs w:val="18"/>
          <w:b w:val="1"/>
          <w:bCs w:val="1"/>
          <w:color w:val="auto"/>
        </w:rPr>
        <w:t>Award Agreement</w:t>
      </w:r>
      <w:r>
        <w:rPr>
          <w:rFonts w:ascii="Arial" w:cs="Arial" w:eastAsia="Arial" w:hAnsi="Arial"/>
          <w:sz w:val="18"/>
          <w:szCs w:val="18"/>
          <w:color w:val="auto"/>
        </w:rPr>
        <w:t>” means either: (a) a written or electronic agreement entered into by the Company and a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setting forth the terms and provisions applicable to an Award granted under this Plan, including any amendment or modification thereof, or (b)</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a written or electronic statement issued by the Company to a Participant describing the terms and provisions of an Award, including any amendment or modification thereof. The Committee may provide for the use of electronic, Internet, or other non-paper Award Agreements, and the use of electronic, Internet, or other non-paper means for the acceptance thereof and actions thereunder by a Participant.</w:t>
      </w:r>
    </w:p>
    <w:p>
      <w:pPr>
        <w:spacing w:after="0" w:line="168"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color w:val="auto"/>
        </w:rPr>
        <w:t>“</w:t>
      </w:r>
      <w:r>
        <w:rPr>
          <w:rFonts w:ascii="Arial" w:cs="Arial" w:eastAsia="Arial" w:hAnsi="Arial"/>
          <w:sz w:val="18"/>
          <w:szCs w:val="18"/>
          <w:b w:val="1"/>
          <w:bCs w:val="1"/>
          <w:color w:val="auto"/>
        </w:rPr>
        <w:t>Beneficial Owner</w:t>
      </w:r>
      <w:r>
        <w:rPr>
          <w:rFonts w:ascii="Arial" w:cs="Arial" w:eastAsia="Arial" w:hAnsi="Arial"/>
          <w:sz w:val="18"/>
          <w:szCs w:val="18"/>
          <w:color w:val="auto"/>
        </w:rPr>
        <w:t>” or “</w:t>
      </w:r>
      <w:r>
        <w:rPr>
          <w:rFonts w:ascii="Arial" w:cs="Arial" w:eastAsia="Arial" w:hAnsi="Arial"/>
          <w:sz w:val="18"/>
          <w:szCs w:val="18"/>
          <w:b w:val="1"/>
          <w:bCs w:val="1"/>
          <w:color w:val="auto"/>
        </w:rPr>
        <w:t>Beneficial Ownership</w:t>
      </w:r>
      <w:r>
        <w:rPr>
          <w:rFonts w:ascii="Arial" w:cs="Arial" w:eastAsia="Arial" w:hAnsi="Arial"/>
          <w:sz w:val="18"/>
          <w:szCs w:val="18"/>
          <w:color w:val="auto"/>
        </w:rPr>
        <w:t>” shall have the meaning ascribed to such terms in Rule 13d-3 of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Rules and Regulations under the Exchange Act.</w:t>
      </w:r>
    </w:p>
    <w:p>
      <w:pPr>
        <w:spacing w:after="0" w:line="15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Board</w:t>
      </w:r>
      <w:r>
        <w:rPr>
          <w:rFonts w:ascii="Arial" w:cs="Arial" w:eastAsia="Arial" w:hAnsi="Arial"/>
          <w:sz w:val="17"/>
          <w:szCs w:val="17"/>
          <w:color w:val="auto"/>
        </w:rPr>
        <w:t>” or “</w:t>
      </w:r>
      <w:r>
        <w:rPr>
          <w:rFonts w:ascii="Arial" w:cs="Arial" w:eastAsia="Arial" w:hAnsi="Arial"/>
          <w:sz w:val="17"/>
          <w:szCs w:val="17"/>
          <w:b w:val="1"/>
          <w:bCs w:val="1"/>
          <w:color w:val="auto"/>
        </w:rPr>
        <w:t>Board of Directors</w:t>
      </w:r>
      <w:r>
        <w:rPr>
          <w:rFonts w:ascii="Arial" w:cs="Arial" w:eastAsia="Arial" w:hAnsi="Arial"/>
          <w:sz w:val="17"/>
          <w:szCs w:val="17"/>
          <w:color w:val="auto"/>
        </w:rPr>
        <w:t>” means the Board of Directors of the Company.</w:t>
      </w:r>
    </w:p>
    <w:p>
      <w:pPr>
        <w:spacing w:after="0" w:line="19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any of the following events:</w:t>
      </w:r>
    </w:p>
    <w:p>
      <w:pPr>
        <w:spacing w:after="0" w:line="182" w:lineRule="exact"/>
        <w:rPr>
          <w:sz w:val="20"/>
          <w:szCs w:val="20"/>
          <w:color w:val="auto"/>
        </w:rPr>
      </w:pPr>
    </w:p>
    <w:p>
      <w:pPr>
        <w:jc w:val="both"/>
        <w:ind w:left="1280" w:hanging="633"/>
        <w:spacing w:after="0" w:line="213" w:lineRule="auto"/>
        <w:tabs>
          <w:tab w:leader="none" w:pos="127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The acquisition by any Person of Beneficial Ownership of twenty percent (20%) or more of either (i) the then-outstanding Shares of the Company (the “Outstanding Company Common Stock”) or (ii) the combined voting power of the then-outstanding voting securities of the Company entitled to vote generally in the election of directors (the “Outstanding Company Voting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this subsection (a), the following acquisitions shall not constitute a Change of Control: (i) any acquisition directly from the Company, (ii) any acquisition by the Company, (iii) any acquisition by any employee benefit plan (or related trust) sponsored or maintained by the Company or any corporation controlled by the Company, or (iv) any acquisition by any corporation pursuant to a transaction that complies with clauses (i), (ii) and (iii) of subsection (c) of this Section 2.8; or</w:t>
      </w:r>
    </w:p>
    <w:p>
      <w:pPr>
        <w:spacing w:after="0" w:line="171" w:lineRule="exact"/>
        <w:rPr>
          <w:rFonts w:ascii="Arial" w:cs="Arial" w:eastAsia="Arial" w:hAnsi="Arial"/>
          <w:sz w:val="18"/>
          <w:szCs w:val="18"/>
          <w:color w:val="auto"/>
        </w:rPr>
      </w:pPr>
    </w:p>
    <w:p>
      <w:pPr>
        <w:jc w:val="both"/>
        <w:ind w:left="1280" w:hanging="633"/>
        <w:spacing w:after="0" w:line="215" w:lineRule="auto"/>
        <w:tabs>
          <w:tab w:leader="none" w:pos="127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Individuals who, as of the Effective Date, constitute the Board of Directors (the “Incumbent Board”) cease for any reason to constitute at least a majority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56" w:lineRule="exact"/>
        <w:rPr>
          <w:rFonts w:ascii="Arial" w:cs="Arial" w:eastAsia="Arial" w:hAnsi="Arial"/>
          <w:sz w:val="18"/>
          <w:szCs w:val="18"/>
          <w:color w:val="auto"/>
        </w:rPr>
      </w:pPr>
    </w:p>
    <w:p>
      <w:pPr>
        <w:jc w:val="both"/>
        <w:ind w:left="1280" w:hanging="633"/>
        <w:spacing w:after="0" w:line="210" w:lineRule="auto"/>
        <w:tabs>
          <w:tab w:leader="none" w:pos="1274"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fifty percent (50%) of, respectively, the then-outstanding Shares and the combined voting power of the then-outstanding voting securities entitled to vote generally in the election of directors, as the case may be, of the corporation resulting from such Business Combination (including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12" w:name="page113"/>
    <w:bookmarkEnd w:id="112"/>
    <w:p>
      <w:pPr>
        <w:jc w:val="both"/>
        <w:ind w:left="1280"/>
        <w:spacing w:after="0" w:line="230" w:lineRule="auto"/>
        <w:rPr>
          <w:sz w:val="20"/>
          <w:szCs w:val="20"/>
          <w:color w:val="auto"/>
        </w:rPr>
      </w:pPr>
      <w:r>
        <w:rPr>
          <w:rFonts w:ascii="Arial" w:cs="Arial" w:eastAsia="Arial" w:hAnsi="Arial"/>
          <w:sz w:val="17"/>
          <w:szCs w:val="17"/>
          <w:color w:val="auto"/>
        </w:rPr>
        <w:t>benefit plan (or related trust) of the Company or such corporation resulting from such Business Combination) beneficially owns, directly or indirectly, twenty percent (20%) or more of, respectively, the then-outstanding shares of common stock of the</w:t>
      </w:r>
    </w:p>
    <w:p>
      <w:pPr>
        <w:spacing w:after="0" w:line="2" w:lineRule="exact"/>
        <w:rPr>
          <w:sz w:val="20"/>
          <w:szCs w:val="20"/>
          <w:color w:val="auto"/>
        </w:rPr>
      </w:pPr>
    </w:p>
    <w:p>
      <w:pPr>
        <w:jc w:val="both"/>
        <w:ind w:left="1280"/>
        <w:spacing w:after="0" w:line="218" w:lineRule="auto"/>
        <w:rPr>
          <w:sz w:val="20"/>
          <w:szCs w:val="20"/>
          <w:color w:val="auto"/>
        </w:rPr>
      </w:pPr>
      <w:r>
        <w:rPr>
          <w:rFonts w:ascii="Arial" w:cs="Arial" w:eastAsia="Arial" w:hAnsi="Arial"/>
          <w:sz w:val="17"/>
          <w:szCs w:val="17"/>
          <w:color w:val="auto"/>
        </w:rPr>
        <w:t>corporation resulting from such Business Combination, or the combined voting power of the then-outstanding voting securities of such corporation except to the extent that such ownership existed prior to the Business Combination and (iii) at least a majority of the members of the board of directors of the corporation resulting from such Business Combination were members</w:t>
      </w:r>
    </w:p>
    <w:p>
      <w:pPr>
        <w:spacing w:after="0" w:line="1" w:lineRule="exact"/>
        <w:rPr>
          <w:sz w:val="20"/>
          <w:szCs w:val="20"/>
          <w:color w:val="auto"/>
        </w:rPr>
      </w:pPr>
    </w:p>
    <w:p>
      <w:pPr>
        <w:jc w:val="both"/>
        <w:ind w:left="1280"/>
        <w:spacing w:after="0" w:line="226" w:lineRule="auto"/>
        <w:rPr>
          <w:sz w:val="20"/>
          <w:szCs w:val="20"/>
          <w:color w:val="auto"/>
        </w:rPr>
      </w:pPr>
      <w:r>
        <w:rPr>
          <w:rFonts w:ascii="Arial" w:cs="Arial" w:eastAsia="Arial" w:hAnsi="Arial"/>
          <w:sz w:val="18"/>
          <w:szCs w:val="18"/>
          <w:color w:val="auto"/>
        </w:rPr>
        <w:t>of the Incumbent Board at the time of the execution of the initial agreement, or of the action of the Board, providing for such Business Combination; or</w:t>
      </w:r>
    </w:p>
    <w:p>
      <w:pPr>
        <w:spacing w:after="0" w:line="155" w:lineRule="exact"/>
        <w:rPr>
          <w:sz w:val="20"/>
          <w:szCs w:val="20"/>
          <w:color w:val="auto"/>
        </w:rPr>
      </w:pPr>
    </w:p>
    <w:p>
      <w:pPr>
        <w:ind w:left="1280" w:hanging="633"/>
        <w:spacing w:after="0"/>
        <w:tabs>
          <w:tab w:leader="none" w:pos="12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191"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8"/>
          <w:szCs w:val="18"/>
          <w:b w:val="1"/>
          <w:bCs w:val="1"/>
          <w:color w:val="auto"/>
        </w:rPr>
        <w:t xml:space="preserve">2.9 </w:t>
      </w: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 as amended from time to time. For purposes of this Plan, references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to sections of the Code shall be deemed to include references to any applicable regulations thereunder and any successor or similar provision.</w:t>
      </w:r>
    </w:p>
    <w:p>
      <w:pPr>
        <w:spacing w:after="0" w:line="151"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Committee</w:t>
      </w:r>
      <w:r>
        <w:rPr>
          <w:rFonts w:ascii="Arial" w:cs="Arial" w:eastAsia="Arial" w:hAnsi="Arial"/>
          <w:sz w:val="17"/>
          <w:szCs w:val="17"/>
          <w:color w:val="auto"/>
        </w:rPr>
        <w:t>” means the Compensation &amp; Human Resources Committee of the Board or a subcommittee thereof, or any other</w:t>
      </w:r>
    </w:p>
    <w:p>
      <w:pPr>
        <w:jc w:val="both"/>
        <w:spacing w:after="0" w:line="218" w:lineRule="auto"/>
        <w:rPr>
          <w:sz w:val="20"/>
          <w:szCs w:val="20"/>
          <w:color w:val="auto"/>
        </w:rPr>
      </w:pPr>
      <w:r>
        <w:rPr>
          <w:rFonts w:ascii="Arial" w:cs="Arial" w:eastAsia="Arial" w:hAnsi="Arial"/>
          <w:sz w:val="17"/>
          <w:szCs w:val="17"/>
          <w:color w:val="auto"/>
        </w:rPr>
        <w:t>committee of the Board comprised solely of directors designated by the Board to administer this Plan who are (a) “non-employee directors” within the meaning of Rule 16b-3 under the Exchange Act and (b) “independent directors” (as defined in the rules of The New York Stock Exchange). The fact that a Committee member shall fail to qualify under any of these requirements shall not invalidate an Award if the Award is</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otherwise validly made under this Plan. The members of the Committee shall be appointed from time to time by and shall serve at the discretion of the Board. If the Committee does not exist or cannot function for any reason, the Board may take any action under this Plan that would otherwise be the responsibility of the Committee.</w:t>
      </w:r>
    </w:p>
    <w:p>
      <w:pPr>
        <w:spacing w:after="0" w:line="16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means The Toro Company, a Delaware corporation, and any successor thereto as provided in Article 18 herein.</w:t>
      </w:r>
    </w:p>
    <w:p>
      <w:pPr>
        <w:spacing w:after="0" w:line="18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Director</w:t>
      </w:r>
      <w:r>
        <w:rPr>
          <w:rFonts w:ascii="Arial" w:cs="Arial" w:eastAsia="Arial" w:hAnsi="Arial"/>
          <w:sz w:val="17"/>
          <w:szCs w:val="17"/>
          <w:color w:val="auto"/>
        </w:rPr>
        <w:t>” means any individual who is a member of the Board of Directors of the Company.</w:t>
      </w:r>
    </w:p>
    <w:p>
      <w:pPr>
        <w:spacing w:after="0" w:line="17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any individual performing services for the Company, an Affiliate, or a Subsidiary and designated as an</w:t>
      </w:r>
    </w:p>
    <w:p>
      <w:pPr>
        <w:jc w:val="both"/>
        <w:spacing w:after="0" w:line="206" w:lineRule="auto"/>
        <w:rPr>
          <w:sz w:val="20"/>
          <w:szCs w:val="20"/>
          <w:color w:val="auto"/>
        </w:rPr>
      </w:pPr>
      <w:r>
        <w:rPr>
          <w:rFonts w:ascii="Arial" w:cs="Arial" w:eastAsia="Arial" w:hAnsi="Arial"/>
          <w:sz w:val="18"/>
          <w:szCs w:val="18"/>
          <w:color w:val="auto"/>
        </w:rPr>
        <w:t>employee of the Company, an Affiliate, or a Subsidiary on the payroll records thereof. An Employee shall not include any individual during any period such individual is classified or treated by the Company, Affiliate, or Subsidiary as an independent contractor, a consultant, or any employee of an employment, consulting, or temporary agency or any other entity other than the Company, Affiliate, or Subsidiary, without</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regard to whether such individual is subsequently determined to have been, or is subsequently retroactively reclassified as a common-law employee of the Company, Affiliate, or Subsidiary during such period. An individual shall not cease to be an Employee in the case of: (a) any leave of absence approved by the Company, or (b) transfers between locations of the Company or between the Company, any Affiliates, or any</w:t>
      </w:r>
    </w:p>
    <w:p>
      <w:pPr>
        <w:spacing w:after="0" w:line="1" w:lineRule="exact"/>
        <w:rPr>
          <w:sz w:val="20"/>
          <w:szCs w:val="20"/>
          <w:color w:val="auto"/>
        </w:rPr>
      </w:pPr>
    </w:p>
    <w:p>
      <w:pPr>
        <w:jc w:val="both"/>
        <w:spacing w:after="0" w:line="198" w:lineRule="auto"/>
        <w:rPr>
          <w:sz w:val="20"/>
          <w:szCs w:val="20"/>
          <w:color w:val="auto"/>
        </w:rPr>
      </w:pPr>
      <w:r>
        <w:rPr>
          <w:rFonts w:ascii="Arial" w:cs="Arial" w:eastAsia="Arial" w:hAnsi="Arial"/>
          <w:sz w:val="17"/>
          <w:szCs w:val="17"/>
          <w:color w:val="auto"/>
        </w:rPr>
        <w:t>Subsidiaries. For purposes of Incentive Stock Options, no such leave may exceed ninety (90) days, unless reemployment upon expiration of such leave is guaranteed by statute or contract. If reemployment upon expiration of a leave of absence approved by the Company, an Affiliate or a Subsidiary, as applicable, is not so guaranteed, then three (3) months following the ninety-first (91</w:t>
      </w:r>
      <w:r>
        <w:rPr>
          <w:rFonts w:ascii="Arial" w:cs="Arial" w:eastAsia="Arial" w:hAnsi="Arial"/>
          <w:sz w:val="22"/>
          <w:szCs w:val="22"/>
          <w:color w:val="auto"/>
          <w:vertAlign w:val="superscript"/>
        </w:rPr>
        <w:t>st</w:t>
      </w:r>
      <w:r>
        <w:rPr>
          <w:rFonts w:ascii="Arial" w:cs="Arial" w:eastAsia="Arial" w:hAnsi="Arial"/>
          <w:sz w:val="17"/>
          <w:szCs w:val="17"/>
          <w:color w:val="auto"/>
        </w:rPr>
        <w:t>) day of such leave, any Incentive</w:t>
      </w:r>
    </w:p>
    <w:p>
      <w:pPr>
        <w:spacing w:after="0" w:line="2"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Stock Option held by a Participant shall cease to be treated as an Incentive Stock Option and shall be treated for tax purposes as a Nonqualified Stock Option. Neither service as a Director nor payment of a Director’s fee by the Company shall be sufficient to constitute "employment" by the Company.</w:t>
      </w:r>
    </w:p>
    <w:p>
      <w:pPr>
        <w:spacing w:after="0" w:line="15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 from time to time, or any successor act</w:t>
      </w:r>
    </w:p>
    <w:p>
      <w:pPr>
        <w:spacing w:after="0"/>
        <w:rPr>
          <w:sz w:val="20"/>
          <w:szCs w:val="20"/>
          <w:color w:val="auto"/>
        </w:rPr>
      </w:pPr>
      <w:r>
        <w:rPr>
          <w:rFonts w:ascii="Arial" w:cs="Arial" w:eastAsia="Arial" w:hAnsi="Arial"/>
          <w:sz w:val="18"/>
          <w:szCs w:val="18"/>
          <w:color w:val="auto"/>
        </w:rPr>
        <w:t>thereto.</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 xml:space="preserve">2.15 </w:t>
      </w: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with respect to a Share, as of any date: (a) the closing sale price of a Share at the end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regular trading session, as reported by the New York Stock Exchange LLC, The Nasdaq Stock Market LLC, the NYSE American LLC or any</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national exchange on which the Shares are then listed or quoted (or, if no Shares were traded on such date, as of the next preceding date on which there was such a trade); or (b) if the Shares are not so listed, admitted to unlisted trading privileges, or reported on any national exchange, the closing sale price as of such date at the end of the regular trading session, as reported by the OTC Markets Group or OTC</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Bulletin Board, or other comparable service (or, if no Shares were traded or quoted on such date, as of the next preceding date on which there was such a trade or quote); or (c) if Shares are not so listed or reported, such price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Committee determines in good faith, and consistent with the definition of “fair market value” under Code Section 409A.</w:t>
      </w:r>
    </w:p>
    <w:p>
      <w:pPr>
        <w:spacing w:after="0" w:line="178" w:lineRule="exact"/>
        <w:rPr>
          <w:sz w:val="20"/>
          <w:szCs w:val="20"/>
          <w:color w:val="auto"/>
        </w:rPr>
      </w:pPr>
    </w:p>
    <w:p>
      <w:pPr>
        <w:jc w:val="both"/>
        <w:ind w:right="20" w:firstLine="640"/>
        <w:spacing w:after="0" w:line="249" w:lineRule="auto"/>
        <w:rPr>
          <w:sz w:val="20"/>
          <w:szCs w:val="20"/>
          <w:color w:val="auto"/>
        </w:rPr>
      </w:pPr>
      <w:r>
        <w:rPr>
          <w:rFonts w:ascii="Arial" w:cs="Arial" w:eastAsia="Arial" w:hAnsi="Arial"/>
          <w:sz w:val="18"/>
          <w:szCs w:val="18"/>
          <w:b w:val="1"/>
          <w:bCs w:val="1"/>
          <w:color w:val="auto"/>
        </w:rPr>
        <w:t xml:space="preserve">2.16 </w:t>
      </w:r>
      <w:r>
        <w:rPr>
          <w:rFonts w:ascii="Arial" w:cs="Arial" w:eastAsia="Arial" w:hAnsi="Arial"/>
          <w:sz w:val="18"/>
          <w:szCs w:val="18"/>
          <w:color w:val="auto"/>
        </w:rPr>
        <w:t>“</w:t>
      </w:r>
      <w:r>
        <w:rPr>
          <w:rFonts w:ascii="Arial" w:cs="Arial" w:eastAsia="Arial" w:hAnsi="Arial"/>
          <w:sz w:val="18"/>
          <w:szCs w:val="18"/>
          <w:b w:val="1"/>
          <w:bCs w:val="1"/>
          <w:color w:val="auto"/>
        </w:rPr>
        <w:t>Full-Value Award</w:t>
      </w:r>
      <w:r>
        <w:rPr>
          <w:rFonts w:ascii="Arial" w:cs="Arial" w:eastAsia="Arial" w:hAnsi="Arial"/>
          <w:sz w:val="18"/>
          <w:szCs w:val="18"/>
          <w:color w:val="auto"/>
        </w:rPr>
        <w:t>” means an Award other than in the form of an Incentive Stock Option, Nonqualified Stock Option, or Stock</w:t>
      </w:r>
      <w:r>
        <w:rPr>
          <w:rFonts w:ascii="Arial" w:cs="Arial" w:eastAsia="Arial" w:hAnsi="Arial"/>
          <w:sz w:val="18"/>
          <w:szCs w:val="18"/>
          <w:b w:val="1"/>
          <w:bCs w:val="1"/>
          <w:color w:val="auto"/>
        </w:rPr>
        <w:t xml:space="preserve"> </w:t>
      </w:r>
      <w:r>
        <w:rPr>
          <w:rFonts w:ascii="Arial" w:cs="Arial" w:eastAsia="Arial" w:hAnsi="Arial"/>
          <w:sz w:val="18"/>
          <w:szCs w:val="18"/>
          <w:color w:val="auto"/>
        </w:rPr>
        <w:t>Appreciation Right, and which is settled by the issuance of Shares.</w:t>
      </w:r>
    </w:p>
    <w:p>
      <w:pPr>
        <w:spacing w:after="0" w:line="14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Grant Date</w:t>
      </w:r>
      <w:r>
        <w:rPr>
          <w:rFonts w:ascii="Arial" w:cs="Arial" w:eastAsia="Arial" w:hAnsi="Arial"/>
          <w:sz w:val="17"/>
          <w:szCs w:val="17"/>
          <w:color w:val="auto"/>
        </w:rPr>
        <w:t>” means the date an Award is granted to a Participant pursuant to this Plan.</w:t>
      </w:r>
    </w:p>
    <w:p>
      <w:pPr>
        <w:spacing w:after="0" w:line="180" w:lineRule="exact"/>
        <w:rPr>
          <w:sz w:val="20"/>
          <w:szCs w:val="20"/>
          <w:color w:val="auto"/>
        </w:rPr>
      </w:pPr>
    </w:p>
    <w:p>
      <w:pPr>
        <w:jc w:val="both"/>
        <w:ind w:right="20" w:firstLine="640"/>
        <w:spacing w:after="0" w:line="249" w:lineRule="auto"/>
        <w:rPr>
          <w:sz w:val="20"/>
          <w:szCs w:val="20"/>
          <w:color w:val="auto"/>
        </w:rPr>
      </w:pPr>
      <w:r>
        <w:rPr>
          <w:rFonts w:ascii="Arial" w:cs="Arial" w:eastAsia="Arial" w:hAnsi="Arial"/>
          <w:sz w:val="18"/>
          <w:szCs w:val="18"/>
          <w:b w:val="1"/>
          <w:bCs w:val="1"/>
          <w:color w:val="auto"/>
        </w:rPr>
        <w:t xml:space="preserve">2.18 </w:t>
      </w:r>
      <w:r>
        <w:rPr>
          <w:rFonts w:ascii="Arial" w:cs="Arial" w:eastAsia="Arial" w:hAnsi="Arial"/>
          <w:sz w:val="18"/>
          <w:szCs w:val="18"/>
          <w:color w:val="auto"/>
        </w:rPr>
        <w:t>“</w:t>
      </w:r>
      <w:r>
        <w:rPr>
          <w:rFonts w:ascii="Arial" w:cs="Arial" w:eastAsia="Arial" w:hAnsi="Arial"/>
          <w:sz w:val="18"/>
          <w:szCs w:val="18"/>
          <w:b w:val="1"/>
          <w:bCs w:val="1"/>
          <w:color w:val="auto"/>
        </w:rPr>
        <w:t>Grant Price</w:t>
      </w:r>
      <w:r>
        <w:rPr>
          <w:rFonts w:ascii="Arial" w:cs="Arial" w:eastAsia="Arial" w:hAnsi="Arial"/>
          <w:sz w:val="18"/>
          <w:szCs w:val="18"/>
          <w:color w:val="auto"/>
        </w:rPr>
        <w:t>” means the price established at the time of grant of a Stock Appreciation Right pursuant to Article 7, used to</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whether there is any payment due upon exercise of the Stock Appreciation Right.</w:t>
      </w:r>
    </w:p>
    <w:p>
      <w:pPr>
        <w:spacing w:after="0" w:line="144"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8"/>
          <w:szCs w:val="18"/>
          <w:b w:val="1"/>
          <w:bCs w:val="1"/>
          <w:color w:val="auto"/>
        </w:rPr>
        <w:t xml:space="preserve">2.19 </w:t>
      </w: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means an Option to purchase Shares granted pursuant to Article 6 to an Employee and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as an Incentive Stock Option that is intended to meet the requirements of Code Section 422 or any successor provision.</w:t>
      </w:r>
    </w:p>
    <w:p>
      <w:pPr>
        <w:spacing w:after="0" w:line="167" w:lineRule="exact"/>
        <w:rPr>
          <w:sz w:val="20"/>
          <w:szCs w:val="20"/>
          <w:color w:val="auto"/>
        </w:rPr>
      </w:pPr>
    </w:p>
    <w:p>
      <w:pPr>
        <w:jc w:val="both"/>
        <w:ind w:firstLine="640"/>
        <w:spacing w:after="0" w:line="224" w:lineRule="auto"/>
        <w:rPr>
          <w:sz w:val="20"/>
          <w:szCs w:val="20"/>
          <w:color w:val="auto"/>
        </w:rPr>
      </w:pPr>
      <w:r>
        <w:rPr>
          <w:rFonts w:ascii="Arial" w:cs="Arial" w:eastAsia="Arial" w:hAnsi="Arial"/>
          <w:sz w:val="18"/>
          <w:szCs w:val="18"/>
          <w:b w:val="1"/>
          <w:bCs w:val="1"/>
          <w:color w:val="auto"/>
        </w:rPr>
        <w:t xml:space="preserve">2.20 </w:t>
      </w:r>
      <w:r>
        <w:rPr>
          <w:rFonts w:ascii="Arial" w:cs="Arial" w:eastAsia="Arial" w:hAnsi="Arial"/>
          <w:sz w:val="18"/>
          <w:szCs w:val="18"/>
          <w:color w:val="auto"/>
        </w:rPr>
        <w:t>“</w:t>
      </w:r>
      <w:r>
        <w:rPr>
          <w:rFonts w:ascii="Arial" w:cs="Arial" w:eastAsia="Arial" w:hAnsi="Arial"/>
          <w:sz w:val="18"/>
          <w:szCs w:val="18"/>
          <w:b w:val="1"/>
          <w:bCs w:val="1"/>
          <w:color w:val="auto"/>
        </w:rPr>
        <w:t>Insider</w:t>
      </w:r>
      <w:r>
        <w:rPr>
          <w:rFonts w:ascii="Arial" w:cs="Arial" w:eastAsia="Arial" w:hAnsi="Arial"/>
          <w:sz w:val="18"/>
          <w:szCs w:val="18"/>
          <w:color w:val="auto"/>
        </w:rPr>
        <w:t>” means an individual who is, on the relevant date, an officer or Director of the Company, or a more than ten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(10%) Beneficial Owner of any class of the Company’s equity securities that is registered pursuant to Section 12 of the Exchange Act, as determined by the Board in accordance with Section 16 of the Exchange Act.</w:t>
      </w:r>
    </w:p>
    <w:p>
      <w:pPr>
        <w:spacing w:after="0" w:line="16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Nonemployee Director</w:t>
      </w:r>
      <w:r>
        <w:rPr>
          <w:rFonts w:ascii="Arial" w:cs="Arial" w:eastAsia="Arial" w:hAnsi="Arial"/>
          <w:sz w:val="17"/>
          <w:szCs w:val="17"/>
          <w:color w:val="auto"/>
        </w:rPr>
        <w:t>” means a Director who is not an Employee.</w:t>
      </w:r>
    </w:p>
    <w:p>
      <w:pPr>
        <w:spacing w:after="0" w:line="180"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8"/>
          <w:szCs w:val="18"/>
          <w:b w:val="1"/>
          <w:bCs w:val="1"/>
          <w:color w:val="auto"/>
        </w:rPr>
        <w:t xml:space="preserve">2.22 </w:t>
      </w:r>
      <w:r>
        <w:rPr>
          <w:rFonts w:ascii="Arial" w:cs="Arial" w:eastAsia="Arial" w:hAnsi="Arial"/>
          <w:sz w:val="18"/>
          <w:szCs w:val="18"/>
          <w:color w:val="auto"/>
        </w:rPr>
        <w:t>“</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means an Option that is not intended to meet the requirements of Code Section 422, or that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does not meet such requirements, including a Nonqualified Stock Option granted pursuant to Article 6.</w:t>
      </w:r>
    </w:p>
    <w:p>
      <w:pPr>
        <w:spacing w:after="0" w:line="167"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Option</w:t>
      </w:r>
      <w:r>
        <w:rPr>
          <w:rFonts w:ascii="Arial" w:cs="Arial" w:eastAsia="Arial" w:hAnsi="Arial"/>
          <w:sz w:val="17"/>
          <w:szCs w:val="17"/>
          <w:color w:val="auto"/>
        </w:rPr>
        <w:t>” means an Incentive Stock Option or a Nonqualified Stock Option, granted pursuant to Article 6.</w:t>
      </w:r>
    </w:p>
    <w:p>
      <w:pPr>
        <w:spacing w:after="0" w:line="18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Option Price</w:t>
      </w:r>
      <w:r>
        <w:rPr>
          <w:rFonts w:ascii="Arial" w:cs="Arial" w:eastAsia="Arial" w:hAnsi="Arial"/>
          <w:sz w:val="17"/>
          <w:szCs w:val="17"/>
          <w:color w:val="auto"/>
        </w:rPr>
        <w:t>” means the price at which a Share may be purchased by a Participant pursuant to an Option.</w:t>
      </w:r>
    </w:p>
    <w:p>
      <w:pPr>
        <w:spacing w:after="0" w:line="180" w:lineRule="exact"/>
        <w:rPr>
          <w:sz w:val="20"/>
          <w:szCs w:val="20"/>
          <w:color w:val="auto"/>
        </w:rPr>
      </w:pPr>
    </w:p>
    <w:p>
      <w:pPr>
        <w:jc w:val="both"/>
        <w:ind w:firstLine="640"/>
        <w:spacing w:after="0" w:line="249" w:lineRule="auto"/>
        <w:rPr>
          <w:sz w:val="20"/>
          <w:szCs w:val="20"/>
          <w:color w:val="auto"/>
        </w:rPr>
      </w:pPr>
      <w:r>
        <w:rPr>
          <w:rFonts w:ascii="Arial" w:cs="Arial" w:eastAsia="Arial" w:hAnsi="Arial"/>
          <w:sz w:val="18"/>
          <w:szCs w:val="18"/>
          <w:b w:val="1"/>
          <w:bCs w:val="1"/>
          <w:color w:val="auto"/>
        </w:rPr>
        <w:t xml:space="preserve">2.25 </w:t>
      </w:r>
      <w:r>
        <w:rPr>
          <w:rFonts w:ascii="Arial" w:cs="Arial" w:eastAsia="Arial" w:hAnsi="Arial"/>
          <w:sz w:val="18"/>
          <w:szCs w:val="18"/>
          <w:color w:val="auto"/>
        </w:rPr>
        <w:t>“</w:t>
      </w:r>
      <w:r>
        <w:rPr>
          <w:rFonts w:ascii="Arial" w:cs="Arial" w:eastAsia="Arial" w:hAnsi="Arial"/>
          <w:sz w:val="18"/>
          <w:szCs w:val="18"/>
          <w:b w:val="1"/>
          <w:bCs w:val="1"/>
          <w:color w:val="auto"/>
        </w:rPr>
        <w:t>Other Stock-Based Award</w:t>
      </w:r>
      <w:r>
        <w:rPr>
          <w:rFonts w:ascii="Arial" w:cs="Arial" w:eastAsia="Arial" w:hAnsi="Arial"/>
          <w:sz w:val="18"/>
          <w:szCs w:val="18"/>
          <w:color w:val="auto"/>
        </w:rPr>
        <w:t>” means an equity-based or equity-related Award not otherwise described by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Plan, granted pursuant to Article 10.</w:t>
      </w:r>
    </w:p>
    <w:p>
      <w:pPr>
        <w:spacing w:after="0" w:line="14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Participant</w:t>
      </w:r>
      <w:r>
        <w:rPr>
          <w:rFonts w:ascii="Arial" w:cs="Arial" w:eastAsia="Arial" w:hAnsi="Arial"/>
          <w:sz w:val="17"/>
          <w:szCs w:val="17"/>
          <w:color w:val="auto"/>
        </w:rPr>
        <w:t>” means any eligible individual as set forth in Article 5 to whom an Award is granted.</w:t>
      </w:r>
    </w:p>
    <w:p>
      <w:pPr>
        <w:spacing w:after="0" w:line="17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Performance Goal</w:t>
      </w:r>
      <w:r>
        <w:rPr>
          <w:rFonts w:ascii="Arial" w:cs="Arial" w:eastAsia="Arial" w:hAnsi="Arial"/>
          <w:sz w:val="18"/>
          <w:szCs w:val="18"/>
          <w:color w:val="auto"/>
        </w:rPr>
        <w:t>” means with respect to any applicable Award one or more targets, goals or levels of attainment required</w:t>
      </w:r>
    </w:p>
    <w:p>
      <w:pPr>
        <w:jc w:val="both"/>
        <w:spacing w:after="0" w:line="206" w:lineRule="auto"/>
        <w:rPr>
          <w:sz w:val="20"/>
          <w:szCs w:val="20"/>
          <w:color w:val="auto"/>
        </w:rPr>
      </w:pPr>
      <w:r>
        <w:rPr>
          <w:rFonts w:ascii="Arial" w:cs="Arial" w:eastAsia="Arial" w:hAnsi="Arial"/>
          <w:sz w:val="18"/>
          <w:szCs w:val="18"/>
          <w:color w:val="auto"/>
        </w:rPr>
        <w:t>to be achieved during a specified Performance Period as determined by the Committee in its sole discretion and as set forth in the related Award Agreement and which may be based on any one or more performance measures, including without limitation, revenue; net revenue; revenue growth; revenues from new or certain products; material, labor or manufacturing costs; costs of goods sold; selling, general and</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administrative expenses; operating expenses; non-cash expenses; tax expense; non-operating expenses; total expenses; gross margin; net operating income; earnings before interest, taxes, depreciation and amortization (EBITDA); earnings before interest and taxes (EBIT); net operating income after taxes (NOPAT); net earnings or net earnings per share; net earnings before taxes; net cash flow; net cash flow from</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operations; free cash flow; profit margins; cash and cash equivalents; days sales outstanding; inventories; total, current, fixed or net assets; working capital; total capital; plant utilization; manufacturing overhead variance; accounts receivable or payable, total, current or accrued liabilities; total, net, long-term or short-term debt, principal payments, or interest expense; credit rating; total stockholders’ equity or return;</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after-tax interest; liquidity; stock price; dividends; share repurchases; price/earnings ratio; market capitalization; book value; return on assets, equity or invested capital; economic profit (for example, economic value added); dealer/channel size/scope or performance/effectiveness; order fill rate; customer satisfaction, retention or service/care; brand awareness or perception; market share; warranty rates; channel inventory;</w:t>
      </w:r>
    </w:p>
    <w:p>
      <w:pPr>
        <w:spacing w:after="0" w:line="1"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service quality; strategic business objectives; introduction of new products; acquisitions or dispositions; improvements in capital structure; employee performance, engagement or satisfaction; safety; quality; environmental, social or governance metrics. Any one or more of these or other performance measure(s) may be used to measure the performance of the Company, Subsidiary or Affiliate as a whole or any division or business unit of the Company, product or product group, region or territory, Subsidiary or Affiliate, or any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14" w:name="page115"/>
    <w:bookmarkEnd w:id="114"/>
    <w:p>
      <w:pPr>
        <w:jc w:val="both"/>
        <w:spacing w:after="0" w:line="218" w:lineRule="auto"/>
        <w:rPr>
          <w:sz w:val="20"/>
          <w:szCs w:val="20"/>
          <w:color w:val="auto"/>
        </w:rPr>
      </w:pPr>
      <w:r>
        <w:rPr>
          <w:rFonts w:ascii="Arial" w:cs="Arial" w:eastAsia="Arial" w:hAnsi="Arial"/>
          <w:sz w:val="18"/>
          <w:szCs w:val="18"/>
          <w:color w:val="auto"/>
        </w:rPr>
        <w:t>as the Committee may deem appropriate. Any performance measure(s) can be used in an algebraic formula (</w:t>
      </w:r>
      <w:r>
        <w:rPr>
          <w:rFonts w:ascii="Arial" w:cs="Arial" w:eastAsia="Arial" w:hAnsi="Arial"/>
          <w:sz w:val="18"/>
          <w:szCs w:val="18"/>
          <w:i w:val="1"/>
          <w:iCs w:val="1"/>
          <w:color w:val="auto"/>
        </w:rPr>
        <w:t>e.g</w:t>
      </w:r>
      <w:r>
        <w:rPr>
          <w:rFonts w:ascii="Arial" w:cs="Arial" w:eastAsia="Arial" w:hAnsi="Arial"/>
          <w:sz w:val="18"/>
          <w:szCs w:val="18"/>
          <w:color w:val="auto"/>
        </w:rPr>
        <w:t>., averaged over a period, combined into a ratio, compared to a budget or standard, compared to previous periods and/or other formulaic combinations), or compared to</w:t>
      </w:r>
    </w:p>
    <w:p>
      <w:pPr>
        <w:jc w:val="both"/>
        <w:spacing w:after="0" w:line="226" w:lineRule="auto"/>
        <w:rPr>
          <w:sz w:val="20"/>
          <w:szCs w:val="20"/>
          <w:color w:val="auto"/>
        </w:rPr>
      </w:pPr>
      <w:r>
        <w:rPr>
          <w:rFonts w:ascii="Arial" w:cs="Arial" w:eastAsia="Arial" w:hAnsi="Arial"/>
          <w:sz w:val="18"/>
          <w:szCs w:val="18"/>
          <w:color w:val="auto"/>
        </w:rPr>
        <w:t>the performance of a group of comparator or other companies, or a published or special index that the Committee, in its sole discretion, deems appropriate.</w:t>
      </w:r>
    </w:p>
    <w:p>
      <w:pPr>
        <w:spacing w:after="0" w:line="153" w:lineRule="exact"/>
        <w:rPr>
          <w:sz w:val="20"/>
          <w:szCs w:val="20"/>
          <w:color w:val="auto"/>
        </w:rPr>
      </w:pPr>
    </w:p>
    <w:p>
      <w:pPr>
        <w:jc w:val="both"/>
        <w:ind w:firstLine="640"/>
        <w:spacing w:after="0" w:line="249" w:lineRule="auto"/>
        <w:rPr>
          <w:sz w:val="20"/>
          <w:szCs w:val="20"/>
          <w:color w:val="auto"/>
        </w:rPr>
      </w:pPr>
      <w:r>
        <w:rPr>
          <w:rFonts w:ascii="Arial" w:cs="Arial" w:eastAsia="Arial" w:hAnsi="Arial"/>
          <w:sz w:val="18"/>
          <w:szCs w:val="18"/>
          <w:b w:val="1"/>
          <w:bCs w:val="1"/>
          <w:color w:val="auto"/>
        </w:rPr>
        <w:t xml:space="preserve">2.28 </w:t>
      </w:r>
      <w:r>
        <w:rPr>
          <w:rFonts w:ascii="Arial" w:cs="Arial" w:eastAsia="Arial" w:hAnsi="Arial"/>
          <w:sz w:val="18"/>
          <w:szCs w:val="18"/>
          <w:color w:val="auto"/>
        </w:rPr>
        <w:t>“</w:t>
      </w:r>
      <w:r>
        <w:rPr>
          <w:rFonts w:ascii="Arial" w:cs="Arial" w:eastAsia="Arial" w:hAnsi="Arial"/>
          <w:sz w:val="18"/>
          <w:szCs w:val="18"/>
          <w:b w:val="1"/>
          <w:bCs w:val="1"/>
          <w:color w:val="auto"/>
        </w:rPr>
        <w:t>Performance Period</w:t>
      </w:r>
      <w:r>
        <w:rPr>
          <w:rFonts w:ascii="Arial" w:cs="Arial" w:eastAsia="Arial" w:hAnsi="Arial"/>
          <w:sz w:val="18"/>
          <w:szCs w:val="18"/>
          <w:color w:val="auto"/>
        </w:rPr>
        <w:t>” means the period of time, as determined by the Committee, during which one or more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Goals must be met in order to determine the degree of payout or vesting with respect to an Award.</w:t>
      </w:r>
    </w:p>
    <w:p>
      <w:pPr>
        <w:spacing w:after="0" w:line="144"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 xml:space="preserve">2.29 </w:t>
      </w:r>
      <w:r>
        <w:rPr>
          <w:rFonts w:ascii="Arial" w:cs="Arial" w:eastAsia="Arial" w:hAnsi="Arial"/>
          <w:sz w:val="18"/>
          <w:szCs w:val="18"/>
          <w:color w:val="auto"/>
        </w:rPr>
        <w:t>“</w:t>
      </w:r>
      <w:r>
        <w:rPr>
          <w:rFonts w:ascii="Arial" w:cs="Arial" w:eastAsia="Arial" w:hAnsi="Arial"/>
          <w:sz w:val="18"/>
          <w:szCs w:val="18"/>
          <w:b w:val="1"/>
          <w:bCs w:val="1"/>
          <w:color w:val="auto"/>
        </w:rPr>
        <w:t>Performance Share</w:t>
      </w:r>
      <w:r>
        <w:rPr>
          <w:rFonts w:ascii="Arial" w:cs="Arial" w:eastAsia="Arial" w:hAnsi="Arial"/>
          <w:sz w:val="18"/>
          <w:szCs w:val="18"/>
          <w:color w:val="auto"/>
        </w:rPr>
        <w:t>” means an Award under Article 9 and subject to the terms of this Plan, denominated in Shares, the value</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at the time it is payable is determined as a function of the extent to which corresponding one or more Performance Goals have been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achieved.</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 xml:space="preserve">2.30 </w:t>
      </w:r>
      <w:r>
        <w:rPr>
          <w:rFonts w:ascii="Arial" w:cs="Arial" w:eastAsia="Arial" w:hAnsi="Arial"/>
          <w:sz w:val="18"/>
          <w:szCs w:val="18"/>
          <w:color w:val="auto"/>
        </w:rPr>
        <w:t>“</w:t>
      </w:r>
      <w:r>
        <w:rPr>
          <w:rFonts w:ascii="Arial" w:cs="Arial" w:eastAsia="Arial" w:hAnsi="Arial"/>
          <w:sz w:val="18"/>
          <w:szCs w:val="18"/>
          <w:b w:val="1"/>
          <w:bCs w:val="1"/>
          <w:color w:val="auto"/>
        </w:rPr>
        <w:t>Performance Unit</w:t>
      </w:r>
      <w:r>
        <w:rPr>
          <w:rFonts w:ascii="Arial" w:cs="Arial" w:eastAsia="Arial" w:hAnsi="Arial"/>
          <w:sz w:val="18"/>
          <w:szCs w:val="18"/>
          <w:color w:val="auto"/>
        </w:rPr>
        <w:t>” means an Award under Article 9 and subject to the terms of this Plan, denominated in units, the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at the time it is payable is determined as a function of the extent to which corresponding one or more Performance Goals have been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achieved.</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 xml:space="preserve">2.31 </w:t>
      </w:r>
      <w:r>
        <w:rPr>
          <w:rFonts w:ascii="Arial" w:cs="Arial" w:eastAsia="Arial" w:hAnsi="Arial"/>
          <w:sz w:val="18"/>
          <w:szCs w:val="18"/>
          <w:color w:val="auto"/>
        </w:rPr>
        <w:t>“</w:t>
      </w:r>
      <w:r>
        <w:rPr>
          <w:rFonts w:ascii="Arial" w:cs="Arial" w:eastAsia="Arial" w:hAnsi="Arial"/>
          <w:sz w:val="18"/>
          <w:szCs w:val="18"/>
          <w:b w:val="1"/>
          <w:bCs w:val="1"/>
          <w:color w:val="auto"/>
        </w:rPr>
        <w:t>Period of Restriction</w:t>
      </w:r>
      <w:r>
        <w:rPr>
          <w:rFonts w:ascii="Arial" w:cs="Arial" w:eastAsia="Arial" w:hAnsi="Arial"/>
          <w:sz w:val="18"/>
          <w:szCs w:val="18"/>
          <w:color w:val="auto"/>
        </w:rPr>
        <w:t>” means the period when Restricted Stock or Restricted Stock Units are subject to a substantial risk of</w:t>
      </w:r>
      <w:r>
        <w:rPr>
          <w:rFonts w:ascii="Arial" w:cs="Arial" w:eastAsia="Arial" w:hAnsi="Arial"/>
          <w:sz w:val="18"/>
          <w:szCs w:val="18"/>
          <w:b w:val="1"/>
          <w:bCs w:val="1"/>
          <w:color w:val="auto"/>
        </w:rPr>
        <w:t xml:space="preserve"> </w:t>
      </w:r>
      <w:r>
        <w:rPr>
          <w:rFonts w:ascii="Arial" w:cs="Arial" w:eastAsia="Arial" w:hAnsi="Arial"/>
          <w:sz w:val="18"/>
          <w:szCs w:val="18"/>
          <w:color w:val="auto"/>
        </w:rPr>
        <w:t>forfeiture (based on the passage of time, the achievement of one or more Performance Goals, or upon the occurrence of other events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determined by the Committee, in its sole discretion), as provided in Article 8.</w:t>
      </w:r>
    </w:p>
    <w:p>
      <w:pPr>
        <w:spacing w:after="0" w:line="162"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8"/>
          <w:szCs w:val="18"/>
          <w:b w:val="1"/>
          <w:bCs w:val="1"/>
          <w:color w:val="auto"/>
        </w:rPr>
        <w:t xml:space="preserve">2.32 </w:t>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have the meaning ascribed to such term in Section 3(a)(9) of the Exchange Act and used in Sections 13(d) and</w:t>
      </w:r>
      <w:r>
        <w:rPr>
          <w:rFonts w:ascii="Arial" w:cs="Arial" w:eastAsia="Arial" w:hAnsi="Arial"/>
          <w:sz w:val="18"/>
          <w:szCs w:val="18"/>
          <w:b w:val="1"/>
          <w:bCs w:val="1"/>
          <w:color w:val="auto"/>
        </w:rPr>
        <w:t xml:space="preserve"> </w:t>
      </w:r>
      <w:r>
        <w:rPr>
          <w:rFonts w:ascii="Arial" w:cs="Arial" w:eastAsia="Arial" w:hAnsi="Arial"/>
          <w:sz w:val="18"/>
          <w:szCs w:val="18"/>
          <w:color w:val="auto"/>
        </w:rPr>
        <w:t>14(d) thereof, including a “group” as defined in Section 13(d) thereof.</w:t>
      </w:r>
    </w:p>
    <w:p>
      <w:pPr>
        <w:spacing w:after="0" w:line="167"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Plan</w:t>
      </w:r>
      <w:r>
        <w:rPr>
          <w:rFonts w:ascii="Arial" w:cs="Arial" w:eastAsia="Arial" w:hAnsi="Arial"/>
          <w:sz w:val="17"/>
          <w:szCs w:val="17"/>
          <w:color w:val="auto"/>
        </w:rPr>
        <w:t>” means The Toro Company 2026 Equity Plan, as amended and restated from time to time in accordance with Article 15.</w:t>
      </w:r>
    </w:p>
    <w:p>
      <w:pPr>
        <w:spacing w:after="0" w:line="18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Prior Plan</w:t>
      </w:r>
      <w:r>
        <w:rPr>
          <w:rFonts w:ascii="Arial" w:cs="Arial" w:eastAsia="Arial" w:hAnsi="Arial"/>
          <w:sz w:val="17"/>
          <w:szCs w:val="17"/>
          <w:color w:val="auto"/>
        </w:rPr>
        <w:t>” means The Toro Company 2022 Equity and Incentive Plan, as amended and restated from time to time.</w:t>
      </w:r>
    </w:p>
    <w:p>
      <w:pPr>
        <w:spacing w:after="0" w:line="18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Restricted Stock</w:t>
      </w:r>
      <w:r>
        <w:rPr>
          <w:rFonts w:ascii="Arial" w:cs="Arial" w:eastAsia="Arial" w:hAnsi="Arial"/>
          <w:sz w:val="17"/>
          <w:szCs w:val="17"/>
          <w:color w:val="auto"/>
        </w:rPr>
        <w:t>” means an Award granted to a Participant pursuant to Article 8.</w:t>
      </w:r>
    </w:p>
    <w:p>
      <w:pPr>
        <w:spacing w:after="0" w:line="193" w:lineRule="exact"/>
        <w:rPr>
          <w:sz w:val="20"/>
          <w:szCs w:val="20"/>
          <w:color w:val="auto"/>
        </w:rPr>
      </w:pPr>
    </w:p>
    <w:p>
      <w:pPr>
        <w:jc w:val="both"/>
        <w:ind w:right="20" w:firstLine="640"/>
        <w:spacing w:after="0" w:line="236" w:lineRule="auto"/>
        <w:rPr>
          <w:sz w:val="20"/>
          <w:szCs w:val="20"/>
          <w:color w:val="auto"/>
        </w:rPr>
      </w:pPr>
      <w:r>
        <w:rPr>
          <w:rFonts w:ascii="Arial" w:cs="Arial" w:eastAsia="Arial" w:hAnsi="Arial"/>
          <w:sz w:val="18"/>
          <w:szCs w:val="18"/>
          <w:b w:val="1"/>
          <w:bCs w:val="1"/>
          <w:color w:val="auto"/>
        </w:rPr>
        <w:t xml:space="preserve">2.36 </w:t>
      </w:r>
      <w:r>
        <w:rPr>
          <w:rFonts w:ascii="Arial" w:cs="Arial" w:eastAsia="Arial" w:hAnsi="Arial"/>
          <w:sz w:val="18"/>
          <w:szCs w:val="18"/>
          <w:color w:val="auto"/>
        </w:rPr>
        <w:t>“</w:t>
      </w:r>
      <w:r>
        <w:rPr>
          <w:rFonts w:ascii="Arial" w:cs="Arial" w:eastAsia="Arial" w:hAnsi="Arial"/>
          <w:sz w:val="18"/>
          <w:szCs w:val="18"/>
          <w:b w:val="1"/>
          <w:bCs w:val="1"/>
          <w:color w:val="auto"/>
        </w:rPr>
        <w:t>Restricted Stock Unit</w:t>
      </w:r>
      <w:r>
        <w:rPr>
          <w:rFonts w:ascii="Arial" w:cs="Arial" w:eastAsia="Arial" w:hAnsi="Arial"/>
          <w:sz w:val="18"/>
          <w:szCs w:val="18"/>
          <w:color w:val="auto"/>
        </w:rPr>
        <w:t>” means an Award granted to a Participant pursuant to Article 8, except no Shares are actually issued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Participant on the Grant Date.</w:t>
      </w:r>
    </w:p>
    <w:p>
      <w:pPr>
        <w:spacing w:after="0" w:line="153" w:lineRule="exact"/>
        <w:rPr>
          <w:sz w:val="20"/>
          <w:szCs w:val="20"/>
          <w:color w:val="auto"/>
        </w:rPr>
      </w:pPr>
    </w:p>
    <w:p>
      <w:pPr>
        <w:jc w:val="both"/>
        <w:ind w:firstLine="640"/>
        <w:spacing w:after="0" w:line="249" w:lineRule="auto"/>
        <w:rPr>
          <w:sz w:val="20"/>
          <w:szCs w:val="20"/>
          <w:color w:val="auto"/>
        </w:rPr>
      </w:pPr>
      <w:r>
        <w:rPr>
          <w:rFonts w:ascii="Arial" w:cs="Arial" w:eastAsia="Arial" w:hAnsi="Arial"/>
          <w:sz w:val="18"/>
          <w:szCs w:val="18"/>
          <w:b w:val="1"/>
          <w:bCs w:val="1"/>
          <w:color w:val="auto"/>
        </w:rPr>
        <w:t xml:space="preserve">2.37 </w:t>
      </w: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means a share of common stock of the Company or the number and kind of shares of stock or other securities into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such common stock may be changed in accordance with Section 4.3 of this Plan.</w:t>
      </w:r>
    </w:p>
    <w:p>
      <w:pPr>
        <w:spacing w:after="0" w:line="14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2.38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Stock Appreciation Right</w:t>
      </w:r>
      <w:r>
        <w:rPr>
          <w:rFonts w:ascii="Arial" w:cs="Arial" w:eastAsia="Arial" w:hAnsi="Arial"/>
          <w:sz w:val="17"/>
          <w:szCs w:val="17"/>
          <w:color w:val="auto"/>
        </w:rPr>
        <w:t>” means an Award, designated as a Stock Appreciation Right, pursuant to the terms of Article 7.</w:t>
      </w:r>
    </w:p>
    <w:p>
      <w:pPr>
        <w:spacing w:after="0" w:line="180" w:lineRule="exact"/>
        <w:rPr>
          <w:sz w:val="20"/>
          <w:szCs w:val="20"/>
          <w:color w:val="auto"/>
        </w:rPr>
      </w:pPr>
    </w:p>
    <w:p>
      <w:pPr>
        <w:jc w:val="both"/>
        <w:ind w:firstLine="640"/>
        <w:spacing w:after="0" w:line="249" w:lineRule="auto"/>
        <w:rPr>
          <w:sz w:val="20"/>
          <w:szCs w:val="20"/>
          <w:color w:val="auto"/>
        </w:rPr>
      </w:pPr>
      <w:r>
        <w:rPr>
          <w:rFonts w:ascii="Arial" w:cs="Arial" w:eastAsia="Arial" w:hAnsi="Arial"/>
          <w:sz w:val="18"/>
          <w:szCs w:val="18"/>
          <w:b w:val="1"/>
          <w:bCs w:val="1"/>
          <w:color w:val="auto"/>
        </w:rPr>
        <w:t xml:space="preserve">2.39 </w:t>
      </w:r>
      <w:r>
        <w:rPr>
          <w:rFonts w:ascii="Arial" w:cs="Arial" w:eastAsia="Arial" w:hAnsi="Arial"/>
          <w:sz w:val="18"/>
          <w:szCs w:val="18"/>
          <w:color w:val="auto"/>
        </w:rPr>
        <w:t>“</w:t>
      </w:r>
      <w:r>
        <w:rPr>
          <w:rFonts w:ascii="Arial" w:cs="Arial" w:eastAsia="Arial" w:hAnsi="Arial"/>
          <w:sz w:val="18"/>
          <w:szCs w:val="18"/>
          <w:b w:val="1"/>
          <w:bCs w:val="1"/>
          <w:color w:val="auto"/>
        </w:rPr>
        <w:t>Stock-Based Award</w:t>
      </w:r>
      <w:r>
        <w:rPr>
          <w:rFonts w:ascii="Arial" w:cs="Arial" w:eastAsia="Arial" w:hAnsi="Arial"/>
          <w:sz w:val="18"/>
          <w:szCs w:val="18"/>
          <w:color w:val="auto"/>
        </w:rPr>
        <w:t>” means any equity-based or equity-related Award made pursuant to this Plan, including an Option,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Appreciation Right, Restricted Stock, Restricted Stock Unit, Performance Share, and Other Stock-Based Award.</w:t>
      </w:r>
    </w:p>
    <w:p>
      <w:pPr>
        <w:spacing w:after="0" w:line="144"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8"/>
          <w:szCs w:val="18"/>
          <w:b w:val="1"/>
          <w:bCs w:val="1"/>
          <w:color w:val="auto"/>
        </w:rPr>
        <w:t xml:space="preserve">2.40 </w:t>
      </w: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or other entity, whether domestic or foreign, in which the Company has or obtains,</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or indirectly, an interest of more than fifty percent (50%) by reason of stock ownership or otherwise.</w:t>
      </w:r>
    </w:p>
    <w:p>
      <w:pPr>
        <w:spacing w:after="0" w:line="167" w:lineRule="exact"/>
        <w:rPr>
          <w:sz w:val="20"/>
          <w:szCs w:val="20"/>
          <w:color w:val="auto"/>
        </w:rPr>
      </w:pPr>
    </w:p>
    <w:p>
      <w:pPr>
        <w:jc w:val="both"/>
        <w:ind w:firstLine="640"/>
        <w:spacing w:after="0" w:line="224" w:lineRule="auto"/>
        <w:rPr>
          <w:sz w:val="20"/>
          <w:szCs w:val="20"/>
          <w:color w:val="auto"/>
        </w:rPr>
      </w:pPr>
      <w:r>
        <w:rPr>
          <w:rFonts w:ascii="Arial" w:cs="Arial" w:eastAsia="Arial" w:hAnsi="Arial"/>
          <w:sz w:val="18"/>
          <w:szCs w:val="18"/>
          <w:b w:val="1"/>
          <w:bCs w:val="1"/>
          <w:color w:val="auto"/>
        </w:rPr>
        <w:t xml:space="preserve">2.41 </w:t>
      </w:r>
      <w:r>
        <w:rPr>
          <w:rFonts w:ascii="Arial" w:cs="Arial" w:eastAsia="Arial" w:hAnsi="Arial"/>
          <w:sz w:val="18"/>
          <w:szCs w:val="18"/>
          <w:color w:val="auto"/>
        </w:rPr>
        <w:t>“</w:t>
      </w:r>
      <w:r>
        <w:rPr>
          <w:rFonts w:ascii="Arial" w:cs="Arial" w:eastAsia="Arial" w:hAnsi="Arial"/>
          <w:sz w:val="18"/>
          <w:szCs w:val="18"/>
          <w:b w:val="1"/>
          <w:bCs w:val="1"/>
          <w:color w:val="auto"/>
        </w:rPr>
        <w:t>Third-Party Service Provider</w:t>
      </w:r>
      <w:r>
        <w:rPr>
          <w:rFonts w:ascii="Arial" w:cs="Arial" w:eastAsia="Arial" w:hAnsi="Arial"/>
          <w:sz w:val="18"/>
          <w:szCs w:val="18"/>
          <w:color w:val="auto"/>
        </w:rPr>
        <w:t>” means any consultant, agent, advisor, or independent contractor who renders services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 Subsidiary or an Affiliate that: (a) are not in connection with the offer and sale of the Company’s securities in a capital raising transaction, and (b) do not directly or indirectly promote or maintain a market for the Company’s securities.</w:t>
      </w:r>
    </w:p>
    <w:p>
      <w:pPr>
        <w:spacing w:after="0" w:line="168"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8"/>
          <w:szCs w:val="18"/>
          <w:b w:val="1"/>
          <w:bCs w:val="1"/>
          <w:color w:val="auto"/>
        </w:rPr>
        <w:t>Article 3.</w:t>
      </w:r>
      <w:r>
        <w:rPr>
          <w:sz w:val="20"/>
          <w:szCs w:val="20"/>
          <w:color w:val="auto"/>
        </w:rPr>
        <w:tab/>
      </w:r>
      <w:r>
        <w:rPr>
          <w:rFonts w:ascii="Arial" w:cs="Arial" w:eastAsia="Arial" w:hAnsi="Arial"/>
          <w:sz w:val="17"/>
          <w:szCs w:val="17"/>
          <w:b w:val="1"/>
          <w:bCs w:val="1"/>
          <w:color w:val="auto"/>
        </w:rPr>
        <w:t>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15" w:name="page116"/>
    <w:bookmarkEnd w:id="115"/>
    <w:p>
      <w:pPr>
        <w:jc w:val="both"/>
        <w:ind w:firstLine="640"/>
        <w:spacing w:after="0" w:line="219" w:lineRule="auto"/>
        <w:rPr>
          <w:sz w:val="20"/>
          <w:szCs w:val="20"/>
          <w:color w:val="auto"/>
        </w:rPr>
      </w:pPr>
      <w:r>
        <w:rPr>
          <w:rFonts w:ascii="Arial" w:cs="Arial" w:eastAsia="Arial" w:hAnsi="Arial"/>
          <w:sz w:val="18"/>
          <w:szCs w:val="18"/>
          <w:b w:val="1"/>
          <w:bCs w:val="1"/>
          <w:color w:val="auto"/>
        </w:rPr>
        <w:t>3.1 General</w:t>
      </w:r>
      <w:r>
        <w:rPr>
          <w:rFonts w:ascii="Arial" w:cs="Arial" w:eastAsia="Arial" w:hAnsi="Arial"/>
          <w:sz w:val="18"/>
          <w:szCs w:val="18"/>
          <w:color w:val="auto"/>
        </w:rPr>
        <w:t>. The Committee shall be responsible for administering this Plan, subject to this Article 3 and the other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The Committee may employ attorneys, consultants, accountants, agents, and other individuals, any of whom may be an Employee,</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and the Committee, the Company and its officers and Directors shall be entitled to rely upon the advice, opinions or valuations of any such individuals. The Committee may exercise its duties, power and authority under this Plan in its sole discretion without the consent of any Participant or other party, unless this Plan specifically provides otherwise. The Committee will not be obligated to treat Participants or</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individuals eligible to participate in this Plan uniformly, and determinations made under this Plan may be made by the Committee in its sole discretion and selectively among Participants or individuals eligible to participate in this Plan, whether or not such Participants and individuals eligible to participate in this Plan are similarly situated. All actions taken, and all interpretations and determinations made, by the Committee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shall be final and binding upon the Participants, the Company, any Affiliate or any Subsidiary and all other interested individuals.</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3.2 Authority of the Committee</w:t>
      </w:r>
      <w:r>
        <w:rPr>
          <w:rFonts w:ascii="Arial" w:cs="Arial" w:eastAsia="Arial" w:hAnsi="Arial"/>
          <w:sz w:val="18"/>
          <w:szCs w:val="18"/>
          <w:color w:val="auto"/>
        </w:rPr>
        <w:t>. Subject to any express limitations set forth in this Plan, the Committee shall have full and</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discretionary power and authority to take such actions as it deems necessary and advisable with respect to the administration of this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Plan including the following:</w:t>
      </w:r>
    </w:p>
    <w:p>
      <w:pPr>
        <w:spacing w:after="0" w:line="164" w:lineRule="exact"/>
        <w:rPr>
          <w:sz w:val="20"/>
          <w:szCs w:val="20"/>
          <w:color w:val="auto"/>
        </w:rPr>
      </w:pPr>
    </w:p>
    <w:p>
      <w:pPr>
        <w:jc w:val="both"/>
        <w:ind w:left="1280" w:hanging="633"/>
        <w:spacing w:after="0" w:line="222" w:lineRule="auto"/>
        <w:tabs>
          <w:tab w:leader="none" w:pos="127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determine from time to time which of the persons eligible under this Plan shall be granted Awards, when and how each Award shall be granted, what type or combination of types of Awards shall be granted, the provisions of each Award granted (which need not be identical), including the time or times when a person shall be permitted to receive Shares pursuant to an Award, and the number of Shares subject to an Award;</w:t>
      </w:r>
    </w:p>
    <w:p>
      <w:pPr>
        <w:spacing w:after="0" w:line="154" w:lineRule="exact"/>
        <w:rPr>
          <w:rFonts w:ascii="Arial" w:cs="Arial" w:eastAsia="Arial" w:hAnsi="Arial"/>
          <w:sz w:val="18"/>
          <w:szCs w:val="18"/>
          <w:color w:val="auto"/>
        </w:rPr>
      </w:pPr>
    </w:p>
    <w:p>
      <w:pPr>
        <w:jc w:val="both"/>
        <w:ind w:left="1280" w:hanging="633"/>
        <w:spacing w:after="0" w:line="244" w:lineRule="auto"/>
        <w:tabs>
          <w:tab w:leader="none" w:pos="127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To construe and interpret this Plan and Awards granted under it, and to establish, amend and revoke rules and regulations for its administration. The Committee, in the exercise of this power, may correct any defect, omission or inconsistency in this Plan or in an Award Agreement, in a manner and to the extent it shall deem necessary or expedient to make this Plan fully effective;</w:t>
      </w:r>
    </w:p>
    <w:p>
      <w:pPr>
        <w:spacing w:after="0" w:line="150" w:lineRule="exact"/>
        <w:rPr>
          <w:rFonts w:ascii="Arial" w:cs="Arial" w:eastAsia="Arial" w:hAnsi="Arial"/>
          <w:sz w:val="17"/>
          <w:szCs w:val="17"/>
          <w:color w:val="auto"/>
        </w:rPr>
      </w:pPr>
    </w:p>
    <w:p>
      <w:pPr>
        <w:ind w:left="1280" w:hanging="633"/>
        <w:spacing w:after="0"/>
        <w:tabs>
          <w:tab w:leader="none" w:pos="12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this Plan;</w:t>
      </w:r>
    </w:p>
    <w:p>
      <w:pPr>
        <w:spacing w:after="0" w:line="193" w:lineRule="exact"/>
        <w:rPr>
          <w:rFonts w:ascii="Arial" w:cs="Arial" w:eastAsia="Arial" w:hAnsi="Arial"/>
          <w:sz w:val="18"/>
          <w:szCs w:val="18"/>
          <w:color w:val="auto"/>
        </w:rPr>
      </w:pPr>
    </w:p>
    <w:p>
      <w:pPr>
        <w:ind w:left="1280" w:hanging="633"/>
        <w:spacing w:after="0"/>
        <w:tabs>
          <w:tab w:leader="none" w:pos="12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determine the Fair Market Value of a Share in accordance with Section 2.15;</w:t>
      </w:r>
    </w:p>
    <w:p>
      <w:pPr>
        <w:spacing w:after="0" w:line="179" w:lineRule="exact"/>
        <w:rPr>
          <w:rFonts w:ascii="Arial" w:cs="Arial" w:eastAsia="Arial" w:hAnsi="Arial"/>
          <w:sz w:val="18"/>
          <w:szCs w:val="18"/>
          <w:color w:val="auto"/>
        </w:rPr>
      </w:pPr>
    </w:p>
    <w:p>
      <w:pPr>
        <w:ind w:left="1280" w:hanging="633"/>
        <w:spacing w:after="0"/>
        <w:tabs>
          <w:tab w:leader="none" w:pos="12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amend this Plan or any Award Agreement as provided in this Plan;</w:t>
      </w:r>
    </w:p>
    <w:p>
      <w:pPr>
        <w:spacing w:after="0" w:line="179" w:lineRule="exact"/>
        <w:rPr>
          <w:rFonts w:ascii="Arial" w:cs="Arial" w:eastAsia="Arial" w:hAnsi="Arial"/>
          <w:sz w:val="18"/>
          <w:szCs w:val="18"/>
          <w:color w:val="auto"/>
        </w:rPr>
      </w:pPr>
    </w:p>
    <w:p>
      <w:pPr>
        <w:jc w:val="both"/>
        <w:ind w:left="1280" w:hanging="633"/>
        <w:spacing w:after="0" w:line="244" w:lineRule="auto"/>
        <w:tabs>
          <w:tab w:leader="none" w:pos="1274"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To adopt subplans or special provisions applicable to stock awards regulated by the laws of a jurisdiction other than, and outside of, the United States. Such subplans or special provisions may take precedence over other provisions of this Plan, but unless otherwise superseded by the terms of such subplans or special provisions, the provisions of this Plan shall govern;</w:t>
      </w:r>
    </w:p>
    <w:p>
      <w:pPr>
        <w:spacing w:after="0" w:line="150" w:lineRule="exact"/>
        <w:rPr>
          <w:rFonts w:ascii="Arial" w:cs="Arial" w:eastAsia="Arial" w:hAnsi="Arial"/>
          <w:sz w:val="17"/>
          <w:szCs w:val="17"/>
          <w:color w:val="auto"/>
        </w:rPr>
      </w:pPr>
    </w:p>
    <w:p>
      <w:pPr>
        <w:ind w:left="1280" w:hanging="633"/>
        <w:spacing w:after="0" w:line="246" w:lineRule="auto"/>
        <w:tabs>
          <w:tab w:leader="none" w:pos="127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Committee;</w:t>
      </w:r>
    </w:p>
    <w:p>
      <w:pPr>
        <w:spacing w:after="0" w:line="149" w:lineRule="exact"/>
        <w:rPr>
          <w:rFonts w:ascii="Arial" w:cs="Arial" w:eastAsia="Arial" w:hAnsi="Arial"/>
          <w:sz w:val="18"/>
          <w:szCs w:val="18"/>
          <w:color w:val="auto"/>
        </w:rPr>
      </w:pPr>
    </w:p>
    <w:p>
      <w:pPr>
        <w:ind w:left="1280" w:hanging="633"/>
        <w:spacing w:after="0"/>
        <w:tabs>
          <w:tab w:leader="none" w:pos="12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determine whether Awards will be settled in Shares, cash or in any combination thereof;</w:t>
      </w:r>
    </w:p>
    <w:p>
      <w:pPr>
        <w:spacing w:after="0" w:line="179" w:lineRule="exact"/>
        <w:rPr>
          <w:rFonts w:ascii="Arial" w:cs="Arial" w:eastAsia="Arial" w:hAnsi="Arial"/>
          <w:sz w:val="18"/>
          <w:szCs w:val="18"/>
          <w:color w:val="auto"/>
        </w:rPr>
      </w:pPr>
    </w:p>
    <w:p>
      <w:pPr>
        <w:jc w:val="both"/>
        <w:ind w:left="1280" w:hanging="633"/>
        <w:spacing w:after="0" w:line="221" w:lineRule="auto"/>
        <w:tabs>
          <w:tab w:leader="none" w:pos="127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Subject to Article 12 and any other provision of this Plan, to determine whether Awards will be adjusted for dividend equivalents, with “Dividend Equivalents” meaning a credit, made at the sole discretion of the Committee, to the account of a Participant in an amount equal to the cash dividends paid on one Share for each Share represented by an Award held by such Participant, which Dividend Equivalents may be subject to the same conditions and restrictions as the Awards to which they attach and may be settled in the form of cash, Shares, or in any combination of both; or</w:t>
      </w:r>
    </w:p>
    <w:p>
      <w:pPr>
        <w:spacing w:after="0" w:line="154" w:lineRule="exact"/>
        <w:rPr>
          <w:rFonts w:ascii="Arial" w:cs="Arial" w:eastAsia="Arial" w:hAnsi="Arial"/>
          <w:sz w:val="18"/>
          <w:szCs w:val="18"/>
          <w:color w:val="auto"/>
        </w:rPr>
      </w:pPr>
    </w:p>
    <w:p>
      <w:pPr>
        <w:jc w:val="both"/>
        <w:ind w:left="1280" w:hanging="633"/>
        <w:spacing w:after="0" w:line="224" w:lineRule="auto"/>
        <w:tabs>
          <w:tab w:leader="none" w:pos="127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impose such restrictions, conditions or limitations as it determines appropriate as to the timing and manner of any resales by a Participant or other subsequent transfers by the Participant of any Shares, including: (i) restrictions under an insider trading policy, and (ii) restrictions as to the use of a specified brokerage firm for such resales or other transfers.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16" w:name="page117"/>
    <w:bookmarkEnd w:id="116"/>
    <w:p>
      <w:pPr>
        <w:jc w:val="both"/>
        <w:ind w:firstLine="640"/>
        <w:spacing w:after="0" w:line="219" w:lineRule="auto"/>
        <w:rPr>
          <w:sz w:val="20"/>
          <w:szCs w:val="20"/>
          <w:color w:val="auto"/>
        </w:rPr>
      </w:pPr>
      <w:r>
        <w:rPr>
          <w:rFonts w:ascii="Arial" w:cs="Arial" w:eastAsia="Arial" w:hAnsi="Arial"/>
          <w:sz w:val="18"/>
          <w:szCs w:val="18"/>
          <w:b w:val="1"/>
          <w:bCs w:val="1"/>
          <w:color w:val="auto"/>
        </w:rPr>
        <w:t>3.3 Delegation</w:t>
      </w:r>
      <w:r>
        <w:rPr>
          <w:rFonts w:ascii="Arial" w:cs="Arial" w:eastAsia="Arial" w:hAnsi="Arial"/>
          <w:sz w:val="18"/>
          <w:szCs w:val="18"/>
          <w:color w:val="auto"/>
        </w:rPr>
        <w:t>. To the extent permitted by Applicable Law, the Committee may delegate to one or more of its members or to one</w:t>
      </w:r>
      <w:r>
        <w:rPr>
          <w:rFonts w:ascii="Arial" w:cs="Arial" w:eastAsia="Arial" w:hAnsi="Arial"/>
          <w:sz w:val="18"/>
          <w:szCs w:val="18"/>
          <w:b w:val="1"/>
          <w:bCs w:val="1"/>
          <w:color w:val="auto"/>
        </w:rPr>
        <w:t xml:space="preserve"> </w:t>
      </w:r>
      <w:r>
        <w:rPr>
          <w:rFonts w:ascii="Arial" w:cs="Arial" w:eastAsia="Arial" w:hAnsi="Arial"/>
          <w:sz w:val="18"/>
          <w:szCs w:val="18"/>
          <w:color w:val="auto"/>
        </w:rPr>
        <w:t>or more officers of the Company or any Subsidiary or Affiliate or to one or more agents or advisors such administrative duties or powers as it</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may deem advisable, and the Committee or any individuals to whom it has delegated duties or powers as aforesaid may employ one or more individuals to render advice with respect to any responsibility the Committee or such individuals may have under this Plan. In addition, the Committee may, by resolution, authorize one or more Directors or officers of the Company to do any of the following on the same basis as can</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the Committee: (a) designate persons eligible under this Plan to be recipients of Awards pursuant to this Plan; (b) determine the size of any such Awards; and (c) take other actions with respect to Awards under this Plan to the fullest extent permitted under Delaware General Corporation Law (“DGCL”) Section 157 (or any successor provisions thereto) and related applicable DGCL Sections and consistent with</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 xml:space="preserve">Applicable Law and the resolution providing such authorization;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 the Committee shall not delegate such responsibilities to any such Director(s) or officer(s) for any Awards granted to an individual who is considered an Insider; or (ii) to whom authority to grant or amend Awards has been delegated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further</w:t>
      </w:r>
      <w:r>
        <w:rPr>
          <w:rFonts w:ascii="Arial" w:cs="Arial" w:eastAsia="Arial" w:hAnsi="Arial"/>
          <w:sz w:val="18"/>
          <w:szCs w:val="18"/>
          <w:color w:val="auto"/>
        </w:rPr>
        <w:t>, that any delegation of administrative authority will only</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be permitted to the extent it is permissible under Applicable Law; (aa) the resolution providing such authorization shall set forth the total number of Awards such Director(s) or officer(s) may grant and such other information as is required by the DGCL; and (bb) the Director(s) or officer(s) shall report periodically to the Committee regarding the nature and scope of the Awards granted pursuant to the authority delegated.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 all times, the delegate appointed under this Section 3.3 will serve in such capacity at the pleasure of the Committee.</w:t>
      </w:r>
    </w:p>
    <w:p>
      <w:pPr>
        <w:spacing w:after="0" w:line="162" w:lineRule="exact"/>
        <w:rPr>
          <w:sz w:val="20"/>
          <w:szCs w:val="20"/>
          <w:color w:val="auto"/>
        </w:rPr>
      </w:pPr>
    </w:p>
    <w:p>
      <w:pPr>
        <w:ind w:left="1280" w:right="740" w:hanging="639"/>
        <w:spacing w:after="0" w:line="245" w:lineRule="auto"/>
        <w:rPr>
          <w:sz w:val="20"/>
          <w:szCs w:val="20"/>
          <w:color w:val="auto"/>
        </w:rPr>
      </w:pPr>
      <w:r>
        <w:rPr>
          <w:rFonts w:ascii="Arial" w:cs="Arial" w:eastAsia="Arial" w:hAnsi="Arial"/>
          <w:sz w:val="18"/>
          <w:szCs w:val="18"/>
          <w:b w:val="1"/>
          <w:bCs w:val="1"/>
          <w:color w:val="auto"/>
        </w:rPr>
        <w:t>Article 4.</w:t>
      </w:r>
      <w:r>
        <w:rPr>
          <w:sz w:val="20"/>
          <w:szCs w:val="20"/>
          <w:color w:val="auto"/>
        </w:rPr>
        <w:t xml:space="preserve"> </w:t>
      </w:r>
      <w:r>
        <w:rPr>
          <w:rFonts w:ascii="Arial" w:cs="Arial" w:eastAsia="Arial" w:hAnsi="Arial"/>
          <w:sz w:val="18"/>
          <w:szCs w:val="18"/>
          <w:b w:val="1"/>
          <w:bCs w:val="1"/>
          <w:color w:val="auto"/>
        </w:rPr>
        <w:t>Number of Shares Authorized Under This Plan; Adjustments; Minimum Vesting Periods; Limit on Total Nonemployee Director Compensation</w:t>
      </w:r>
    </w:p>
    <w:p>
      <w:pPr>
        <w:spacing w:after="0" w:line="151" w:lineRule="exact"/>
        <w:rPr>
          <w:sz w:val="20"/>
          <w:szCs w:val="20"/>
          <w:color w:val="auto"/>
        </w:rPr>
      </w:pPr>
    </w:p>
    <w:p>
      <w:pPr>
        <w:ind w:firstLine="640"/>
        <w:spacing w:after="0" w:line="236" w:lineRule="auto"/>
        <w:rPr>
          <w:sz w:val="20"/>
          <w:szCs w:val="20"/>
          <w:color w:val="auto"/>
        </w:rPr>
      </w:pPr>
      <w:r>
        <w:rPr>
          <w:rFonts w:ascii="Arial" w:cs="Arial" w:eastAsia="Arial" w:hAnsi="Arial"/>
          <w:sz w:val="18"/>
          <w:szCs w:val="18"/>
          <w:b w:val="1"/>
          <w:bCs w:val="1"/>
          <w:color w:val="auto"/>
        </w:rPr>
        <w:t>4.1 Number of Shares Authorized for Awards</w:t>
      </w:r>
      <w:r>
        <w:rPr>
          <w:rFonts w:ascii="Arial" w:cs="Arial" w:eastAsia="Arial" w:hAnsi="Arial"/>
          <w:sz w:val="18"/>
          <w:szCs w:val="18"/>
          <w:color w:val="auto"/>
        </w:rPr>
        <w:t>. Subject to adjustment as provided in Section 4.3, the number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for issuance under this Plan shall be determined in accordance with the following provisions:</w:t>
      </w:r>
    </w:p>
    <w:p>
      <w:pPr>
        <w:spacing w:after="0" w:line="155" w:lineRule="exact"/>
        <w:rPr>
          <w:sz w:val="20"/>
          <w:szCs w:val="20"/>
          <w:color w:val="auto"/>
        </w:rPr>
      </w:pPr>
    </w:p>
    <w:p>
      <w:pPr>
        <w:jc w:val="both"/>
        <w:ind w:left="1280" w:hanging="633"/>
        <w:spacing w:after="0" w:line="221" w:lineRule="auto"/>
        <w:tabs>
          <w:tab w:leader="none" w:pos="127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maximum number of Shares authorized for issuance under this Plan shall be equal to the sum of: (i) 3,650,000 Shares, plus (ii) the number of Shares remaining available for issuance under the Prior Plan as of the Effective Date but not subject to outstanding awards as of the Effective Date; and plus (iii) the number of Shares subject to awards outstanding under the Prior Plan as of the Effective Date but only to the extent that such outstanding awards are forfeited, expire or otherwise terminate without the issuance of such Shares after the Effective Date.</w:t>
      </w:r>
    </w:p>
    <w:p>
      <w:pPr>
        <w:spacing w:after="0" w:line="154" w:lineRule="exact"/>
        <w:rPr>
          <w:rFonts w:ascii="Arial" w:cs="Arial" w:eastAsia="Arial" w:hAnsi="Arial"/>
          <w:sz w:val="18"/>
          <w:szCs w:val="18"/>
          <w:color w:val="auto"/>
        </w:rPr>
      </w:pPr>
    </w:p>
    <w:p>
      <w:pPr>
        <w:ind w:left="1280" w:hanging="633"/>
        <w:spacing w:after="0"/>
        <w:tabs>
          <w:tab w:leader="none" w:pos="12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 more than 2,500,000 of the Shares authorized for issuance under this Plan may be issued pursuant to Full-Value Awards.</w:t>
      </w:r>
    </w:p>
    <w:p>
      <w:pPr>
        <w:spacing w:after="0" w:line="179" w:lineRule="exact"/>
        <w:rPr>
          <w:rFonts w:ascii="Arial" w:cs="Arial" w:eastAsia="Arial" w:hAnsi="Arial"/>
          <w:sz w:val="18"/>
          <w:szCs w:val="18"/>
          <w:color w:val="auto"/>
        </w:rPr>
      </w:pPr>
    </w:p>
    <w:p>
      <w:pPr>
        <w:ind w:left="1280" w:hanging="633"/>
        <w:spacing w:after="0"/>
        <w:tabs>
          <w:tab w:leader="none" w:pos="12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maximum number of Shares that may be issued pursuant to Incentive Stock Options under this Plan shall be 3,650,000.</w:t>
      </w:r>
    </w:p>
    <w:p>
      <w:pPr>
        <w:spacing w:after="0" w:line="191" w:lineRule="exact"/>
        <w:rPr>
          <w:sz w:val="20"/>
          <w:szCs w:val="20"/>
          <w:color w:val="auto"/>
        </w:rPr>
      </w:pPr>
    </w:p>
    <w:p>
      <w:pPr>
        <w:jc w:val="both"/>
        <w:ind w:firstLine="640"/>
        <w:spacing w:after="0" w:line="225" w:lineRule="auto"/>
        <w:rPr>
          <w:sz w:val="20"/>
          <w:szCs w:val="20"/>
          <w:color w:val="auto"/>
        </w:rPr>
      </w:pPr>
      <w:r>
        <w:rPr>
          <w:rFonts w:ascii="Arial" w:cs="Arial" w:eastAsia="Arial" w:hAnsi="Arial"/>
          <w:sz w:val="17"/>
          <w:szCs w:val="17"/>
          <w:b w:val="1"/>
          <w:bCs w:val="1"/>
          <w:color w:val="auto"/>
        </w:rPr>
        <w:t>4.2 Share Usage</w:t>
      </w:r>
      <w:r>
        <w:rPr>
          <w:rFonts w:ascii="Arial" w:cs="Arial" w:eastAsia="Arial" w:hAnsi="Arial"/>
          <w:sz w:val="17"/>
          <w:szCs w:val="17"/>
          <w:color w:val="auto"/>
        </w:rPr>
        <w:t>. Shares covered by an Award shall be counted as used only to the extent such Shares are actually issued;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full number of Shares subject to a Stock Appreciation Right granted under this Plan that is settled by the issuance of Shares shall be counted against the Shares authorized for issuance under this Plan, regardless of the number of Shares actually issued</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upon settlement of such Stock Appreciation Right. Furthermore, any Shares tendered or withheld to satisfy tax withholding obligations on Awards issued under this Plan, any Shares tendered or withheld to pay the Option Price or Grant Price of Awards granted under this Plan and any Shares not issued or delivered as a result of the "net exercise" of an outstanding Option pursuant to Section 6.6 or an outstanding Stock</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Appreciation Right pursuant to Section 7.5 shall be counted against the Shares authorized for issuance under this Plan. Any Shares repurchased by the Company on the open market using the proceeds from the exercise of an Award shall not increase the number of Shares authorized for future grant of Awards under this Plan. Any Shares related to Awards under this Plan or under the Prior Plan that terminate by expiration, forfeiture, cancellation or otherwise without the issuance of the Shares or are settled in cash in lieu of Shares, or are exchanged</w:t>
      </w:r>
    </w:p>
    <w:p>
      <w:pPr>
        <w:spacing w:after="0" w:line="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with the Committee’s permission, prior to the issuance of Shares, shall be available again for grant under this Plan. The Shares authorized for issuance under this Plan may be authorized and unissued Shares or treasury Shares.</w:t>
      </w:r>
    </w:p>
    <w:p>
      <w:pPr>
        <w:spacing w:after="0" w:line="153" w:lineRule="exact"/>
        <w:rPr>
          <w:sz w:val="20"/>
          <w:szCs w:val="20"/>
          <w:color w:val="auto"/>
        </w:rPr>
      </w:pPr>
    </w:p>
    <w:p>
      <w:pPr>
        <w:jc w:val="both"/>
        <w:ind w:firstLine="640"/>
        <w:spacing w:after="0" w:line="249" w:lineRule="auto"/>
        <w:rPr>
          <w:sz w:val="20"/>
          <w:szCs w:val="20"/>
          <w:color w:val="auto"/>
        </w:rPr>
      </w:pPr>
      <w:r>
        <w:rPr>
          <w:rFonts w:ascii="Arial" w:cs="Arial" w:eastAsia="Arial" w:hAnsi="Arial"/>
          <w:sz w:val="18"/>
          <w:szCs w:val="18"/>
          <w:b w:val="1"/>
          <w:bCs w:val="1"/>
          <w:color w:val="auto"/>
        </w:rPr>
        <w:t>4.3 Adjustments in Authorized Shares</w:t>
      </w:r>
      <w:r>
        <w:rPr>
          <w:rFonts w:ascii="Arial" w:cs="Arial" w:eastAsia="Arial" w:hAnsi="Arial"/>
          <w:sz w:val="18"/>
          <w:szCs w:val="18"/>
          <w:color w:val="auto"/>
        </w:rPr>
        <w:t>. An adjustment in authorized Shares available for issuance under this Plan or under an</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Award shall be subject to the following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17" w:name="page118"/>
    <w:bookmarkEnd w:id="117"/>
    <w:p>
      <w:pPr>
        <w:jc w:val="both"/>
        <w:ind w:left="1280" w:hanging="633"/>
        <w:spacing w:after="0" w:line="212" w:lineRule="auto"/>
        <w:tabs>
          <w:tab w:leader="none" w:pos="127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Except to the extent that Section 14.1 applies, in the event of any corporate event or transaction (including a change in the Shares of the Company or the capitalization of the Company) such as a merger, consolidation, reorganization, recapitalization, separation, partial or complete liquidation, stock dividend, stock split, reverse stock split, split up, spin-off or other distribution of stock or property of the Company, combination of Shares, exchange of Shares, dividend in-kind or other like change in capital structure or distribution (other than normal cash dividends) to shareholders of the Company or any similar corporate event or transaction, the Committee, in order to prevent dilution or enlargement of Participants’ rights under this Plan, will substitute or adjust, as applicable, the number and kind of Shares that may be issued under this Plan or under particular forms of Awards, the number and kind of Shares subject to outstanding Awards, the Option Price or Grant Price applicable to outstanding Awards, and other value determinations applicable to outstanding Awards, provided that the Committee, in its sole discretion, shall determine the methodology or manner of making such substitution or adjustment.</w:t>
      </w:r>
    </w:p>
    <w:p>
      <w:pPr>
        <w:spacing w:after="0" w:line="159" w:lineRule="exact"/>
        <w:rPr>
          <w:rFonts w:ascii="Arial" w:cs="Arial" w:eastAsia="Arial" w:hAnsi="Arial"/>
          <w:sz w:val="18"/>
          <w:szCs w:val="18"/>
          <w:color w:val="auto"/>
        </w:rPr>
      </w:pPr>
    </w:p>
    <w:p>
      <w:pPr>
        <w:jc w:val="both"/>
        <w:ind w:left="1280" w:hanging="633"/>
        <w:spacing w:after="0" w:line="229" w:lineRule="auto"/>
        <w:tabs>
          <w:tab w:leader="none" w:pos="127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Committee, in its sole discretion, may also make appropriate adjustments in the terms of any Awards under this Plan to reflect such changes or distributions and to modify any other terms of outstanding Awards, including modifications of Performance Goals and changes in the length of Performance Periods.</w:t>
      </w:r>
    </w:p>
    <w:p>
      <w:pPr>
        <w:spacing w:after="0" w:line="154" w:lineRule="exact"/>
        <w:rPr>
          <w:rFonts w:ascii="Arial" w:cs="Arial" w:eastAsia="Arial" w:hAnsi="Arial"/>
          <w:sz w:val="18"/>
          <w:szCs w:val="18"/>
          <w:color w:val="auto"/>
        </w:rPr>
      </w:pPr>
    </w:p>
    <w:p>
      <w:pPr>
        <w:ind w:left="1280" w:hanging="633"/>
        <w:spacing w:after="0" w:line="246" w:lineRule="auto"/>
        <w:tabs>
          <w:tab w:leader="none" w:pos="127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determination of the Committee as to the foregoing adjustments, if any, shall be conclusive and binding on Participants under this Plan.</w:t>
      </w:r>
    </w:p>
    <w:p>
      <w:pPr>
        <w:spacing w:after="0" w:line="149" w:lineRule="exact"/>
        <w:rPr>
          <w:rFonts w:ascii="Arial" w:cs="Arial" w:eastAsia="Arial" w:hAnsi="Arial"/>
          <w:sz w:val="18"/>
          <w:szCs w:val="18"/>
          <w:color w:val="auto"/>
        </w:rPr>
      </w:pPr>
    </w:p>
    <w:p>
      <w:pPr>
        <w:jc w:val="both"/>
        <w:ind w:left="1280" w:hanging="633"/>
        <w:spacing w:after="0" w:line="218" w:lineRule="auto"/>
        <w:tabs>
          <w:tab w:leader="none" w:pos="127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Subject to the provisions of Article 19 and notwithstanding other provisions of this Plan to the contrary, without affecting the number of Shares authorized under this Plan, the Committee may authorize the issuance or assumption of benefits under this Plan in connection with any merger, consolidation, acquisition of property or stock or reorganization upon such terms and conditions as it may deem appropriate, subject to compliance with the rules under Code Sections 409A, 422 and 424, as and where applicable.</w:t>
      </w:r>
    </w:p>
    <w:p>
      <w:pPr>
        <w:spacing w:after="0" w:line="165" w:lineRule="exact"/>
        <w:rPr>
          <w:sz w:val="20"/>
          <w:szCs w:val="20"/>
          <w:color w:val="auto"/>
        </w:rPr>
      </w:pPr>
    </w:p>
    <w:p>
      <w:pPr>
        <w:jc w:val="both"/>
        <w:ind w:firstLine="640"/>
        <w:spacing w:after="0" w:line="225" w:lineRule="auto"/>
        <w:rPr>
          <w:sz w:val="20"/>
          <w:szCs w:val="20"/>
          <w:color w:val="auto"/>
        </w:rPr>
      </w:pPr>
      <w:r>
        <w:rPr>
          <w:rFonts w:ascii="Arial" w:cs="Arial" w:eastAsia="Arial" w:hAnsi="Arial"/>
          <w:sz w:val="17"/>
          <w:szCs w:val="17"/>
          <w:b w:val="1"/>
          <w:bCs w:val="1"/>
          <w:color w:val="auto"/>
        </w:rPr>
        <w:t>4.4 Minimum Vesting Requirements on Awards</w:t>
      </w:r>
      <w:r>
        <w:rPr>
          <w:rFonts w:ascii="Arial" w:cs="Arial" w:eastAsia="Arial" w:hAnsi="Arial"/>
          <w:sz w:val="17"/>
          <w:szCs w:val="17"/>
          <w:color w:val="auto"/>
        </w:rPr>
        <w:t>. Notwithstanding any other provision of this Plan to the contrary, but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4.3 and Article 14, equity-based Awards granted under this Plan will vest no earlier than the one-year anniversary of the Grant Date and any Awards under this Plan which vest upon the attainment of Performance Goals will provide for a Performance Period of at least one (1)</w:t>
      </w:r>
    </w:p>
    <w:p>
      <w:pPr>
        <w:spacing w:after="0" w:line="2"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 xml:space="preserve">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notwithstanding the foregoing, Awards that result in the issuance of an aggregate of up to five percent (5%) of the Shares available pursuant to Section 4.1 may be granted to any one or more eligible Non-Employee Directors, Third-Party Service Providers or Employees without respect to such minimum vesting condition;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nothing in this Section 4.4 shall</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preclude the Committee from taking action, in its sole discretion, to accelerate the vesting of any Award in connection with or following a Participant’s: (a) termination of employment or service after the one-year anniversary of the Grant Date; (b) death; or (c) disability. This Section 4.4 will be inapplicable to (i) substitute Awards granted pursuant to Article 19 of this Plan, (ii) shares delivered in lieu or payment of cash</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obligations, and (iii) Awards to Non-Employee Directors that vest on the earlier of the one-year anniversary of the Grant Date or the next annual meeting of shareholders which is at least 50 weeks after the immediately preceding year’s annual meeting.</w:t>
      </w:r>
    </w:p>
    <w:p>
      <w:pPr>
        <w:spacing w:after="0" w:line="1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8"/>
          <w:szCs w:val="18"/>
          <w:b w:val="1"/>
          <w:bCs w:val="1"/>
          <w:color w:val="auto"/>
        </w:rPr>
        <w:t xml:space="preserve">Limit on Total Nonemployee Director Compensation. </w:t>
      </w:r>
      <w:r>
        <w:rPr>
          <w:rFonts w:ascii="Arial" w:cs="Arial" w:eastAsia="Arial" w:hAnsi="Arial"/>
          <w:sz w:val="18"/>
          <w:szCs w:val="18"/>
          <w:color w:val="auto"/>
        </w:rPr>
        <w:t>Notwithstanding any other provision of this Plan to the contrary, the</w:t>
      </w:r>
    </w:p>
    <w:p>
      <w:pPr>
        <w:jc w:val="both"/>
        <w:spacing w:after="0" w:line="217" w:lineRule="auto"/>
        <w:rPr>
          <w:sz w:val="20"/>
          <w:szCs w:val="20"/>
          <w:color w:val="auto"/>
        </w:rPr>
      </w:pPr>
      <w:r>
        <w:rPr>
          <w:rFonts w:ascii="Arial" w:cs="Arial" w:eastAsia="Arial" w:hAnsi="Arial"/>
          <w:sz w:val="17"/>
          <w:szCs w:val="17"/>
          <w:color w:val="auto"/>
        </w:rPr>
        <w:t>value (determined as of the Grant Date in accordance with Financial Accounting Standards Board Accounting Standards Codification Topic 718, or any successor thereto) of Awards granted to any Nonemployee Director under this Plan and all other cash and other compensation received by such Nonemployee Director during any fiscal year of the Company may not exceed $ 750,000 (increased to $ 950,000 with respect to any Nonemployee Director serving as Chair of the Board or Lead Independent Director or in the fiscal year of a Nonemployee Director's</w:t>
      </w:r>
    </w:p>
    <w:p>
      <w:pPr>
        <w:jc w:val="both"/>
        <w:spacing w:after="0" w:line="206" w:lineRule="auto"/>
        <w:rPr>
          <w:sz w:val="20"/>
          <w:szCs w:val="20"/>
          <w:color w:val="auto"/>
        </w:rPr>
      </w:pPr>
      <w:r>
        <w:rPr>
          <w:rFonts w:ascii="Arial" w:cs="Arial" w:eastAsia="Arial" w:hAnsi="Arial"/>
          <w:sz w:val="18"/>
          <w:szCs w:val="18"/>
          <w:color w:val="auto"/>
        </w:rPr>
        <w:t xml:space="preserve">initial service as a Nonemployee Director) (with any compensation that the Nonemployee Director elects to defer counting towards this limit for the year in which the compensation is first earned, and not a later year of payment or settlement);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however</w:t>
      </w:r>
      <w:r>
        <w:rPr>
          <w:rFonts w:ascii="Arial" w:cs="Arial" w:eastAsia="Arial" w:hAnsi="Arial"/>
          <w:sz w:val="18"/>
          <w:szCs w:val="18"/>
          <w:color w:val="auto"/>
        </w:rPr>
        <w:t>, that the limitation described in this Section 4.5 shall be determined without regard to amounts paid to a Nonemployee Director during any period in which such</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individual was an employee or consultant of Company, an Affiliate or a Subsidiary (other than grants of Awards paid for service in such person’s capacity as a Nonemployee Director).</w:t>
      </w:r>
    </w:p>
    <w:p>
      <w:pPr>
        <w:spacing w:after="0" w:line="153"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8"/>
          <w:szCs w:val="18"/>
          <w:b w:val="1"/>
          <w:bCs w:val="1"/>
          <w:color w:val="auto"/>
        </w:rPr>
        <w:t>Article 5.</w:t>
      </w:r>
      <w:r>
        <w:rPr>
          <w:sz w:val="20"/>
          <w:szCs w:val="20"/>
          <w:color w:val="auto"/>
        </w:rPr>
        <w:tab/>
      </w:r>
      <w:r>
        <w:rPr>
          <w:rFonts w:ascii="Arial" w:cs="Arial" w:eastAsia="Arial" w:hAnsi="Arial"/>
          <w:sz w:val="17"/>
          <w:szCs w:val="17"/>
          <w:b w:val="1"/>
          <w:bCs w:val="1"/>
          <w:color w:val="auto"/>
        </w:rPr>
        <w:t>Eligibility and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18" w:name="page119"/>
    <w:bookmarkEnd w:id="118"/>
    <w:p>
      <w:pPr>
        <w:ind w:left="640"/>
        <w:spacing w:after="0"/>
        <w:tabs>
          <w:tab w:leader="none" w:pos="12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7"/>
          <w:szCs w:val="17"/>
          <w:b w:val="1"/>
          <w:bCs w:val="1"/>
          <w:color w:val="auto"/>
        </w:rPr>
        <w:t>Eligibility</w:t>
      </w:r>
      <w:r>
        <w:rPr>
          <w:rFonts w:ascii="Arial" w:cs="Arial" w:eastAsia="Arial" w:hAnsi="Arial"/>
          <w:sz w:val="17"/>
          <w:szCs w:val="17"/>
          <w:color w:val="auto"/>
        </w:rPr>
        <w:t>. Individuals eligible to participate in this Plan include all Employees, Directors and Third-Party Service Providers.</w:t>
      </w:r>
    </w:p>
    <w:p>
      <w:pPr>
        <w:spacing w:after="0" w:line="17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b w:val="1"/>
          <w:bCs w:val="1"/>
          <w:color w:val="auto"/>
        </w:rPr>
        <w:t>Actual Participation</w:t>
      </w:r>
      <w:r>
        <w:rPr>
          <w:rFonts w:ascii="Arial" w:cs="Arial" w:eastAsia="Arial" w:hAnsi="Arial"/>
          <w:sz w:val="18"/>
          <w:szCs w:val="18"/>
          <w:color w:val="auto"/>
        </w:rPr>
        <w:t>. Subject to the provisions of this Plan, the Committee may, from time to time, select from all eligible</w:t>
      </w:r>
    </w:p>
    <w:p>
      <w:pPr>
        <w:jc w:val="both"/>
        <w:spacing w:after="0" w:line="226" w:lineRule="auto"/>
        <w:rPr>
          <w:sz w:val="20"/>
          <w:szCs w:val="20"/>
          <w:color w:val="auto"/>
        </w:rPr>
      </w:pPr>
      <w:r>
        <w:rPr>
          <w:rFonts w:ascii="Arial" w:cs="Arial" w:eastAsia="Arial" w:hAnsi="Arial"/>
          <w:sz w:val="18"/>
          <w:szCs w:val="18"/>
          <w:color w:val="auto"/>
        </w:rPr>
        <w:t>individuals, those individuals to whom Awards shall be granted and shall determine, in its sole discretion, the nature of any and all terms permissible by Applicable Law and the amount of each Award.</w:t>
      </w:r>
    </w:p>
    <w:p>
      <w:pPr>
        <w:spacing w:after="0" w:line="153"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8"/>
          <w:szCs w:val="18"/>
          <w:b w:val="1"/>
          <w:bCs w:val="1"/>
          <w:color w:val="auto"/>
        </w:rPr>
        <w:t>Article 6.</w:t>
      </w:r>
      <w:r>
        <w:rPr>
          <w:sz w:val="20"/>
          <w:szCs w:val="20"/>
          <w:color w:val="auto"/>
        </w:rPr>
        <w:tab/>
      </w:r>
      <w:r>
        <w:rPr>
          <w:rFonts w:ascii="Arial" w:cs="Arial" w:eastAsia="Arial" w:hAnsi="Arial"/>
          <w:sz w:val="17"/>
          <w:szCs w:val="17"/>
          <w:b w:val="1"/>
          <w:bCs w:val="1"/>
          <w:color w:val="auto"/>
        </w:rPr>
        <w:t>Stock Options</w:t>
      </w:r>
    </w:p>
    <w:p>
      <w:pPr>
        <w:spacing w:after="0" w:line="193" w:lineRule="exact"/>
        <w:rPr>
          <w:sz w:val="20"/>
          <w:szCs w:val="20"/>
          <w:color w:val="auto"/>
        </w:rPr>
      </w:pPr>
    </w:p>
    <w:p>
      <w:pPr>
        <w:jc w:val="both"/>
        <w:ind w:firstLine="640"/>
        <w:spacing w:after="0" w:line="213" w:lineRule="auto"/>
        <w:rPr>
          <w:sz w:val="20"/>
          <w:szCs w:val="20"/>
          <w:color w:val="auto"/>
        </w:rPr>
      </w:pPr>
      <w:r>
        <w:rPr>
          <w:rFonts w:ascii="Arial" w:cs="Arial" w:eastAsia="Arial" w:hAnsi="Arial"/>
          <w:sz w:val="18"/>
          <w:szCs w:val="18"/>
          <w:b w:val="1"/>
          <w:bCs w:val="1"/>
          <w:color w:val="auto"/>
        </w:rPr>
        <w:t>6.1 Grant of Options</w:t>
      </w:r>
      <w:r>
        <w:rPr>
          <w:rFonts w:ascii="Arial" w:cs="Arial" w:eastAsia="Arial" w:hAnsi="Arial"/>
          <w:sz w:val="18"/>
          <w:szCs w:val="18"/>
          <w:color w:val="auto"/>
        </w:rPr>
        <w:t>. Subject to the terms and provisions of this Plan, Options may be granted to Participants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6 in such number, and upon such terms, and at any time and from time to time as shall be determined by the Committee, in its sole discretion. Options may be granted to a Participant for services provided to an Affiliate only if, with respect to such Participant, the underlying</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Shares constitute "service recipient stock" within the meaning of Treas. Reg. Section 1.409A-1(b)(5)(iii). Incentive Stock Options may be granted solely to eligible Employees of the Company or certain Subsidiaries (as permitted under Code Sections 422 and 424). To the extent that any Incentive Stock Option (or portion thereof) granted under this Plan ceases for any reason to qualify as an “incentive stock option” for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purposes of Code Section 422, such Incentive Stock Option (or portion thereof) will continue to be outstanding for purposes of this Plan but will thereafter be deemed to be a Nonqualified Stock Option.</w:t>
      </w:r>
    </w:p>
    <w:p>
      <w:pPr>
        <w:spacing w:after="0" w:line="1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8"/>
          <w:szCs w:val="18"/>
          <w:b w:val="1"/>
          <w:bCs w:val="1"/>
          <w:color w:val="auto"/>
        </w:rPr>
        <w:t>Award Agreement</w:t>
      </w:r>
      <w:r>
        <w:rPr>
          <w:rFonts w:ascii="Arial" w:cs="Arial" w:eastAsia="Arial" w:hAnsi="Arial"/>
          <w:sz w:val="18"/>
          <w:szCs w:val="18"/>
          <w:color w:val="auto"/>
        </w:rPr>
        <w:t>. Each Option granted pursuant to this Article 6 shall be evidenced by an Award Agreement that shall</w:t>
      </w:r>
    </w:p>
    <w:p>
      <w:pPr>
        <w:jc w:val="both"/>
        <w:spacing w:after="0" w:line="206" w:lineRule="auto"/>
        <w:rPr>
          <w:sz w:val="20"/>
          <w:szCs w:val="20"/>
          <w:color w:val="auto"/>
        </w:rPr>
      </w:pPr>
      <w:r>
        <w:rPr>
          <w:rFonts w:ascii="Arial" w:cs="Arial" w:eastAsia="Arial" w:hAnsi="Arial"/>
          <w:sz w:val="18"/>
          <w:szCs w:val="18"/>
          <w:color w:val="auto"/>
        </w:rPr>
        <w:t>specify the Option Price, the maximum duration of the Option, the number of Shares to which the Option pertains, the conditions upon which the Option shall become vested and exercisable, and such other provisions as the Committee shall determine which are not inconsistent with the terms of this Plan. The Award Agreement also shall specify whether the Option is intended to be an Incentive Stock Option or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Nonqualified Stock Option.</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6.3 Option Price</w:t>
      </w:r>
      <w:r>
        <w:rPr>
          <w:rFonts w:ascii="Arial" w:cs="Arial" w:eastAsia="Arial" w:hAnsi="Arial"/>
          <w:sz w:val="18"/>
          <w:szCs w:val="18"/>
          <w:color w:val="auto"/>
        </w:rPr>
        <w:t>. The Option Price for each grant of an Option pursuant to this Article 6 shall be determined by the Committee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its sole discretion and shall be specified in the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Option Price must be at least equal to one hundred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percent (100%) of the Fair Market Value of a Share as of the Grant Date the Option.</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6.4 Term of Options</w:t>
      </w:r>
      <w:r>
        <w:rPr>
          <w:rFonts w:ascii="Arial" w:cs="Arial" w:eastAsia="Arial" w:hAnsi="Arial"/>
          <w:sz w:val="18"/>
          <w:szCs w:val="18"/>
          <w:color w:val="auto"/>
        </w:rPr>
        <w:t>. Each Option granted to a Participant pursuant to this Article 6 shall expire at such time as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determine at the time of grant;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no Option shall be exercisable later than the tenth (10th) anniversary of its Grant Date,</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subject to any extension permitted by the Committee in accordance with Section 20.8 for Nonqualified Stock Options granted to Participants outside the United States.</w:t>
      </w:r>
    </w:p>
    <w:p>
      <w:pPr>
        <w:spacing w:after="0" w:line="1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8"/>
          <w:szCs w:val="18"/>
          <w:b w:val="1"/>
          <w:bCs w:val="1"/>
          <w:color w:val="auto"/>
        </w:rPr>
        <w:t>Exercise of Options</w:t>
      </w:r>
      <w:r>
        <w:rPr>
          <w:rFonts w:ascii="Arial" w:cs="Arial" w:eastAsia="Arial" w:hAnsi="Arial"/>
          <w:sz w:val="18"/>
          <w:szCs w:val="18"/>
          <w:color w:val="auto"/>
        </w:rPr>
        <w:t>. Options granted pursuant to this Article 6 shall be exercisable at such times and be subject to such</w:t>
      </w:r>
    </w:p>
    <w:p>
      <w:pPr>
        <w:jc w:val="both"/>
        <w:spacing w:after="0" w:line="206" w:lineRule="auto"/>
        <w:rPr>
          <w:sz w:val="20"/>
          <w:szCs w:val="20"/>
          <w:color w:val="auto"/>
        </w:rPr>
      </w:pPr>
      <w:r>
        <w:rPr>
          <w:rFonts w:ascii="Arial" w:cs="Arial" w:eastAsia="Arial" w:hAnsi="Arial"/>
          <w:sz w:val="18"/>
          <w:szCs w:val="18"/>
          <w:color w:val="auto"/>
        </w:rPr>
        <w:t>restrictions and conditions as the Committee shall in each instance approve (subject, in each case, to Section 4.4), which terms and restrictions need not be the same for each Option or for each Participant. Notwithstanding the foregoing, if the exercise of an Option that is exercisable in accordance with its terms is prevented by the provisions of Section 20.4, 20.5, 20.6 or 20.7 below, the Option will remain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exercisable until thirty (30) days after the date such exercise first would no longer be prevented by any such provision, but in any event no later than the expiration date of such Option.</w:t>
      </w:r>
    </w:p>
    <w:p>
      <w:pPr>
        <w:spacing w:after="0" w:line="1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8"/>
          <w:szCs w:val="18"/>
          <w:b w:val="1"/>
          <w:bCs w:val="1"/>
          <w:color w:val="auto"/>
        </w:rPr>
        <w:t>Payment</w:t>
      </w:r>
      <w:r>
        <w:rPr>
          <w:rFonts w:ascii="Arial" w:cs="Arial" w:eastAsia="Arial" w:hAnsi="Arial"/>
          <w:sz w:val="18"/>
          <w:szCs w:val="18"/>
          <w:color w:val="auto"/>
        </w:rPr>
        <w:t>. Options granted under this Plan shall be exercised by the delivery of a notice of exercise to the Company or an</w:t>
      </w:r>
    </w:p>
    <w:p>
      <w:pPr>
        <w:jc w:val="both"/>
        <w:spacing w:after="0" w:line="217" w:lineRule="auto"/>
        <w:rPr>
          <w:sz w:val="20"/>
          <w:szCs w:val="20"/>
          <w:color w:val="auto"/>
        </w:rPr>
      </w:pPr>
      <w:r>
        <w:rPr>
          <w:rFonts w:ascii="Arial" w:cs="Arial" w:eastAsia="Arial" w:hAnsi="Arial"/>
          <w:sz w:val="17"/>
          <w:szCs w:val="17"/>
          <w:color w:val="auto"/>
        </w:rPr>
        <w:t>agent designated by the Company in a form specified or accepted by the Committee or by complying with any alternative procedures which may be authorized by the Committee, setting forth the number of Shares with respect to which the Option is to be exercised, and accompanied by full payment of the aggregate Option Price for the Shares. A condition of the issuance of the Shares as to which an Option shall be exercised shall be the payment of the Option Price. The Option Price of any exercised Option shall be payable to the Company in accordance</w:t>
      </w:r>
    </w:p>
    <w:p>
      <w:pPr>
        <w:spacing w:after="0"/>
        <w:rPr>
          <w:sz w:val="20"/>
          <w:szCs w:val="20"/>
          <w:color w:val="auto"/>
        </w:rPr>
      </w:pPr>
      <w:r>
        <w:rPr>
          <w:rFonts w:ascii="Arial" w:cs="Arial" w:eastAsia="Arial" w:hAnsi="Arial"/>
          <w:sz w:val="18"/>
          <w:szCs w:val="18"/>
          <w:color w:val="auto"/>
        </w:rPr>
        <w:t>with one of the following methods:</w:t>
      </w:r>
    </w:p>
    <w:p>
      <w:pPr>
        <w:spacing w:after="0" w:line="164" w:lineRule="exact"/>
        <w:rPr>
          <w:sz w:val="20"/>
          <w:szCs w:val="20"/>
          <w:color w:val="auto"/>
        </w:rPr>
      </w:pPr>
    </w:p>
    <w:p>
      <w:pPr>
        <w:ind w:left="1280" w:hanging="633"/>
        <w:spacing w:after="0"/>
        <w:tabs>
          <w:tab w:leader="none" w:pos="12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cash or its equivalent as determined by the Committee in its sole discretion;</w:t>
      </w:r>
    </w:p>
    <w:p>
      <w:pPr>
        <w:spacing w:after="0" w:line="179" w:lineRule="exact"/>
        <w:rPr>
          <w:rFonts w:ascii="Arial" w:cs="Arial" w:eastAsia="Arial" w:hAnsi="Arial"/>
          <w:sz w:val="18"/>
          <w:szCs w:val="18"/>
          <w:color w:val="auto"/>
        </w:rPr>
      </w:pPr>
    </w:p>
    <w:p>
      <w:pPr>
        <w:ind w:left="1280" w:right="20" w:hanging="633"/>
        <w:spacing w:after="0" w:line="246" w:lineRule="auto"/>
        <w:tabs>
          <w:tab w:leader="none" w:pos="127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By tendering (either by actual delivery or attestation) previously acquired Shares having an aggregate Fair Market Value at the time of exercise equal to the Option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19" w:name="page120"/>
    <w:bookmarkEnd w:id="119"/>
    <w:p>
      <w:pPr>
        <w:ind w:left="1280" w:hanging="633"/>
        <w:spacing w:after="0"/>
        <w:tabs>
          <w:tab w:leader="none" w:pos="1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By a cashless (broker-assisted) exercise;</w:t>
      </w:r>
    </w:p>
    <w:p>
      <w:pPr>
        <w:spacing w:after="0" w:line="179" w:lineRule="exact"/>
        <w:rPr>
          <w:rFonts w:ascii="Arial" w:cs="Arial" w:eastAsia="Arial" w:hAnsi="Arial"/>
          <w:sz w:val="18"/>
          <w:szCs w:val="18"/>
          <w:color w:val="auto"/>
        </w:rPr>
      </w:pPr>
    </w:p>
    <w:p>
      <w:pPr>
        <w:ind w:left="1280" w:hanging="633"/>
        <w:spacing w:after="0"/>
        <w:tabs>
          <w:tab w:leader="none" w:pos="1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By a “net exercise” of the Option (as further described below);</w:t>
      </w:r>
    </w:p>
    <w:p>
      <w:pPr>
        <w:spacing w:after="0" w:line="193" w:lineRule="exact"/>
        <w:rPr>
          <w:rFonts w:ascii="Arial" w:cs="Arial" w:eastAsia="Arial" w:hAnsi="Arial"/>
          <w:sz w:val="18"/>
          <w:szCs w:val="18"/>
          <w:color w:val="auto"/>
        </w:rPr>
      </w:pPr>
    </w:p>
    <w:p>
      <w:pPr>
        <w:ind w:left="1280" w:hanging="633"/>
        <w:spacing w:after="0"/>
        <w:tabs>
          <w:tab w:leader="none" w:pos="1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By any combination of (a), (b), (c) and (d) above; or</w:t>
      </w:r>
    </w:p>
    <w:p>
      <w:pPr>
        <w:spacing w:after="0" w:line="179" w:lineRule="exact"/>
        <w:rPr>
          <w:rFonts w:ascii="Arial" w:cs="Arial" w:eastAsia="Arial" w:hAnsi="Arial"/>
          <w:sz w:val="18"/>
          <w:szCs w:val="18"/>
          <w:color w:val="auto"/>
        </w:rPr>
      </w:pPr>
    </w:p>
    <w:p>
      <w:pPr>
        <w:ind w:left="1280" w:hanging="633"/>
        <w:spacing w:after="0"/>
        <w:tabs>
          <w:tab w:leader="none" w:pos="1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other method approved or accepted by the Committee in its sole discretion.</w:t>
      </w:r>
    </w:p>
    <w:p>
      <w:pPr>
        <w:spacing w:after="0" w:line="193"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In the case of a “net exercise” of an Option, the Company will not require a payment of the Option Price of the Option from the Participant but will reduce the number of Shares issued upon the exercise by the largest number of whole Shares that has a Fair Market Value on the exercise date that does not exceed the aggregate Option Price for the Shares exercised under this method. Shares will no longer be outstanding under an Option (and will therefore not thereafter be exercisable) following the exercise of such Option to the extent of (i) Shares used to pay the Option Price of an Option under the “net exercise,” (ii) Shares actually delivered to the Participant as a result of such exercise, and (iii) any Shares withheld for purposes of tax withholding pursuant to Article 16 of this Plan.</w:t>
      </w:r>
    </w:p>
    <w:p>
      <w:pPr>
        <w:spacing w:after="0" w:line="185"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Subject to any governing rules or regulations, as soon as practicable after receipt of written notification of exercise and full payment (including satisfaction of any applicable tax withholding), the Company shall deliver to or for the benefit of the Participant that number of Shares purchased under the Option(s) by means of one or more of the following, each in the Company’s sole discretion: (i) by delivering to the Participant evidence of book entry Shares credited to the account of the Participant; or (ii) by depositing such Shares for the benefit of the Participant with any broker with which the Participant has an account relationship or the Company has engaged to provide such services for this Plan. Unless otherwise determined by the Committee, all payments under all of the methods indicated above shall be paid in United States dollars or Shares, as applicable.</w:t>
      </w:r>
    </w:p>
    <w:p>
      <w:pPr>
        <w:spacing w:after="0" w:line="16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8"/>
          <w:szCs w:val="18"/>
          <w:b w:val="1"/>
          <w:bCs w:val="1"/>
          <w:color w:val="auto"/>
        </w:rPr>
        <w:t>Automatic Exercise of Options</w:t>
      </w:r>
      <w:r>
        <w:rPr>
          <w:rFonts w:ascii="Arial" w:cs="Arial" w:eastAsia="Arial" w:hAnsi="Arial"/>
          <w:sz w:val="18"/>
          <w:szCs w:val="18"/>
          <w:color w:val="auto"/>
        </w:rPr>
        <w:t>. In the sole discretion of the Committee exercised in accordance with Section 3.2, any</w:t>
      </w:r>
    </w:p>
    <w:p>
      <w:pPr>
        <w:jc w:val="both"/>
        <w:spacing w:after="0" w:line="218" w:lineRule="auto"/>
        <w:rPr>
          <w:sz w:val="20"/>
          <w:szCs w:val="20"/>
          <w:color w:val="auto"/>
        </w:rPr>
      </w:pPr>
      <w:r>
        <w:rPr>
          <w:rFonts w:ascii="Arial" w:cs="Arial" w:eastAsia="Arial" w:hAnsi="Arial"/>
          <w:sz w:val="17"/>
          <w:szCs w:val="17"/>
          <w:color w:val="auto"/>
        </w:rPr>
        <w:t>Options that are exercisable but unexercised as of the day immediately preceding the expiration date of the Option (the “Automatic Exercise Date”) may be automatically exercised in accordance with procedures established for this purpose by the Committee (which procedures do not need to be the same for each Participant), but only if the Option Price is less than the Fair Market Value of a Share on the Automatic Exercise</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Date and the automatic exercise will result in the issuance of at least one (1) whole Share to the Participant after payment of the Option Price and any applicable minimum tax withholding requirements. Payment of the Option Price and any applicable tax withholding requirements shall be made by a “net exercise” of the Option pursuant to Section 6.6 above whereby the number of Shares to be issued upon exercise is reduced</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by a number of Shares having a Fair Market Value on the Automatic Exercise Date equal to the Option Price and any applicable minimum tax withholding. The Committee may delegate authority to implement an automatic exercise feature for Options to one or more of the officers pursuant to Section 3.3. In no event shall the Company or its Subsidiaries or Affiliates or their respective employees or agents be liable for 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damages whatsoever arising out of or in any way related to any use of any automatic exercise procedures.</w:t>
      </w:r>
    </w:p>
    <w:p>
      <w:pPr>
        <w:spacing w:after="0" w:line="162"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8"/>
          <w:szCs w:val="18"/>
          <w:b w:val="1"/>
          <w:bCs w:val="1"/>
          <w:color w:val="auto"/>
        </w:rPr>
        <w:t>6.8 Dividend and Voting Rights</w:t>
      </w:r>
      <w:r>
        <w:rPr>
          <w:rFonts w:ascii="Arial" w:cs="Arial" w:eastAsia="Arial" w:hAnsi="Arial"/>
          <w:sz w:val="18"/>
          <w:szCs w:val="18"/>
          <w:color w:val="auto"/>
        </w:rPr>
        <w:t>. A Participant shall have no dividend rights or rights to receive Dividend Equivalents and no</w:t>
      </w:r>
      <w:r>
        <w:rPr>
          <w:rFonts w:ascii="Arial" w:cs="Arial" w:eastAsia="Arial" w:hAnsi="Arial"/>
          <w:sz w:val="18"/>
          <w:szCs w:val="18"/>
          <w:b w:val="1"/>
          <w:bCs w:val="1"/>
          <w:color w:val="auto"/>
        </w:rPr>
        <w:t xml:space="preserve"> </w:t>
      </w:r>
      <w:r>
        <w:rPr>
          <w:rFonts w:ascii="Arial" w:cs="Arial" w:eastAsia="Arial" w:hAnsi="Arial"/>
          <w:sz w:val="18"/>
          <w:szCs w:val="18"/>
          <w:color w:val="auto"/>
        </w:rPr>
        <w:t>voting rights with respect to any Options granted hereunder.</w:t>
      </w:r>
    </w:p>
    <w:p>
      <w:pPr>
        <w:spacing w:after="0" w:line="167"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8"/>
          <w:szCs w:val="18"/>
          <w:b w:val="1"/>
          <w:bCs w:val="1"/>
          <w:color w:val="auto"/>
        </w:rPr>
        <w:t>Article 7.</w:t>
      </w:r>
      <w:r>
        <w:rPr>
          <w:sz w:val="20"/>
          <w:szCs w:val="20"/>
          <w:color w:val="auto"/>
        </w:rPr>
        <w:tab/>
      </w:r>
      <w:r>
        <w:rPr>
          <w:rFonts w:ascii="Arial" w:cs="Arial" w:eastAsia="Arial" w:hAnsi="Arial"/>
          <w:sz w:val="17"/>
          <w:szCs w:val="17"/>
          <w:b w:val="1"/>
          <w:bCs w:val="1"/>
          <w:color w:val="auto"/>
        </w:rPr>
        <w:t>Stock Appreciation Rights</w:t>
      </w:r>
    </w:p>
    <w:p>
      <w:pPr>
        <w:spacing w:after="0" w:line="180"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7.1 Grant of Stock Appreciation Rights</w:t>
      </w:r>
      <w:r>
        <w:rPr>
          <w:rFonts w:ascii="Arial" w:cs="Arial" w:eastAsia="Arial" w:hAnsi="Arial"/>
          <w:sz w:val="18"/>
          <w:szCs w:val="18"/>
          <w:color w:val="auto"/>
        </w:rPr>
        <w:t>. Subject to the terms and conditions of this Plan, Stock Appreciation Rights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to Participants at any time and from time to time as shall be determined by the Committee. Subject to the terms and conditions of this</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Plan, the Committee shall have complete and sole discretion in determining the number of Stock Appreciation Rights granted to each Participant and, consistent with the provisions of this Plan, in determining the terms and conditions pertaining to such Stock Appreciation Rights. Stock Appreciation Rights may be granted to a Participant for services provided to an Affiliate only if, with respect to such Participant,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underlying Shares constitute "service recipient stock" within the meaning of Treas. Reg. Section 1.409A-1(b)(5)(iii).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20" w:name="page121"/>
    <w:bookmarkEnd w:id="120"/>
    <w:p>
      <w:pPr>
        <w:jc w:val="both"/>
        <w:ind w:firstLine="640"/>
        <w:spacing w:after="0" w:line="219" w:lineRule="auto"/>
        <w:rPr>
          <w:sz w:val="20"/>
          <w:szCs w:val="20"/>
          <w:color w:val="auto"/>
        </w:rPr>
      </w:pPr>
      <w:r>
        <w:rPr>
          <w:rFonts w:ascii="Arial" w:cs="Arial" w:eastAsia="Arial" w:hAnsi="Arial"/>
          <w:sz w:val="18"/>
          <w:szCs w:val="18"/>
          <w:b w:val="1"/>
          <w:bCs w:val="1"/>
          <w:color w:val="auto"/>
        </w:rPr>
        <w:t>7.2 Award Agreement</w:t>
      </w:r>
      <w:r>
        <w:rPr>
          <w:rFonts w:ascii="Arial" w:cs="Arial" w:eastAsia="Arial" w:hAnsi="Arial"/>
          <w:sz w:val="18"/>
          <w:szCs w:val="18"/>
          <w:color w:val="auto"/>
        </w:rPr>
        <w:t>. Each Stock Appreciation Right granted pursuant to this Article 7 shall be evidenced by an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that shall specify the Grant Price, the term of the Stock Appreciation Right, and such other provisions as the Committee shall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determine.</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7.3 Grant Price</w:t>
      </w:r>
      <w:r>
        <w:rPr>
          <w:rFonts w:ascii="Arial" w:cs="Arial" w:eastAsia="Arial" w:hAnsi="Arial"/>
          <w:sz w:val="18"/>
          <w:szCs w:val="18"/>
          <w:color w:val="auto"/>
        </w:rPr>
        <w:t>. The Grant Price for each grant of a Stock Appreciation Right shall be determined by the Committee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specified in the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Grant Price must be at least equal to one hundred percent (100%) of the Fair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Market Value of a Share as of the Grant Date.</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7.4 Term of Stock Appreciation Rights</w:t>
      </w:r>
      <w:r>
        <w:rPr>
          <w:rFonts w:ascii="Arial" w:cs="Arial" w:eastAsia="Arial" w:hAnsi="Arial"/>
          <w:sz w:val="18"/>
          <w:szCs w:val="18"/>
          <w:color w:val="auto"/>
        </w:rPr>
        <w:t>. The term of a Stock Appreciation Right granted under this Plan shall be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in its sole discretion, and except as determined otherwise by the Committee and specified in the Award Agreement, no Stock</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Appreciation Right shall be exercisable later than the tenth (10th) anniversary of its Grant Date, subject to any extension permitted by the Committee in accordance with Section 20.8 for any Stock Appreciation Right granted to Participants outside the United States.</w:t>
      </w:r>
    </w:p>
    <w:p>
      <w:pPr>
        <w:spacing w:after="0" w:line="1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8"/>
          <w:szCs w:val="18"/>
          <w:b w:val="1"/>
          <w:bCs w:val="1"/>
          <w:color w:val="auto"/>
        </w:rPr>
        <w:t>Exercise of Stock Appreciation Rights</w:t>
      </w:r>
      <w:r>
        <w:rPr>
          <w:rFonts w:ascii="Arial" w:cs="Arial" w:eastAsia="Arial" w:hAnsi="Arial"/>
          <w:sz w:val="18"/>
          <w:szCs w:val="18"/>
          <w:color w:val="auto"/>
        </w:rPr>
        <w:t>. A Stock Appreciation Right may be exercised by giving notice in the same manner</w:t>
      </w:r>
    </w:p>
    <w:p>
      <w:pPr>
        <w:jc w:val="both"/>
        <w:spacing w:after="0" w:line="218" w:lineRule="auto"/>
        <w:rPr>
          <w:sz w:val="20"/>
          <w:szCs w:val="20"/>
          <w:color w:val="auto"/>
        </w:rPr>
      </w:pPr>
      <w:r>
        <w:rPr>
          <w:rFonts w:ascii="Arial" w:cs="Arial" w:eastAsia="Arial" w:hAnsi="Arial"/>
          <w:sz w:val="17"/>
          <w:szCs w:val="17"/>
          <w:color w:val="auto"/>
        </w:rPr>
        <w:t>as that used for Options, as set forth in Section 6.6, subject to any terms and conditions the Committee, in its sole discretion, imposes (subject, in each case, to Section 4.4). Notwithstanding the foregoing, if the exercise of a Stock Appreciation Right that is exercisable in accordance with its terms is prevented by the provisions of Section 20.4, 20.5, 20.6 or 20.7 below, the Stock Appreciation Right will remain exercisable until</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thirty (30) days after the date such exercise first would no longer be prevented by such provision, but in any event no later than the expiration date of such Stock Appreciation Right.</w:t>
      </w:r>
    </w:p>
    <w:p>
      <w:pPr>
        <w:spacing w:after="0" w:line="153" w:lineRule="exact"/>
        <w:rPr>
          <w:sz w:val="20"/>
          <w:szCs w:val="20"/>
          <w:color w:val="auto"/>
        </w:rPr>
      </w:pPr>
    </w:p>
    <w:p>
      <w:pPr>
        <w:jc w:val="both"/>
        <w:ind w:firstLine="640"/>
        <w:spacing w:after="0" w:line="249" w:lineRule="auto"/>
        <w:rPr>
          <w:sz w:val="20"/>
          <w:szCs w:val="20"/>
          <w:color w:val="auto"/>
        </w:rPr>
      </w:pPr>
      <w:r>
        <w:rPr>
          <w:rFonts w:ascii="Arial" w:cs="Arial" w:eastAsia="Arial" w:hAnsi="Arial"/>
          <w:sz w:val="18"/>
          <w:szCs w:val="18"/>
          <w:b w:val="1"/>
          <w:bCs w:val="1"/>
          <w:color w:val="auto"/>
        </w:rPr>
        <w:t>7.6 Settlement of Stock Appreciation Rights</w:t>
      </w:r>
      <w:r>
        <w:rPr>
          <w:rFonts w:ascii="Arial" w:cs="Arial" w:eastAsia="Arial" w:hAnsi="Arial"/>
          <w:sz w:val="18"/>
          <w:szCs w:val="18"/>
          <w:color w:val="auto"/>
        </w:rPr>
        <w:t>. Upon the exercise of a Stock Appreciation Right, a Participant shall be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payment from the Company in an amount determined by multiplying:</w:t>
      </w:r>
    </w:p>
    <w:p>
      <w:pPr>
        <w:spacing w:after="0" w:line="146" w:lineRule="exact"/>
        <w:rPr>
          <w:sz w:val="20"/>
          <w:szCs w:val="20"/>
          <w:color w:val="auto"/>
        </w:rPr>
      </w:pPr>
    </w:p>
    <w:p>
      <w:pPr>
        <w:ind w:left="1280" w:hanging="633"/>
        <w:spacing w:after="0"/>
        <w:tabs>
          <w:tab w:leader="none" w:pos="12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excess of the Fair Market Value of a Share on the date of exercise over the Grant Price; by</w:t>
      </w:r>
    </w:p>
    <w:p>
      <w:pPr>
        <w:spacing w:after="0" w:line="179" w:lineRule="exact"/>
        <w:rPr>
          <w:rFonts w:ascii="Arial" w:cs="Arial" w:eastAsia="Arial" w:hAnsi="Arial"/>
          <w:sz w:val="18"/>
          <w:szCs w:val="18"/>
          <w:color w:val="auto"/>
        </w:rPr>
      </w:pPr>
    </w:p>
    <w:p>
      <w:pPr>
        <w:ind w:left="1280" w:hanging="633"/>
        <w:spacing w:after="0"/>
        <w:tabs>
          <w:tab w:leader="none" w:pos="12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number of Shares with respect to which the Stock Appreciation Right is exercised.</w:t>
      </w:r>
    </w:p>
    <w:p>
      <w:pPr>
        <w:spacing w:after="0" w:line="191" w:lineRule="exact"/>
        <w:rPr>
          <w:sz w:val="20"/>
          <w:szCs w:val="20"/>
          <w:color w:val="auto"/>
        </w:rPr>
      </w:pPr>
    </w:p>
    <w:p>
      <w:pPr>
        <w:jc w:val="both"/>
        <w:ind w:firstLine="640"/>
        <w:spacing w:after="0" w:line="224" w:lineRule="auto"/>
        <w:rPr>
          <w:sz w:val="20"/>
          <w:szCs w:val="20"/>
          <w:color w:val="auto"/>
        </w:rPr>
      </w:pPr>
      <w:r>
        <w:rPr>
          <w:rFonts w:ascii="Arial" w:cs="Arial" w:eastAsia="Arial" w:hAnsi="Arial"/>
          <w:sz w:val="18"/>
          <w:szCs w:val="18"/>
          <w:b w:val="1"/>
          <w:bCs w:val="1"/>
          <w:color w:val="auto"/>
        </w:rPr>
        <w:t>7.7 Form of Payment</w:t>
      </w:r>
      <w:r>
        <w:rPr>
          <w:rFonts w:ascii="Arial" w:cs="Arial" w:eastAsia="Arial" w:hAnsi="Arial"/>
          <w:sz w:val="18"/>
          <w:szCs w:val="18"/>
          <w:color w:val="auto"/>
        </w:rPr>
        <w:t>. Payment, if any, with respect to a Stock Appreciation Right settled in accordance with Section 7.6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made in accordance with the terms of the applicable Award Agreement, in cash, Shares or a combination thereof, as the Committee determines.</w:t>
      </w:r>
    </w:p>
    <w:p>
      <w:pPr>
        <w:spacing w:after="0" w:line="168" w:lineRule="exact"/>
        <w:rPr>
          <w:sz w:val="20"/>
          <w:szCs w:val="20"/>
          <w:color w:val="auto"/>
        </w:rPr>
      </w:pPr>
    </w:p>
    <w:p>
      <w:pPr>
        <w:jc w:val="both"/>
        <w:ind w:firstLine="640"/>
        <w:spacing w:after="0" w:line="224" w:lineRule="auto"/>
        <w:rPr>
          <w:sz w:val="20"/>
          <w:szCs w:val="20"/>
          <w:color w:val="auto"/>
        </w:rPr>
      </w:pPr>
      <w:r>
        <w:rPr>
          <w:rFonts w:ascii="Arial" w:cs="Arial" w:eastAsia="Arial" w:hAnsi="Arial"/>
          <w:sz w:val="18"/>
          <w:szCs w:val="18"/>
          <w:b w:val="1"/>
          <w:bCs w:val="1"/>
          <w:color w:val="auto"/>
        </w:rPr>
        <w:t>7.8 Other Restrictions</w:t>
      </w:r>
      <w:r>
        <w:rPr>
          <w:rFonts w:ascii="Arial" w:cs="Arial" w:eastAsia="Arial" w:hAnsi="Arial"/>
          <w:sz w:val="18"/>
          <w:szCs w:val="18"/>
          <w:color w:val="auto"/>
        </w:rPr>
        <w:t>. The Committee shall impose such other conditions or restrictions on any Shares received upon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of a Stock Appreciation Right granted pursuant to this Plan as it may deem advisable or desirable. These restrictions may include a requirement that the Participant hold the Shares received upon exercise of a Stock Appreciation Right for a specified period of time.</w:t>
      </w:r>
    </w:p>
    <w:p>
      <w:pPr>
        <w:spacing w:after="0" w:line="168"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8"/>
          <w:szCs w:val="18"/>
          <w:b w:val="1"/>
          <w:bCs w:val="1"/>
          <w:color w:val="auto"/>
        </w:rPr>
        <w:t>7.9 Dividend and Voting Rights</w:t>
      </w:r>
      <w:r>
        <w:rPr>
          <w:rFonts w:ascii="Arial" w:cs="Arial" w:eastAsia="Arial" w:hAnsi="Arial"/>
          <w:sz w:val="18"/>
          <w:szCs w:val="18"/>
          <w:color w:val="auto"/>
        </w:rPr>
        <w:t>. A Participant shall have no dividend rights or rights to receive Dividend Equivalents and no</w:t>
      </w:r>
      <w:r>
        <w:rPr>
          <w:rFonts w:ascii="Arial" w:cs="Arial" w:eastAsia="Arial" w:hAnsi="Arial"/>
          <w:sz w:val="18"/>
          <w:szCs w:val="18"/>
          <w:b w:val="1"/>
          <w:bCs w:val="1"/>
          <w:color w:val="auto"/>
        </w:rPr>
        <w:t xml:space="preserve"> </w:t>
      </w:r>
      <w:r>
        <w:rPr>
          <w:rFonts w:ascii="Arial" w:cs="Arial" w:eastAsia="Arial" w:hAnsi="Arial"/>
          <w:sz w:val="18"/>
          <w:szCs w:val="18"/>
          <w:color w:val="auto"/>
        </w:rPr>
        <w:t>voting rights with respect to any Stock Appreciation Right granted hereunder.</w:t>
      </w:r>
    </w:p>
    <w:p>
      <w:pPr>
        <w:spacing w:after="0" w:line="153"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8"/>
          <w:szCs w:val="18"/>
          <w:b w:val="1"/>
          <w:bCs w:val="1"/>
          <w:color w:val="auto"/>
        </w:rPr>
        <w:t>Article 8.</w:t>
      </w:r>
      <w:r>
        <w:rPr>
          <w:sz w:val="20"/>
          <w:szCs w:val="20"/>
          <w:color w:val="auto"/>
        </w:rPr>
        <w:tab/>
      </w:r>
      <w:r>
        <w:rPr>
          <w:rFonts w:ascii="Arial" w:cs="Arial" w:eastAsia="Arial" w:hAnsi="Arial"/>
          <w:sz w:val="17"/>
          <w:szCs w:val="17"/>
          <w:b w:val="1"/>
          <w:bCs w:val="1"/>
          <w:color w:val="auto"/>
        </w:rPr>
        <w:t>Restricted Stock and Restricted Stock Units</w:t>
      </w:r>
    </w:p>
    <w:p>
      <w:pPr>
        <w:spacing w:after="0" w:line="193" w:lineRule="exact"/>
        <w:rPr>
          <w:sz w:val="20"/>
          <w:szCs w:val="20"/>
          <w:color w:val="auto"/>
        </w:rPr>
      </w:pPr>
    </w:p>
    <w:p>
      <w:pPr>
        <w:jc w:val="both"/>
        <w:ind w:firstLine="640"/>
        <w:spacing w:after="0" w:line="213" w:lineRule="auto"/>
        <w:rPr>
          <w:sz w:val="20"/>
          <w:szCs w:val="20"/>
          <w:color w:val="auto"/>
        </w:rPr>
      </w:pPr>
      <w:r>
        <w:rPr>
          <w:rFonts w:ascii="Arial" w:cs="Arial" w:eastAsia="Arial" w:hAnsi="Arial"/>
          <w:sz w:val="18"/>
          <w:szCs w:val="18"/>
          <w:b w:val="1"/>
          <w:bCs w:val="1"/>
          <w:color w:val="auto"/>
        </w:rPr>
        <w:t>8.1 Grant of Restricted Stock or Restricted Stock Units</w:t>
      </w:r>
      <w:r>
        <w:rPr>
          <w:rFonts w:ascii="Arial" w:cs="Arial" w:eastAsia="Arial" w:hAnsi="Arial"/>
          <w:sz w:val="18"/>
          <w:szCs w:val="18"/>
          <w:color w:val="auto"/>
        </w:rPr>
        <w:t>. Subject to the terms and provisions of this Plan, the Committee,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and from time to time, may grant Shares of Restricted Stock or Restricted Stock Units to Participants in such amounts as the Committee shall determine. Restricted Stock Units shall be similar to Restricted Stock except that no Shares are actually awarded to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Participant on the Grant Date.</w:t>
      </w:r>
    </w:p>
    <w:p>
      <w:pPr>
        <w:spacing w:after="0" w:line="162" w:lineRule="exact"/>
        <w:rPr>
          <w:sz w:val="20"/>
          <w:szCs w:val="20"/>
          <w:color w:val="auto"/>
        </w:rPr>
      </w:pPr>
    </w:p>
    <w:p>
      <w:pPr>
        <w:jc w:val="both"/>
        <w:ind w:firstLine="640"/>
        <w:spacing w:after="0" w:line="224" w:lineRule="auto"/>
        <w:rPr>
          <w:sz w:val="20"/>
          <w:szCs w:val="20"/>
          <w:color w:val="auto"/>
        </w:rPr>
      </w:pPr>
      <w:r>
        <w:rPr>
          <w:rFonts w:ascii="Arial" w:cs="Arial" w:eastAsia="Arial" w:hAnsi="Arial"/>
          <w:sz w:val="18"/>
          <w:szCs w:val="18"/>
          <w:b w:val="1"/>
          <w:bCs w:val="1"/>
          <w:color w:val="auto"/>
        </w:rPr>
        <w:t>8.2 Award Agreement</w:t>
      </w:r>
      <w:r>
        <w:rPr>
          <w:rFonts w:ascii="Arial" w:cs="Arial" w:eastAsia="Arial" w:hAnsi="Arial"/>
          <w:sz w:val="18"/>
          <w:szCs w:val="18"/>
          <w:color w:val="auto"/>
        </w:rPr>
        <w:t>. Each Restricted Stock or Restricted Stock Unit granted pursuant to this Article 8 shall be evidenced by an</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that shall specify the Period(s) of Restriction, the number of Shares of Restricted Stock or the number of Restricted Stock Units granted, and such other provisions as the Committee shall determine.</w:t>
      </w:r>
    </w:p>
    <w:p>
      <w:pPr>
        <w:spacing w:after="0" w:line="168"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8"/>
          <w:szCs w:val="18"/>
          <w:b w:val="1"/>
          <w:bCs w:val="1"/>
          <w:color w:val="auto"/>
        </w:rPr>
        <w:t>8.3 Conditions and Restrictions</w:t>
      </w:r>
      <w:r>
        <w:rPr>
          <w:rFonts w:ascii="Arial" w:cs="Arial" w:eastAsia="Arial" w:hAnsi="Arial"/>
          <w:sz w:val="18"/>
          <w:szCs w:val="18"/>
          <w:color w:val="auto"/>
        </w:rPr>
        <w:t>. The Committee shall impose such conditions or restrictions on any Shares of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or Restricted Stock Units granted pursuant to this Plan as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21" w:name="page122"/>
    <w:bookmarkEnd w:id="121"/>
    <w:p>
      <w:pPr>
        <w:spacing w:after="0" w:line="230" w:lineRule="auto"/>
        <w:rPr>
          <w:sz w:val="20"/>
          <w:szCs w:val="20"/>
          <w:color w:val="auto"/>
        </w:rPr>
      </w:pPr>
      <w:r>
        <w:rPr>
          <w:rFonts w:ascii="Arial" w:cs="Arial" w:eastAsia="Arial" w:hAnsi="Arial"/>
          <w:sz w:val="17"/>
          <w:szCs w:val="17"/>
          <w:color w:val="auto"/>
        </w:rPr>
        <w:t>may deem advisable including a requirement that Participants pay a stipulated purchase price for each Share of Restricted Stock or each Restricted Stock Unit, restrictions based upon the achievement of one or more specific Performance Goals, time-based restrictions on vesting</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following the attainment of a Performance Goal, time-based restrictions, restrictions under Applicable Law or holding requirements or sale restrictions placed by the Company on the Shares upon vesting or settlement of such Restricted Stock or Restricted Stock Units.</w:t>
      </w:r>
    </w:p>
    <w:p>
      <w:pPr>
        <w:spacing w:after="0" w:line="1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7"/>
          <w:szCs w:val="17"/>
          <w:b w:val="1"/>
          <w:bCs w:val="1"/>
          <w:color w:val="auto"/>
        </w:rPr>
        <w:t>Restricted Stock Transfer Restrictions; Lapse of Restrictions on Restricted Stock and Settlement of Restricted Stock</w:t>
      </w:r>
    </w:p>
    <w:p>
      <w:pPr>
        <w:spacing w:after="0"/>
        <w:rPr>
          <w:sz w:val="20"/>
          <w:szCs w:val="20"/>
          <w:color w:val="auto"/>
        </w:rPr>
      </w:pPr>
      <w:r>
        <w:rPr>
          <w:rFonts w:ascii="Arial" w:cs="Arial" w:eastAsia="Arial" w:hAnsi="Arial"/>
          <w:sz w:val="18"/>
          <w:szCs w:val="18"/>
          <w:b w:val="1"/>
          <w:bCs w:val="1"/>
          <w:color w:val="auto"/>
        </w:rPr>
        <w:t>Units</w:t>
      </w:r>
      <w:r>
        <w:rPr>
          <w:rFonts w:ascii="Arial" w:cs="Arial" w:eastAsia="Arial" w:hAnsi="Arial"/>
          <w:sz w:val="18"/>
          <w:szCs w:val="18"/>
          <w:color w:val="auto"/>
        </w:rPr>
        <w:t>.</w:t>
      </w:r>
    </w:p>
    <w:p>
      <w:pPr>
        <w:spacing w:after="0" w:line="164" w:lineRule="exact"/>
        <w:rPr>
          <w:sz w:val="20"/>
          <w:szCs w:val="20"/>
          <w:color w:val="auto"/>
        </w:rPr>
      </w:pPr>
    </w:p>
    <w:p>
      <w:pPr>
        <w:jc w:val="both"/>
        <w:ind w:left="1280" w:hanging="633"/>
        <w:spacing w:after="0" w:line="213" w:lineRule="auto"/>
        <w:tabs>
          <w:tab w:leader="none" w:pos="127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Unless otherwise determined by the Committee, until such time as all conditions or restrictions applicable to Shares of Restricted Stock have been satisfied or lapse, (i) Shares of Restricted Stock will be held at the Company’s transfer agent in book entry form in the name of the Participant or (iii) such Shares of Restricted Stock will be held for the benefit of the Participant in nominee name by the broker engaged by the Company to provide such services for this Plan, in each case with appropriate restrictions relating to the transfer of such Shares of Restricted Stock. Except as otherwise provided in this Article 8 and subject to Section 11.4, Shares of Restricted Stock covered by each Restricted Stock Award shall become freely transferable by the Participant after all conditions and restrictions applicable to such Shares have been satisfied or lapse (including satisfaction of any applicable tax withholding obligations).</w:t>
      </w:r>
    </w:p>
    <w:p>
      <w:pPr>
        <w:spacing w:after="0" w:line="171" w:lineRule="exact"/>
        <w:rPr>
          <w:rFonts w:ascii="Arial" w:cs="Arial" w:eastAsia="Arial" w:hAnsi="Arial"/>
          <w:sz w:val="18"/>
          <w:szCs w:val="18"/>
          <w:color w:val="auto"/>
        </w:rPr>
      </w:pPr>
    </w:p>
    <w:p>
      <w:pPr>
        <w:jc w:val="both"/>
        <w:ind w:left="1280" w:hanging="633"/>
        <w:spacing w:after="0" w:line="212" w:lineRule="auto"/>
        <w:tabs>
          <w:tab w:leader="none" w:pos="127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Restricted Stock Units shall be paid in cash, Shares or a combination of cash and Shares as the Committee, in its sole discretion, shall determine, and as provided in the Award Agreement, except that if a Participant has properly elected to defer income that may be attributable to a Restricted Stock Unit under a Company deferred compensation plan, common stock units will be credited to the Participant’s account under such plan and paid out in accordance with the terms of such plan. Any Shares issued under such deferred compensation plan that relate to the deferral of Restricted Stock Units granted under this Plan (including without limitation any Dividend Equivalents paid in Shares) will be deemed to be issued under this Plan. Upon the satisfaction, lapse or waiver of all conditions or restrictions applicable to Restricted Stock Units evidencing the right to receive Shares, such Shares shall be issued and delivered to the Participant holder of the Restricted Stock Units or the broker engaged by the Company to provide services for this Plan for the benefit of the Participant holder of the Restricted Stock Units.</w:t>
      </w:r>
    </w:p>
    <w:p>
      <w:pPr>
        <w:spacing w:after="0" w:line="158" w:lineRule="exact"/>
        <w:rPr>
          <w:sz w:val="20"/>
          <w:szCs w:val="20"/>
          <w:color w:val="auto"/>
        </w:rPr>
      </w:pPr>
    </w:p>
    <w:p>
      <w:pPr>
        <w:jc w:val="both"/>
        <w:ind w:firstLine="640"/>
        <w:spacing w:after="0" w:line="232" w:lineRule="auto"/>
        <w:rPr>
          <w:sz w:val="20"/>
          <w:szCs w:val="20"/>
          <w:color w:val="auto"/>
        </w:rPr>
      </w:pPr>
      <w:r>
        <w:rPr>
          <w:rFonts w:ascii="Arial" w:cs="Arial" w:eastAsia="Arial" w:hAnsi="Arial"/>
          <w:sz w:val="17"/>
          <w:szCs w:val="17"/>
          <w:b w:val="1"/>
          <w:bCs w:val="1"/>
          <w:color w:val="auto"/>
        </w:rPr>
        <w:t>8.5 Restrictive Legends</w:t>
      </w:r>
      <w:r>
        <w:rPr>
          <w:rFonts w:ascii="Arial" w:cs="Arial" w:eastAsia="Arial" w:hAnsi="Arial"/>
          <w:sz w:val="17"/>
          <w:szCs w:val="17"/>
          <w:color w:val="auto"/>
        </w:rPr>
        <w:t>. In addition to any restrictions on Shares pursuant to Section 8.3, each book-entry notation representing</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Restricted Stock granted pursuant to this Plan may bear a legend such as the following (and Shares of Restricted Stock held for the</w:t>
      </w:r>
    </w:p>
    <w:p>
      <w:pPr>
        <w:jc w:val="both"/>
        <w:spacing w:after="0" w:line="226" w:lineRule="auto"/>
        <w:rPr>
          <w:sz w:val="20"/>
          <w:szCs w:val="20"/>
          <w:color w:val="auto"/>
        </w:rPr>
      </w:pPr>
      <w:r>
        <w:rPr>
          <w:rFonts w:ascii="Arial" w:cs="Arial" w:eastAsia="Arial" w:hAnsi="Arial"/>
          <w:sz w:val="18"/>
          <w:szCs w:val="18"/>
          <w:color w:val="auto"/>
        </w:rPr>
        <w:t>benefit of the Participant in nominee name by the broker engaged by the Company to provide such services for this Plan will be subject to restrictions set forth in the following legend) or as otherwise determined by the Committee in its sole discretion:</w:t>
      </w:r>
    </w:p>
    <w:p>
      <w:pPr>
        <w:spacing w:after="0" w:line="168" w:lineRule="exact"/>
        <w:rPr>
          <w:sz w:val="20"/>
          <w:szCs w:val="20"/>
          <w:color w:val="auto"/>
        </w:rPr>
      </w:pPr>
    </w:p>
    <w:p>
      <w:pPr>
        <w:jc w:val="both"/>
        <w:ind w:firstLine="640"/>
        <w:spacing w:after="0" w:line="254" w:lineRule="auto"/>
        <w:rPr>
          <w:sz w:val="20"/>
          <w:szCs w:val="20"/>
          <w:color w:val="auto"/>
        </w:rPr>
      </w:pPr>
      <w:r>
        <w:rPr>
          <w:rFonts w:ascii="Arial" w:cs="Arial" w:eastAsia="Arial" w:hAnsi="Arial"/>
          <w:sz w:val="18"/>
          <w:szCs w:val="18"/>
          <w:color w:val="auto"/>
        </w:rPr>
        <w:t>“The sale or transfer of shares of stock represented by this book-entry notation, whether voluntary, involuntary or by operation of law, is subject to certain restrictions on transfer as set forth in The Toro Company 2026 Equity Plan, as may be amended from time to time (the “Plan”), and in the associated award agreement. A copy of the Plan and such award agreement may be obtained from The Toro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22" w:name="page123"/>
    <w:bookmarkEnd w:id="122"/>
    <w:p>
      <w:pPr>
        <w:spacing w:after="0" w:line="189" w:lineRule="exact"/>
        <w:rPr>
          <w:sz w:val="20"/>
          <w:szCs w:val="20"/>
          <w:color w:val="auto"/>
        </w:rPr>
      </w:pPr>
    </w:p>
    <w:p>
      <w:pPr>
        <w:ind w:firstLine="640"/>
        <w:spacing w:after="0" w:line="232" w:lineRule="auto"/>
        <w:rPr>
          <w:sz w:val="20"/>
          <w:szCs w:val="20"/>
          <w:color w:val="auto"/>
        </w:rPr>
      </w:pPr>
      <w:r>
        <w:rPr>
          <w:rFonts w:ascii="Arial" w:cs="Arial" w:eastAsia="Arial" w:hAnsi="Arial"/>
          <w:sz w:val="17"/>
          <w:szCs w:val="17"/>
          <w:b w:val="1"/>
          <w:bCs w:val="1"/>
          <w:color w:val="auto"/>
        </w:rPr>
        <w:t>8.6 Voting Rights</w:t>
      </w:r>
      <w:r>
        <w:rPr>
          <w:rFonts w:ascii="Arial" w:cs="Arial" w:eastAsia="Arial" w:hAnsi="Arial"/>
          <w:sz w:val="17"/>
          <w:szCs w:val="17"/>
          <w:color w:val="auto"/>
        </w:rPr>
        <w:t>. Unless otherwise determined by the Committee and set forth in a Participant’s Award Agreement, to the extent</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or required by Applicable Law, as determined by the Committee, Participants holding Shares of Restricted Stock granted hereunder</w:t>
      </w:r>
    </w:p>
    <w:p>
      <w:pPr>
        <w:spacing w:after="0" w:line="226" w:lineRule="auto"/>
        <w:rPr>
          <w:sz w:val="20"/>
          <w:szCs w:val="20"/>
          <w:color w:val="auto"/>
        </w:rPr>
      </w:pPr>
      <w:r>
        <w:rPr>
          <w:rFonts w:ascii="Arial" w:cs="Arial" w:eastAsia="Arial" w:hAnsi="Arial"/>
          <w:sz w:val="18"/>
          <w:szCs w:val="18"/>
          <w:color w:val="auto"/>
        </w:rPr>
        <w:t>shall be granted the right to exercise full voting rights with respect to those Shares during the Period of Restriction. A Participant shall have no voting rights with respect to any Restricted Stock Units granted hereunder.</w:t>
      </w:r>
    </w:p>
    <w:p>
      <w:pPr>
        <w:spacing w:after="0" w:line="15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7"/>
          <w:szCs w:val="17"/>
          <w:b w:val="1"/>
          <w:bCs w:val="1"/>
          <w:color w:val="auto"/>
        </w:rPr>
        <w:t>Dividend Rights</w:t>
      </w:r>
      <w:r>
        <w:rPr>
          <w:rFonts w:ascii="Arial" w:cs="Arial" w:eastAsia="Arial" w:hAnsi="Arial"/>
          <w:sz w:val="17"/>
          <w:szCs w:val="17"/>
          <w:color w:val="auto"/>
        </w:rPr>
        <w:t>.</w:t>
      </w:r>
    </w:p>
    <w:p>
      <w:pPr>
        <w:spacing w:after="0" w:line="195" w:lineRule="exact"/>
        <w:rPr>
          <w:sz w:val="20"/>
          <w:szCs w:val="20"/>
          <w:color w:val="auto"/>
        </w:rPr>
      </w:pPr>
    </w:p>
    <w:p>
      <w:pPr>
        <w:jc w:val="both"/>
        <w:ind w:left="1280" w:hanging="633"/>
        <w:spacing w:after="0" w:line="212" w:lineRule="auto"/>
        <w:tabs>
          <w:tab w:leader="none" w:pos="127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Unless otherwise determined by the Committee and set forth in a Participant’s Award Agreement, to the extent permitted or required by Applicable Law, as determined by the Committee, Participants holding Shares of Restricted Stock granted hereunder shall have the same dividend rights as the Company’s other shareholders;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dividends (cash or stock-based) as to Shares of Restricted Stock that are subject to vesting requirements will be subject to forfeiture and termination to the same extent as the Shares of Restricted Stock to which such dividends relate and the Award Agreement may require that any cash dividends be reinvested in additional Shares of Restricted Stock subject to the same conditions and restrictions as the Shares of Restricted Stock with respect to which the dividends were paid. Notwithstanding the generality of the foregoing and for the avoidance of any doubt, in no event shall dividends with respect to Shares of Restricted Stock that are subject to performance-based vesting be paid out until the performance-based vesting provisions of such Restricted Stock lapse.</w:t>
      </w:r>
    </w:p>
    <w:p>
      <w:pPr>
        <w:spacing w:after="0" w:line="159" w:lineRule="exact"/>
        <w:rPr>
          <w:rFonts w:ascii="Arial" w:cs="Arial" w:eastAsia="Arial" w:hAnsi="Arial"/>
          <w:sz w:val="18"/>
          <w:szCs w:val="18"/>
          <w:color w:val="auto"/>
        </w:rPr>
      </w:pPr>
    </w:p>
    <w:p>
      <w:pPr>
        <w:jc w:val="both"/>
        <w:ind w:left="1280" w:hanging="633"/>
        <w:spacing w:after="0" w:line="212" w:lineRule="auto"/>
        <w:tabs>
          <w:tab w:leader="none" w:pos="127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Unless otherwise determined by the Committee and set forth in a Participant’s Award Agreement, to the extent permitted or required by Applicable Law, as determined by the Committee, prior to settlement or forfeiture, any Restricted Stock Units awarded under this Plan may, at the Committee’s sole discretion, carry with it a right to Dividend Equivalents. Such right, if applicable, would entitle the Participant to be credited with an amount equal to all cash dividends paid on one Share while the Restricted Stock Unit is outstanding or may be converted into additional Restricted Stock Units;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Dividend Equivalents will be made subject to the same conditions and restrictions as the Restricted Stock Units to which they attach and settlement of such Dividend Equivalents may be made in the form of cash, in the form of Shares, or in a combination of both. Notwithstanding the generality of the foregoing and for the avoidance of any doubt, in no event shall any dividends or Dividend Equivalents be paid out to Participants holding performance-based Restricted Stock Units until the performance-based vesting provisions of such Restricted Stock Units lapse.</w:t>
      </w:r>
    </w:p>
    <w:p>
      <w:pPr>
        <w:spacing w:after="0" w:line="15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8"/>
          <w:szCs w:val="18"/>
          <w:b w:val="1"/>
          <w:bCs w:val="1"/>
          <w:color w:val="auto"/>
        </w:rPr>
        <w:t>Section 83(b) Election for Restricted Stock Award</w:t>
      </w:r>
      <w:r>
        <w:rPr>
          <w:rFonts w:ascii="Arial" w:cs="Arial" w:eastAsia="Arial" w:hAnsi="Arial"/>
          <w:sz w:val="18"/>
          <w:szCs w:val="18"/>
          <w:color w:val="auto"/>
        </w:rPr>
        <w:t>. If a Participant makes an election pursuant to Code Section 83(b) with</w:t>
      </w:r>
    </w:p>
    <w:p>
      <w:pPr>
        <w:jc w:val="both"/>
        <w:spacing w:after="0" w:line="206" w:lineRule="auto"/>
        <w:rPr>
          <w:sz w:val="20"/>
          <w:szCs w:val="20"/>
          <w:color w:val="auto"/>
        </w:rPr>
      </w:pPr>
      <w:r>
        <w:rPr>
          <w:rFonts w:ascii="Arial" w:cs="Arial" w:eastAsia="Arial" w:hAnsi="Arial"/>
          <w:sz w:val="18"/>
          <w:szCs w:val="18"/>
          <w:color w:val="auto"/>
        </w:rPr>
        <w:t>respect to an Award of Restricted Stock, the Participant must file, within thirty (30) days following the Grant Date, a copy of such election with the Company and with the Internal Revenue Service, in accordance with the regulations under Code Section 83. The Committee may provide in the Award Agreement that the Award of Restricted Stock is conditioned upon the Participant’s making or refraining from making an election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Award under Code Section 83(b).</w:t>
      </w:r>
    </w:p>
    <w:p>
      <w:pPr>
        <w:spacing w:after="0" w:line="162"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8"/>
          <w:szCs w:val="18"/>
          <w:b w:val="1"/>
          <w:bCs w:val="1"/>
          <w:color w:val="auto"/>
        </w:rPr>
        <w:t>Article 9.</w:t>
      </w:r>
      <w:r>
        <w:rPr>
          <w:sz w:val="20"/>
          <w:szCs w:val="20"/>
          <w:color w:val="auto"/>
        </w:rPr>
        <w:tab/>
      </w:r>
      <w:r>
        <w:rPr>
          <w:rFonts w:ascii="Arial" w:cs="Arial" w:eastAsia="Arial" w:hAnsi="Arial"/>
          <w:sz w:val="17"/>
          <w:szCs w:val="17"/>
          <w:b w:val="1"/>
          <w:bCs w:val="1"/>
          <w:color w:val="auto"/>
        </w:rPr>
        <w:t>Performance Units and Performance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jc w:val="both"/>
        <w:spacing w:after="0" w:line="219" w:lineRule="auto"/>
        <w:rPr>
          <w:sz w:val="20"/>
          <w:szCs w:val="20"/>
          <w:color w:val="auto"/>
        </w:rPr>
      </w:pPr>
      <w:r>
        <w:rPr>
          <w:rFonts w:ascii="Arial" w:cs="Arial" w:eastAsia="Arial" w:hAnsi="Arial"/>
          <w:sz w:val="18"/>
          <w:szCs w:val="18"/>
          <w:b w:val="1"/>
          <w:bCs w:val="1"/>
          <w:color w:val="auto"/>
        </w:rPr>
        <w:t>9.1 Grant of Performance Units and Performance Shares</w:t>
      </w:r>
      <w:r>
        <w:rPr>
          <w:rFonts w:ascii="Arial" w:cs="Arial" w:eastAsia="Arial" w:hAnsi="Arial"/>
          <w:sz w:val="18"/>
          <w:szCs w:val="18"/>
          <w:color w:val="auto"/>
        </w:rPr>
        <w:t>. Subject to the terms and provisions of this Plan, the Committee, at any time and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may grant Performance Units or Performance Shares to Participants in such amounts and upon such terms as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Committee shall determine.</w:t>
      </w:r>
    </w:p>
    <w:p>
      <w:pPr>
        <w:spacing w:after="0" w:line="162"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8"/>
          <w:szCs w:val="18"/>
          <w:b w:val="1"/>
          <w:bCs w:val="1"/>
          <w:color w:val="auto"/>
        </w:rPr>
        <w:t>9.2 Award Agreement</w:t>
      </w:r>
      <w:r>
        <w:rPr>
          <w:rFonts w:ascii="Arial" w:cs="Arial" w:eastAsia="Arial" w:hAnsi="Arial"/>
          <w:sz w:val="18"/>
          <w:szCs w:val="18"/>
          <w:color w:val="auto"/>
        </w:rPr>
        <w:t>. The terms and conditions of any grant of any Performance Units or Performance Shares shall be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an Award Agreement.</w:t>
      </w:r>
    </w:p>
    <w:p>
      <w:pPr>
        <w:spacing w:after="0" w:line="167" w:lineRule="exact"/>
        <w:rPr>
          <w:sz w:val="20"/>
          <w:szCs w:val="20"/>
          <w:color w:val="auto"/>
        </w:rPr>
      </w:pPr>
    </w:p>
    <w:p>
      <w:pPr>
        <w:jc w:val="both"/>
        <w:ind w:firstLine="640"/>
        <w:spacing w:after="0" w:line="213" w:lineRule="auto"/>
        <w:rPr>
          <w:sz w:val="20"/>
          <w:szCs w:val="20"/>
          <w:color w:val="auto"/>
        </w:rPr>
      </w:pPr>
      <w:r>
        <w:rPr>
          <w:rFonts w:ascii="Arial" w:cs="Arial" w:eastAsia="Arial" w:hAnsi="Arial"/>
          <w:sz w:val="18"/>
          <w:szCs w:val="18"/>
          <w:b w:val="1"/>
          <w:bCs w:val="1"/>
          <w:color w:val="auto"/>
        </w:rPr>
        <w:t>9.3 Value of Performance Units and Performance Shares</w:t>
      </w:r>
      <w:r>
        <w:rPr>
          <w:rFonts w:ascii="Arial" w:cs="Arial" w:eastAsia="Arial" w:hAnsi="Arial"/>
          <w:sz w:val="18"/>
          <w:szCs w:val="18"/>
          <w:color w:val="auto"/>
        </w:rPr>
        <w:t>. Each Performance Unit shall have an initial value that is established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Committee at the time of grant. Each Performance Share shall have an initial value equal to the Fair Market Value of a Share on the Grant Date. The Committee shall set one or more Performance Goals in its sole discretion which, depending on the extent to which they are</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met, if at all, will determine the value or number of Performance Units or Performance Shares that will be paid out to the Participant. Pursuant to Section 4.4, the Performance Period set forth in any Award Agreement for any Performance Units or Performance Shares shall be at least one (1) year.</w:t>
      </w:r>
    </w:p>
    <w:p>
      <w:pPr>
        <w:spacing w:after="0" w:line="168" w:lineRule="exact"/>
        <w:rPr>
          <w:sz w:val="20"/>
          <w:szCs w:val="20"/>
          <w:color w:val="auto"/>
        </w:rPr>
      </w:pPr>
    </w:p>
    <w:p>
      <w:pPr>
        <w:jc w:val="both"/>
        <w:ind w:firstLine="640"/>
        <w:spacing w:after="0" w:line="213" w:lineRule="auto"/>
        <w:rPr>
          <w:sz w:val="20"/>
          <w:szCs w:val="20"/>
          <w:color w:val="auto"/>
        </w:rPr>
      </w:pPr>
      <w:r>
        <w:rPr>
          <w:rFonts w:ascii="Arial" w:cs="Arial" w:eastAsia="Arial" w:hAnsi="Arial"/>
          <w:sz w:val="18"/>
          <w:szCs w:val="18"/>
          <w:b w:val="1"/>
          <w:bCs w:val="1"/>
          <w:color w:val="auto"/>
        </w:rPr>
        <w:t>9.4 Earning of Performance Units and Performance Shares</w:t>
      </w:r>
      <w:r>
        <w:rPr>
          <w:rFonts w:ascii="Arial" w:cs="Arial" w:eastAsia="Arial" w:hAnsi="Arial"/>
          <w:sz w:val="18"/>
          <w:szCs w:val="18"/>
          <w:color w:val="auto"/>
        </w:rPr>
        <w:t>. Subject to the terms of this Plan, after the applicable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has ended, the holder of Performance Units or Performance Shares shall be entitled to receive payout on the value and number of Performance Units or Performance Shares earned by the Participant over the Performance Period, to be determined by the Committee as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function of the extent to which, if at all, the corresponding Performance Goals have been achieved.</w:t>
      </w:r>
    </w:p>
    <w:p>
      <w:pPr>
        <w:spacing w:after="0" w:line="162" w:lineRule="exact"/>
        <w:rPr>
          <w:sz w:val="20"/>
          <w:szCs w:val="20"/>
          <w:color w:val="auto"/>
        </w:rPr>
      </w:pPr>
    </w:p>
    <w:p>
      <w:pPr>
        <w:jc w:val="both"/>
        <w:ind w:firstLine="640"/>
        <w:spacing w:after="0" w:line="232" w:lineRule="auto"/>
        <w:rPr>
          <w:sz w:val="20"/>
          <w:szCs w:val="20"/>
          <w:color w:val="auto"/>
        </w:rPr>
      </w:pPr>
      <w:r>
        <w:rPr>
          <w:rFonts w:ascii="Arial" w:cs="Arial" w:eastAsia="Arial" w:hAnsi="Arial"/>
          <w:sz w:val="17"/>
          <w:szCs w:val="17"/>
          <w:b w:val="1"/>
          <w:bCs w:val="1"/>
          <w:color w:val="auto"/>
        </w:rPr>
        <w:t>9.5 Evaluation of Performance</w:t>
      </w:r>
      <w:r>
        <w:rPr>
          <w:rFonts w:ascii="Arial" w:cs="Arial" w:eastAsia="Arial" w:hAnsi="Arial"/>
          <w:sz w:val="17"/>
          <w:szCs w:val="17"/>
          <w:color w:val="auto"/>
        </w:rPr>
        <w:t>. In evaluating whether Performance Goals have been achieved, and to what extent, and in</w:t>
      </w:r>
      <w:r>
        <w:rPr>
          <w:rFonts w:ascii="Arial" w:cs="Arial" w:eastAsia="Arial" w:hAnsi="Arial"/>
          <w:sz w:val="17"/>
          <w:szCs w:val="17"/>
          <w:b w:val="1"/>
          <w:bCs w:val="1"/>
          <w:color w:val="auto"/>
        </w:rPr>
        <w:t xml:space="preserve"> </w:t>
      </w:r>
      <w:r>
        <w:rPr>
          <w:rFonts w:ascii="Arial" w:cs="Arial" w:eastAsia="Arial" w:hAnsi="Arial"/>
          <w:sz w:val="17"/>
          <w:szCs w:val="17"/>
          <w:color w:val="auto"/>
        </w:rPr>
        <w:t>approving payouts to holders of Performance Units or Performance Shares, the Committee may include or exclude any of the following events</w:t>
      </w:r>
    </w:p>
    <w:p>
      <w:pPr>
        <w:jc w:val="both"/>
        <w:spacing w:after="0" w:line="218" w:lineRule="auto"/>
        <w:rPr>
          <w:sz w:val="20"/>
          <w:szCs w:val="20"/>
          <w:color w:val="auto"/>
        </w:rPr>
      </w:pPr>
      <w:r>
        <w:rPr>
          <w:rFonts w:ascii="Arial" w:cs="Arial" w:eastAsia="Arial" w:hAnsi="Arial"/>
          <w:sz w:val="17"/>
          <w:szCs w:val="17"/>
          <w:color w:val="auto"/>
        </w:rPr>
        <w:t>that occurs during a Performance Period: (a) items related to a change in accounting or measurement principles; (b) items relating to financing activities; (c) expenses for restructuring or productivity initiatives; (d) other non-operating items; (e) items related to acquisitions; (f) items attributable to the business operations of any entity acquired by the Company during the Performance Period; (g) items related to the disposal</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of a business or segment of a business; (h) items related to discontinued operations that do not qualify as a segment of a business under applicable accounting standards; (i) items attributable to any stock dividend, stock split, combination or exchange of stock occurring during the Performance Period; (j) any other items of significant income or expense which are determined by the Committee to be appropriate</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adjustments; (k) items relating to unusual or extraordinary corporate transactions, events or developments, (l) items related to amortization of acquired intangible assets; (m) items that are outside the scope of the Company’s core, on-going business activities; (n) items related to acquired in-process research and development; (o) items relating to changes in tax laws; (p) items relating to major licensing or partnership</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arrangements; (q) items relating to asset impairment charges; (r) items relating to gains or losses for litigation, arbitration and contractual settlements; (s) foreign exchange gains and losses; or (t) items relating to any other unusual or nonrecurring events or changes in Applicable Law, accounting principles, or business conditions.</w:t>
      </w:r>
    </w:p>
    <w:p>
      <w:pPr>
        <w:spacing w:after="0" w:line="168" w:lineRule="exact"/>
        <w:rPr>
          <w:sz w:val="20"/>
          <w:szCs w:val="20"/>
          <w:color w:val="auto"/>
        </w:rPr>
      </w:pPr>
    </w:p>
    <w:p>
      <w:pPr>
        <w:jc w:val="both"/>
        <w:ind w:firstLine="640"/>
        <w:spacing w:after="0" w:line="224" w:lineRule="auto"/>
        <w:rPr>
          <w:sz w:val="20"/>
          <w:szCs w:val="20"/>
          <w:color w:val="auto"/>
        </w:rPr>
      </w:pPr>
      <w:r>
        <w:rPr>
          <w:rFonts w:ascii="Arial" w:cs="Arial" w:eastAsia="Arial" w:hAnsi="Arial"/>
          <w:sz w:val="18"/>
          <w:szCs w:val="18"/>
          <w:b w:val="1"/>
          <w:bCs w:val="1"/>
          <w:color w:val="auto"/>
        </w:rPr>
        <w:t>9.6 Discretionary Adjustments</w:t>
      </w:r>
      <w:r>
        <w:rPr>
          <w:rFonts w:ascii="Arial" w:cs="Arial" w:eastAsia="Arial" w:hAnsi="Arial"/>
          <w:sz w:val="18"/>
          <w:szCs w:val="18"/>
          <w:color w:val="auto"/>
        </w:rPr>
        <w:t>. The Committee shall retain the discretion to adjust Award payouts upward or downward, either</w:t>
      </w:r>
      <w:r>
        <w:rPr>
          <w:rFonts w:ascii="Arial" w:cs="Arial" w:eastAsia="Arial" w:hAnsi="Arial"/>
          <w:sz w:val="18"/>
          <w:szCs w:val="18"/>
          <w:b w:val="1"/>
          <w:bCs w:val="1"/>
          <w:color w:val="auto"/>
        </w:rPr>
        <w:t xml:space="preserve"> </w:t>
      </w:r>
      <w:r>
        <w:rPr>
          <w:rFonts w:ascii="Arial" w:cs="Arial" w:eastAsia="Arial" w:hAnsi="Arial"/>
          <w:sz w:val="18"/>
          <w:szCs w:val="18"/>
          <w:color w:val="auto"/>
        </w:rPr>
        <w:t>on a formula or discretionary basis or any combination, as the Committee determines. In addition, subject to the terms and conditions of this Plan, the Committee also has the authority to provide for accelerated vesting of any Performance Shares or Performance Units.</w:t>
      </w:r>
    </w:p>
    <w:p>
      <w:pPr>
        <w:spacing w:after="0" w:line="168" w:lineRule="exact"/>
        <w:rPr>
          <w:sz w:val="20"/>
          <w:szCs w:val="20"/>
          <w:color w:val="auto"/>
        </w:rPr>
      </w:pPr>
    </w:p>
    <w:p>
      <w:pPr>
        <w:jc w:val="both"/>
        <w:ind w:firstLine="640"/>
        <w:spacing w:after="0" w:line="224" w:lineRule="auto"/>
        <w:rPr>
          <w:sz w:val="20"/>
          <w:szCs w:val="20"/>
          <w:color w:val="auto"/>
        </w:rPr>
      </w:pPr>
      <w:r>
        <w:rPr>
          <w:rFonts w:ascii="Arial" w:cs="Arial" w:eastAsia="Arial" w:hAnsi="Arial"/>
          <w:sz w:val="18"/>
          <w:szCs w:val="18"/>
          <w:b w:val="1"/>
          <w:bCs w:val="1"/>
          <w:color w:val="auto"/>
        </w:rPr>
        <w:t>9.7 Committee Discretion to Scale Back Awards</w:t>
      </w:r>
      <w:r>
        <w:rPr>
          <w:rFonts w:ascii="Arial" w:cs="Arial" w:eastAsia="Arial" w:hAnsi="Arial"/>
          <w:sz w:val="18"/>
          <w:szCs w:val="18"/>
          <w:color w:val="auto"/>
        </w:rPr>
        <w:t>. At any time during a Performance Period of more than one (1) year,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may, in its sole discretion, cancel a portion of an Award of Performance Shares or Performance Units prior to the conclusion of the Performance Period (a “Scale Back”), provided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24" w:name="page125"/>
    <w:bookmarkEnd w:id="124"/>
    <w:p>
      <w:pPr>
        <w:ind w:left="1280" w:hanging="633"/>
        <w:spacing w:after="0"/>
        <w:tabs>
          <w:tab w:leader="none" w:pos="12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Award has not yet vested;</w:t>
      </w:r>
    </w:p>
    <w:p>
      <w:pPr>
        <w:spacing w:after="0" w:line="179" w:lineRule="exact"/>
        <w:rPr>
          <w:rFonts w:ascii="Arial" w:cs="Arial" w:eastAsia="Arial" w:hAnsi="Arial"/>
          <w:sz w:val="18"/>
          <w:szCs w:val="18"/>
          <w:color w:val="auto"/>
        </w:rPr>
      </w:pPr>
    </w:p>
    <w:p>
      <w:pPr>
        <w:jc w:val="both"/>
        <w:ind w:left="1280" w:hanging="633"/>
        <w:spacing w:after="0" w:line="229" w:lineRule="auto"/>
        <w:tabs>
          <w:tab w:leader="none" w:pos="127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financial information contained in the financial statements or similar internal reports of the Company or any Affiliate or Subsidiary, as the case may be, the Committee determines that the Performance Goals for the Performance Period cannot be achieved at the maximum levels established at the time of grant;</w:t>
      </w:r>
    </w:p>
    <w:p>
      <w:pPr>
        <w:spacing w:after="0" w:line="154" w:lineRule="exact"/>
        <w:rPr>
          <w:rFonts w:ascii="Arial" w:cs="Arial" w:eastAsia="Arial" w:hAnsi="Arial"/>
          <w:sz w:val="18"/>
          <w:szCs w:val="18"/>
          <w:color w:val="auto"/>
        </w:rPr>
      </w:pPr>
    </w:p>
    <w:p>
      <w:pPr>
        <w:ind w:left="1280" w:hanging="633"/>
        <w:spacing w:after="0" w:line="246" w:lineRule="auto"/>
        <w:tabs>
          <w:tab w:leader="none" w:pos="127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Awards shall be Scaled Back in proportion to the estimated shortfall in the achievement of the Performance Goals from maximum levels;</w:t>
      </w:r>
    </w:p>
    <w:p>
      <w:pPr>
        <w:spacing w:after="0" w:line="149" w:lineRule="exact"/>
        <w:rPr>
          <w:rFonts w:ascii="Arial" w:cs="Arial" w:eastAsia="Arial" w:hAnsi="Arial"/>
          <w:sz w:val="18"/>
          <w:szCs w:val="18"/>
          <w:color w:val="auto"/>
        </w:rPr>
      </w:pPr>
    </w:p>
    <w:p>
      <w:pPr>
        <w:ind w:left="1280" w:hanging="633"/>
        <w:spacing w:after="0"/>
        <w:tabs>
          <w:tab w:leader="none" w:pos="12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Awards for the same Performance Period are Scaled Back by the same percentage;</w:t>
      </w:r>
    </w:p>
    <w:p>
      <w:pPr>
        <w:spacing w:after="0" w:line="179" w:lineRule="exact"/>
        <w:rPr>
          <w:rFonts w:ascii="Arial" w:cs="Arial" w:eastAsia="Arial" w:hAnsi="Arial"/>
          <w:sz w:val="18"/>
          <w:szCs w:val="18"/>
          <w:color w:val="auto"/>
        </w:rPr>
      </w:pPr>
    </w:p>
    <w:p>
      <w:pPr>
        <w:ind w:left="1280" w:hanging="633"/>
        <w:spacing w:after="0" w:line="246" w:lineRule="auto"/>
        <w:tabs>
          <w:tab w:leader="none" w:pos="127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once an Award is Scaled Back, it may not again be increased to add or recover Performance Shares or Performance Units that were canceled; and</w:t>
      </w:r>
    </w:p>
    <w:p>
      <w:pPr>
        <w:spacing w:after="0" w:line="149" w:lineRule="exact"/>
        <w:rPr>
          <w:rFonts w:ascii="Arial" w:cs="Arial" w:eastAsia="Arial" w:hAnsi="Arial"/>
          <w:sz w:val="18"/>
          <w:szCs w:val="18"/>
          <w:color w:val="auto"/>
        </w:rPr>
      </w:pPr>
    </w:p>
    <w:p>
      <w:pPr>
        <w:jc w:val="both"/>
        <w:ind w:left="1280" w:hanging="633"/>
        <w:spacing w:after="0" w:line="229" w:lineRule="auto"/>
        <w:tabs>
          <w:tab w:leader="none" w:pos="127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Performance Shares or Performance Units canceled in a Scale Back shall again be available to the Committee for grant of new Awards of Performance Shares or Performance Units for any future Performance Period. This provision shall not be used in any manner that could have the effect of repricing a previous Award of Performance Shares or Performance Units.</w:t>
      </w:r>
    </w:p>
    <w:p>
      <w:pPr>
        <w:spacing w:after="0" w:line="153"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9.8 Form and Timing of Payment of Performance Units or Performance Shares</w:t>
      </w:r>
      <w:r>
        <w:rPr>
          <w:rFonts w:ascii="Arial" w:cs="Arial" w:eastAsia="Arial" w:hAnsi="Arial"/>
          <w:sz w:val="18"/>
          <w:szCs w:val="18"/>
          <w:color w:val="auto"/>
        </w:rPr>
        <w:t>. Payment of earned Performance Units or</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Shares shall be as determined by the Committee and as evidenced in the Award Agreement. Subject to the terms of this Plan,</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the Committee, in its sole discretion, may pay earned Performance Units or Performance Shares in the form of cash or in Shares (or in a combination thereof) equal to the value of the earned Performance Units or Performance Shares at the close of the applicable Performance Period or as soon as practicable after the end of the Performance Period, except that if a Participant has properly elected to defer income that</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may be attributable to Performance Shares or Performance Units under a Company deferred compensation plan, common stock units will be credited to the Participant’s account under such deferred compensation plan and paid in accordance with the terms of such plan. Any Shares issued under such deferred compensation plan that relate to the deferral of Performance Shares or Performance Units granted under this Plan</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(including without limitation any Dividend Equivalents paid in Shares) will be deemed to be issued under this Plan. Any Shares issued in payment of earned Performance Units or Performance Shares may be granted subject to any restrictions deemed appropriate by the Committee. The determination of the Committee with respect to the form of payout of such Awards shall be set forth in the Award Agreement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pertaining to the grant of the Award.</w:t>
      </w:r>
    </w:p>
    <w:p>
      <w:pPr>
        <w:spacing w:after="0" w:line="162" w:lineRule="exact"/>
        <w:rPr>
          <w:sz w:val="20"/>
          <w:szCs w:val="20"/>
          <w:color w:val="auto"/>
        </w:rPr>
      </w:pPr>
    </w:p>
    <w:p>
      <w:pPr>
        <w:jc w:val="both"/>
        <w:ind w:right="20" w:firstLine="640"/>
        <w:spacing w:after="0" w:line="219" w:lineRule="auto"/>
        <w:rPr>
          <w:sz w:val="20"/>
          <w:szCs w:val="20"/>
          <w:color w:val="auto"/>
        </w:rPr>
      </w:pPr>
      <w:r>
        <w:rPr>
          <w:rFonts w:ascii="Arial" w:cs="Arial" w:eastAsia="Arial" w:hAnsi="Arial"/>
          <w:sz w:val="18"/>
          <w:szCs w:val="18"/>
          <w:b w:val="1"/>
          <w:bCs w:val="1"/>
          <w:color w:val="auto"/>
        </w:rPr>
        <w:t>9.9 Dividend Rights</w:t>
      </w:r>
      <w:r>
        <w:rPr>
          <w:rFonts w:ascii="Arial" w:cs="Arial" w:eastAsia="Arial" w:hAnsi="Arial"/>
          <w:sz w:val="18"/>
          <w:szCs w:val="18"/>
          <w:color w:val="auto"/>
        </w:rPr>
        <w:t>. If provided specifically in an Award Agreement and only to the extent permitted by Applicable Law,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holding Performance Units or Performance Shares granted under this Plan may receive Dividend Equivalents based on the cash</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dividends declared on the Shares that are subject to such Performance Units or Performance Shares during the period between the date that such Performance Units or Performance Shares are granted and the date such Performance Units or Performance Shares are settled. Dividend Equivalents may be converted into additional Performance Units or Performance Shares, as the case may be, and will be made</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subject to the same conditions and restrictions as the Performance Units or Performance Shares to which they attach. Notwithstanding the generality of the foregoing and for the avoidance of any doubt, in no event shall any dividends or Dividend Equivalents be paid out to Participants holding Performance Units or Performance Shares until the performance-based vesting provisions of such Performance Units 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Performance Shares, as the case may be, lapse.</w:t>
      </w:r>
    </w:p>
    <w:p>
      <w:pPr>
        <w:spacing w:after="0" w:line="162"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8"/>
          <w:szCs w:val="18"/>
          <w:b w:val="1"/>
          <w:bCs w:val="1"/>
          <w:color w:val="auto"/>
        </w:rPr>
        <w:t>9.10 Voting Rights</w:t>
      </w:r>
      <w:r>
        <w:rPr>
          <w:rFonts w:ascii="Arial" w:cs="Arial" w:eastAsia="Arial" w:hAnsi="Arial"/>
          <w:sz w:val="18"/>
          <w:szCs w:val="18"/>
          <w:color w:val="auto"/>
        </w:rPr>
        <w:t>. A Participant shall have no voting rights with respect to any Performance Units or Performance Shares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w:t>
      </w:r>
    </w:p>
    <w:p>
      <w:pPr>
        <w:spacing w:after="0" w:line="153"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b w:val="1"/>
          <w:bCs w:val="1"/>
          <w:color w:val="auto"/>
        </w:rPr>
        <w:t>Article 10.</w:t>
      </w:r>
      <w:r>
        <w:rPr>
          <w:sz w:val="20"/>
          <w:szCs w:val="20"/>
          <w:color w:val="auto"/>
        </w:rPr>
        <w:tab/>
      </w:r>
      <w:r>
        <w:rPr>
          <w:rFonts w:ascii="Arial" w:cs="Arial" w:eastAsia="Arial" w:hAnsi="Arial"/>
          <w:sz w:val="17"/>
          <w:szCs w:val="17"/>
          <w:b w:val="1"/>
          <w:bCs w:val="1"/>
          <w:color w:val="auto"/>
        </w:rPr>
        <w:t>Other Stock-Based Awards</w:t>
      </w:r>
    </w:p>
    <w:p>
      <w:pPr>
        <w:spacing w:after="0" w:line="193" w:lineRule="exact"/>
        <w:rPr>
          <w:sz w:val="20"/>
          <w:szCs w:val="20"/>
          <w:color w:val="auto"/>
        </w:rPr>
      </w:pPr>
    </w:p>
    <w:p>
      <w:pPr>
        <w:jc w:val="both"/>
        <w:ind w:firstLine="640"/>
        <w:spacing w:after="0" w:line="213" w:lineRule="auto"/>
        <w:rPr>
          <w:sz w:val="20"/>
          <w:szCs w:val="20"/>
          <w:color w:val="auto"/>
        </w:rPr>
      </w:pPr>
      <w:r>
        <w:rPr>
          <w:rFonts w:ascii="Arial" w:cs="Arial" w:eastAsia="Arial" w:hAnsi="Arial"/>
          <w:sz w:val="18"/>
          <w:szCs w:val="18"/>
          <w:b w:val="1"/>
          <w:bCs w:val="1"/>
          <w:color w:val="auto"/>
        </w:rPr>
        <w:t>10.1 Other Stock-Based Awards</w:t>
      </w:r>
      <w:r>
        <w:rPr>
          <w:rFonts w:ascii="Arial" w:cs="Arial" w:eastAsia="Arial" w:hAnsi="Arial"/>
          <w:sz w:val="18"/>
          <w:szCs w:val="18"/>
          <w:color w:val="auto"/>
        </w:rPr>
        <w:t>. Subject to the terms and provisions of this Plan, the Committee, at any time and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may grant Other Stock-Based Awards not otherwise described by the terms of this Plan (including the grant or offer for sale of unrestricted Shares) in such amounts and subject to such terms and conditions as the Committee shall determine. Without limiting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generality of the foregoing, such Awards may (a) involve the transfer of actual Shares to Participants, either at the time of grant or thereafter, or payment in cash or otherwise of amounts based on the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25" w:name="page126"/>
    <w:bookmarkEnd w:id="125"/>
    <w:p>
      <w:pPr>
        <w:jc w:val="both"/>
        <w:spacing w:after="0" w:line="230" w:lineRule="auto"/>
        <w:rPr>
          <w:sz w:val="20"/>
          <w:szCs w:val="20"/>
          <w:color w:val="auto"/>
        </w:rPr>
      </w:pPr>
      <w:r>
        <w:rPr>
          <w:rFonts w:ascii="Arial" w:cs="Arial" w:eastAsia="Arial" w:hAnsi="Arial"/>
          <w:sz w:val="17"/>
          <w:szCs w:val="17"/>
          <w:color w:val="auto"/>
        </w:rPr>
        <w:t>Shares; (b) include Awards designed to comply with or take advantage of the applicable local laws of jurisdictions other than the United States; and (c) be in the form of deferred common stock units, including those accumulated as a result of Dividend Equivalents paid in Shares on</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common stock units credited to a Participant’s account under a Company deferred compensation plan and paid out in accordance with the terms of such deferred compensation plan.</w:t>
      </w:r>
    </w:p>
    <w:p>
      <w:pPr>
        <w:spacing w:after="0" w:line="1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10.2</w:t>
        <w:tab/>
        <w:t>Value of Other Stock-Based Awards</w:t>
      </w:r>
      <w:r>
        <w:rPr>
          <w:rFonts w:ascii="Arial" w:cs="Arial" w:eastAsia="Arial" w:hAnsi="Arial"/>
          <w:sz w:val="18"/>
          <w:szCs w:val="18"/>
          <w:color w:val="auto"/>
        </w:rPr>
        <w:t>. Each Other Stock-Based Award shall be expressed in terms of Shares or units based</w:t>
      </w:r>
    </w:p>
    <w:p>
      <w:pPr>
        <w:jc w:val="both"/>
        <w:spacing w:after="0" w:line="218" w:lineRule="auto"/>
        <w:rPr>
          <w:sz w:val="20"/>
          <w:szCs w:val="20"/>
          <w:color w:val="auto"/>
        </w:rPr>
      </w:pPr>
      <w:r>
        <w:rPr>
          <w:rFonts w:ascii="Arial" w:cs="Arial" w:eastAsia="Arial" w:hAnsi="Arial"/>
          <w:sz w:val="17"/>
          <w:szCs w:val="17"/>
          <w:color w:val="auto"/>
        </w:rPr>
        <w:t>on Shares, as determined by the Committee. The Committee may establish one or more Performance Goals in its sole discretion for any Other Stock-Based Award. If the Committee exercises its discretion to establish one or more Performance Goals for any such Awards, the number or value of Other Stock-Based Awards that will be paid out to the Participant will depend on the extent to which the Performance Goals are met, if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 all.</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10.3 Payment of Other Stock-Based Awards</w:t>
      </w:r>
      <w:r>
        <w:rPr>
          <w:rFonts w:ascii="Arial" w:cs="Arial" w:eastAsia="Arial" w:hAnsi="Arial"/>
          <w:sz w:val="18"/>
          <w:szCs w:val="18"/>
          <w:color w:val="auto"/>
        </w:rPr>
        <w:t>. Payment, if any, with respect to an Other Stock-Based Award shall be made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terms of the Award, in cash or Shares, as the Committee determines; except that if a Participant has properly elected to</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defer income that may be attributable to an Other Stock-Based Award under a Company deferred compensation plan, common stock units will be credited to the Participant’s account under such plan and paid out in accordance with the terms of such plan.</w:t>
      </w:r>
    </w:p>
    <w:p>
      <w:pPr>
        <w:spacing w:after="0" w:line="153"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b w:val="1"/>
          <w:bCs w:val="1"/>
          <w:color w:val="auto"/>
        </w:rPr>
        <w:t>Article 11.</w:t>
      </w:r>
      <w:r>
        <w:rPr>
          <w:sz w:val="20"/>
          <w:szCs w:val="20"/>
          <w:color w:val="auto"/>
        </w:rPr>
        <w:tab/>
      </w:r>
      <w:r>
        <w:rPr>
          <w:rFonts w:ascii="Arial" w:cs="Arial" w:eastAsia="Arial" w:hAnsi="Arial"/>
          <w:sz w:val="17"/>
          <w:szCs w:val="17"/>
          <w:b w:val="1"/>
          <w:bCs w:val="1"/>
          <w:color w:val="auto"/>
        </w:rPr>
        <w:t>Transferability of Awards and Shares; Beneficiary Designations</w:t>
      </w:r>
    </w:p>
    <w:p>
      <w:pPr>
        <w:spacing w:after="0" w:line="193" w:lineRule="exact"/>
        <w:rPr>
          <w:sz w:val="20"/>
          <w:szCs w:val="20"/>
          <w:color w:val="auto"/>
        </w:rPr>
      </w:pPr>
    </w:p>
    <w:p>
      <w:pPr>
        <w:jc w:val="both"/>
        <w:ind w:firstLine="640"/>
        <w:spacing w:after="0" w:line="225" w:lineRule="auto"/>
        <w:rPr>
          <w:sz w:val="20"/>
          <w:szCs w:val="20"/>
          <w:color w:val="auto"/>
        </w:rPr>
      </w:pPr>
      <w:r>
        <w:rPr>
          <w:rFonts w:ascii="Arial" w:cs="Arial" w:eastAsia="Arial" w:hAnsi="Arial"/>
          <w:sz w:val="17"/>
          <w:szCs w:val="17"/>
          <w:b w:val="1"/>
          <w:bCs w:val="1"/>
          <w:color w:val="auto"/>
        </w:rPr>
        <w:t>11.1 Restrictions on Transfer of Awards</w:t>
      </w:r>
      <w:r>
        <w:rPr>
          <w:rFonts w:ascii="Arial" w:cs="Arial" w:eastAsia="Arial" w:hAnsi="Arial"/>
          <w:sz w:val="17"/>
          <w:szCs w:val="17"/>
          <w:color w:val="auto"/>
        </w:rPr>
        <w:t>. Except pursuant to testamentary will or the laws of descent and distribution or as</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expressly permitted by Sections 11.2 and 11.3 below, no right or interest of any Participant in an Award prior to the exercise (in the case of Options or Stock Appreciation Rights) or vesting, issuance or settlement of such Award will be assignable or transferable, or subjected</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to any lien, during the lifetime of the Participant, either voluntarily or involuntarily, directly or indirectly, by operation of law or otherwise. Any purported transfer in violation of this Section 11.1 shall be null and void.</w:t>
      </w:r>
    </w:p>
    <w:p>
      <w:pPr>
        <w:spacing w:after="0" w:line="1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11.2</w:t>
        <w:tab/>
        <w:t xml:space="preserve">Beneficiary Designations. </w:t>
      </w:r>
      <w:r>
        <w:rPr>
          <w:rFonts w:ascii="Arial" w:cs="Arial" w:eastAsia="Arial" w:hAnsi="Arial"/>
          <w:sz w:val="18"/>
          <w:szCs w:val="18"/>
          <w:color w:val="auto"/>
        </w:rPr>
        <w:t>A Participant will be entitled to designate a beneficiary (who may be named contingently or</w:t>
      </w:r>
    </w:p>
    <w:p>
      <w:pPr>
        <w:jc w:val="both"/>
        <w:spacing w:after="0" w:line="206" w:lineRule="auto"/>
        <w:rPr>
          <w:sz w:val="20"/>
          <w:szCs w:val="20"/>
          <w:color w:val="auto"/>
        </w:rPr>
      </w:pPr>
      <w:r>
        <w:rPr>
          <w:rFonts w:ascii="Arial" w:cs="Arial" w:eastAsia="Arial" w:hAnsi="Arial"/>
          <w:sz w:val="18"/>
          <w:szCs w:val="18"/>
          <w:color w:val="auto"/>
        </w:rPr>
        <w:t>successively) to receive an Award upon such Participant's death, and in the event of such Participant's death, payment of any amounts due under this Plan will be made to, and exercise of any Option or Stock Appreciation Right (to the extent permitted pursuant to Section 14 of this Plan) may be made by, such beneficiary. Each such designation shall revoke all prior designations by the same Participant, shall be in a form</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prescribed by the Committee, and will be effective only when filed by the Participant in writing with the Company during the Participant’s lifetime. If a deceased Participant has failed to designate a beneficiary, or if a beneficiary designated by the Participant fails to survive the Participant, payment of any amounts due under this Plan will be made to, and exercise of any Option or Stock Appreciation Right (to the extent</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permitted pursuant to Section 14 of this Plan) may be made by, the Participant's legal representatives, heirs and legatees. If a deceased Participant has designated a beneficiary and such beneficiary survives the Participant but dies before complete payment of all amounts due under this Plan or exercise of all exercisable Options or Stock Appreciation Rights, then such payments will be made to, and the exercise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such Options or Stock Appreciation Rights may be made by the legal representatives, heirs and legatees of the beneficiary.</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11.3 Certain Transfers of Nonqualified Stock Options Other than For Value</w:t>
      </w:r>
      <w:r>
        <w:rPr>
          <w:rFonts w:ascii="Arial" w:cs="Arial" w:eastAsia="Arial" w:hAnsi="Arial"/>
          <w:sz w:val="18"/>
          <w:szCs w:val="18"/>
          <w:color w:val="auto"/>
        </w:rPr>
        <w:t>. Upon a Participant's request, the Committee may,</w:t>
      </w:r>
      <w:r>
        <w:rPr>
          <w:rFonts w:ascii="Arial" w:cs="Arial" w:eastAsia="Arial" w:hAnsi="Arial"/>
          <w:sz w:val="18"/>
          <w:szCs w:val="18"/>
          <w:b w:val="1"/>
          <w:bCs w:val="1"/>
          <w:color w:val="auto"/>
        </w:rPr>
        <w:t xml:space="preserve"> </w:t>
      </w:r>
      <w:r>
        <w:rPr>
          <w:rFonts w:ascii="Arial" w:cs="Arial" w:eastAsia="Arial" w:hAnsi="Arial"/>
          <w:sz w:val="18"/>
          <w:szCs w:val="18"/>
          <w:color w:val="auto"/>
        </w:rPr>
        <w:t>in its sole discretion, permit a transfer of all or a portion of a Nonqualified Stock Option, other than for value, to such Participant's child,</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7"/>
          <w:szCs w:val="17"/>
          <w:color w:val="auto"/>
        </w:rPr>
        <w:t>stepchild, grandchild, parent, stepparent, grandparent, spouse, former spouse, sibling, niece, nephew, mother-in-law, father-in-law, son-in-law, daughter-in-law, brother-in-law, or sister-in-law, any person sharing such Participant's household (other than a tenant or employee), a trust in which any of the foregoing have more than fifty percent (50%) of the beneficial interests, a foundation in which any of the foregoing (or the Participant) control the management of assets, and any other entity in which these persons (or the Participant) own more than fifty percent</w:t>
      </w:r>
    </w:p>
    <w:p>
      <w:pPr>
        <w:jc w:val="both"/>
        <w:spacing w:after="0" w:line="217" w:lineRule="auto"/>
        <w:rPr>
          <w:sz w:val="20"/>
          <w:szCs w:val="20"/>
          <w:color w:val="auto"/>
        </w:rPr>
      </w:pPr>
      <w:r>
        <w:rPr>
          <w:rFonts w:ascii="Arial" w:cs="Arial" w:eastAsia="Arial" w:hAnsi="Arial"/>
          <w:sz w:val="18"/>
          <w:szCs w:val="18"/>
          <w:color w:val="auto"/>
        </w:rPr>
        <w:t>(50%) of the voting interests. Any permitted transferee will remain subject to all the terms and conditions applicable to the Participant prior to the transfer. A permitted transfer may be conditioned upon such requirements as the Committee may, in its sole discretion, determine, including execution or delivery of appropriate acknowledgements, opinion of counsel, or other documents by the transferee.</w:t>
      </w:r>
    </w:p>
    <w:p>
      <w:pPr>
        <w:spacing w:after="0" w:line="168" w:lineRule="exact"/>
        <w:rPr>
          <w:sz w:val="20"/>
          <w:szCs w:val="20"/>
          <w:color w:val="auto"/>
        </w:rPr>
      </w:pPr>
    </w:p>
    <w:p>
      <w:pPr>
        <w:jc w:val="both"/>
        <w:ind w:firstLine="640"/>
        <w:spacing w:after="0" w:line="224" w:lineRule="auto"/>
        <w:rPr>
          <w:sz w:val="20"/>
          <w:szCs w:val="20"/>
          <w:color w:val="auto"/>
        </w:rPr>
      </w:pPr>
      <w:r>
        <w:rPr>
          <w:rFonts w:ascii="Arial" w:cs="Arial" w:eastAsia="Arial" w:hAnsi="Arial"/>
          <w:sz w:val="18"/>
          <w:szCs w:val="18"/>
          <w:b w:val="1"/>
          <w:bCs w:val="1"/>
          <w:color w:val="auto"/>
        </w:rPr>
        <w:t>11.4 Restrictions on Share Transferability</w:t>
      </w:r>
      <w:r>
        <w:rPr>
          <w:rFonts w:ascii="Arial" w:cs="Arial" w:eastAsia="Arial" w:hAnsi="Arial"/>
          <w:sz w:val="18"/>
          <w:szCs w:val="18"/>
          <w:color w:val="auto"/>
        </w:rPr>
        <w:t>. The Committee may impose such restrictions on any Shares acquired by a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Plan as it may deem advisable, including minimum holding period requirements, restrictions under applicable federal securities laws, under the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26" w:name="page127"/>
    <w:bookmarkEnd w:id="126"/>
    <w:p>
      <w:pPr>
        <w:jc w:val="both"/>
        <w:spacing w:after="0" w:line="235" w:lineRule="auto"/>
        <w:rPr>
          <w:sz w:val="20"/>
          <w:szCs w:val="20"/>
          <w:color w:val="auto"/>
        </w:rPr>
      </w:pPr>
      <w:r>
        <w:rPr>
          <w:rFonts w:ascii="Arial" w:cs="Arial" w:eastAsia="Arial" w:hAnsi="Arial"/>
          <w:sz w:val="18"/>
          <w:szCs w:val="18"/>
          <w:color w:val="auto"/>
        </w:rPr>
        <w:t>of any stock exchange or market upon which such Shares are then listed or traded, or under any blue sky or state securities laws applicable to such Shares.</w:t>
      </w:r>
    </w:p>
    <w:p>
      <w:pPr>
        <w:spacing w:after="0" w:line="166"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b w:val="1"/>
          <w:bCs w:val="1"/>
          <w:color w:val="auto"/>
        </w:rPr>
        <w:t>Article 12.</w:t>
      </w:r>
      <w:r>
        <w:rPr>
          <w:sz w:val="20"/>
          <w:szCs w:val="20"/>
          <w:color w:val="auto"/>
        </w:rPr>
        <w:tab/>
      </w:r>
      <w:r>
        <w:rPr>
          <w:rFonts w:ascii="Arial" w:cs="Arial" w:eastAsia="Arial" w:hAnsi="Arial"/>
          <w:sz w:val="17"/>
          <w:szCs w:val="17"/>
          <w:b w:val="1"/>
          <w:bCs w:val="1"/>
          <w:color w:val="auto"/>
        </w:rPr>
        <w:t>Dividend Equivalents</w:t>
      </w:r>
    </w:p>
    <w:p>
      <w:pPr>
        <w:spacing w:after="0" w:line="195"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color w:val="auto"/>
        </w:rPr>
        <w:t>Subject to the provisions of this Plan and any Award Agreement, any Participant selected by the Committee may be granted Dividend Equivalents based on the dividends declared on Shares that are subject to any Award (including any deferred Award), to be credited as of dividend payment dates, during the period between the Grant Date and the date the Award is exercised, vests, settles, is paid or expires, as determined by the Committee. Such Dividend Equivalents shall be converted to cash or additional Shares by such formula and at such time and subject to such limitations as may be determined by the Committee and the Committee may provide that such amounts (if any) shall be deemed to have been reinvested in additional Shares or otherwise reinvested. Notwithstanding the foregoing, the Committee may not grant Dividend Equivalents based on the dividends declared on Shares that are subject to an Option or Stock Appreciation Right, and further, no dividend or Dividend Equivalents shall be paid out with respect to any unvested Award, including those subject to time- and/or performance-based conditions.</w:t>
      </w:r>
    </w:p>
    <w:p>
      <w:pPr>
        <w:spacing w:after="0" w:line="171"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b w:val="1"/>
          <w:bCs w:val="1"/>
          <w:color w:val="auto"/>
        </w:rPr>
        <w:t>Article 13.</w:t>
      </w:r>
      <w:r>
        <w:rPr>
          <w:sz w:val="20"/>
          <w:szCs w:val="20"/>
          <w:color w:val="auto"/>
        </w:rPr>
        <w:tab/>
      </w:r>
      <w:r>
        <w:rPr>
          <w:rFonts w:ascii="Arial" w:cs="Arial" w:eastAsia="Arial" w:hAnsi="Arial"/>
          <w:sz w:val="17"/>
          <w:szCs w:val="17"/>
          <w:b w:val="1"/>
          <w:bCs w:val="1"/>
          <w:color w:val="auto"/>
        </w:rPr>
        <w:t>Rights of Participants</w:t>
      </w:r>
    </w:p>
    <w:p>
      <w:pPr>
        <w:spacing w:after="0" w:line="17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7"/>
          <w:szCs w:val="17"/>
          <w:b w:val="1"/>
          <w:bCs w:val="1"/>
          <w:color w:val="auto"/>
        </w:rPr>
        <w:t>Employment</w:t>
      </w:r>
      <w:r>
        <w:rPr>
          <w:rFonts w:ascii="Arial" w:cs="Arial" w:eastAsia="Arial" w:hAnsi="Arial"/>
          <w:sz w:val="17"/>
          <w:szCs w:val="17"/>
          <w:color w:val="auto"/>
        </w:rPr>
        <w:t>. Nothing in this Plan or an Award Agreement shall: (a) interfere with or limit in any way the right of the Company,</w:t>
      </w:r>
    </w:p>
    <w:p>
      <w:pPr>
        <w:jc w:val="both"/>
        <w:spacing w:after="0" w:line="206" w:lineRule="auto"/>
        <w:rPr>
          <w:sz w:val="20"/>
          <w:szCs w:val="20"/>
          <w:color w:val="auto"/>
        </w:rPr>
      </w:pPr>
      <w:r>
        <w:rPr>
          <w:rFonts w:ascii="Arial" w:cs="Arial" w:eastAsia="Arial" w:hAnsi="Arial"/>
          <w:sz w:val="18"/>
          <w:szCs w:val="18"/>
          <w:color w:val="auto"/>
        </w:rPr>
        <w:t>its Affiliates or its Subsidiaries to terminate any Participant’s employment or service on the Board or to the Company or an Affiliate or Subsidiary at any time or for any reason not prohibited by Applicable Law, or (b) confer upon any Participant any right to continue the Participant’s employment or service as a Director or Third-Party Service Provider for any specified period of time. Neither an Award nor any</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benefits arising under this Plan shall constitute an employment contract with the Company or any Affiliate or Subsidiary and, accordingly, subject to Articles 3 and 14, this Plan and the benefits hereunder may be terminated at any time in the sole and exclusive discretion of the Committee without giving rise to any liability on the part of the Company, its Affiliates or its Subsidiaries.</w:t>
      </w:r>
    </w:p>
    <w:p>
      <w:pPr>
        <w:spacing w:after="0" w:line="168" w:lineRule="exact"/>
        <w:rPr>
          <w:sz w:val="20"/>
          <w:szCs w:val="20"/>
          <w:color w:val="auto"/>
        </w:rPr>
      </w:pPr>
    </w:p>
    <w:p>
      <w:pPr>
        <w:jc w:val="both"/>
        <w:ind w:right="20" w:firstLine="640"/>
        <w:spacing w:after="0" w:line="236" w:lineRule="auto"/>
        <w:rPr>
          <w:sz w:val="20"/>
          <w:szCs w:val="20"/>
          <w:color w:val="auto"/>
        </w:rPr>
      </w:pPr>
      <w:r>
        <w:rPr>
          <w:rFonts w:ascii="Arial" w:cs="Arial" w:eastAsia="Arial" w:hAnsi="Arial"/>
          <w:sz w:val="18"/>
          <w:szCs w:val="18"/>
          <w:b w:val="1"/>
          <w:bCs w:val="1"/>
          <w:color w:val="auto"/>
        </w:rPr>
        <w:t>13.2 Participation</w:t>
      </w:r>
      <w:r>
        <w:rPr>
          <w:rFonts w:ascii="Arial" w:cs="Arial" w:eastAsia="Arial" w:hAnsi="Arial"/>
          <w:sz w:val="18"/>
          <w:szCs w:val="18"/>
          <w:color w:val="auto"/>
        </w:rPr>
        <w:t>. No individual shall have the right to be selected to receive an Award under this Plan or, having been so</w:t>
      </w:r>
      <w:r>
        <w:rPr>
          <w:rFonts w:ascii="Arial" w:cs="Arial" w:eastAsia="Arial" w:hAnsi="Arial"/>
          <w:sz w:val="18"/>
          <w:szCs w:val="18"/>
          <w:b w:val="1"/>
          <w:bCs w:val="1"/>
          <w:color w:val="auto"/>
        </w:rPr>
        <w:t xml:space="preserve"> </w:t>
      </w:r>
      <w:r>
        <w:rPr>
          <w:rFonts w:ascii="Arial" w:cs="Arial" w:eastAsia="Arial" w:hAnsi="Arial"/>
          <w:sz w:val="18"/>
          <w:szCs w:val="18"/>
          <w:color w:val="auto"/>
        </w:rPr>
        <w:t>selected, to be selected to receive a future Award.</w:t>
      </w:r>
    </w:p>
    <w:p>
      <w:pPr>
        <w:spacing w:after="0" w:line="153" w:lineRule="exact"/>
        <w:rPr>
          <w:sz w:val="20"/>
          <w:szCs w:val="20"/>
          <w:color w:val="auto"/>
        </w:rPr>
      </w:pPr>
    </w:p>
    <w:p>
      <w:pPr>
        <w:jc w:val="both"/>
        <w:ind w:firstLine="640"/>
        <w:spacing w:after="0" w:line="249" w:lineRule="auto"/>
        <w:rPr>
          <w:sz w:val="20"/>
          <w:szCs w:val="20"/>
          <w:color w:val="auto"/>
        </w:rPr>
      </w:pPr>
      <w:r>
        <w:rPr>
          <w:rFonts w:ascii="Arial" w:cs="Arial" w:eastAsia="Arial" w:hAnsi="Arial"/>
          <w:sz w:val="18"/>
          <w:szCs w:val="18"/>
          <w:b w:val="1"/>
          <w:bCs w:val="1"/>
          <w:color w:val="auto"/>
        </w:rPr>
        <w:t>13.3 Rights as a Shareholder</w:t>
      </w:r>
      <w:r>
        <w:rPr>
          <w:rFonts w:ascii="Arial" w:cs="Arial" w:eastAsia="Arial" w:hAnsi="Arial"/>
          <w:sz w:val="18"/>
          <w:szCs w:val="18"/>
          <w:color w:val="auto"/>
        </w:rPr>
        <w:t>. Except as otherwise provided herein, a Participant shall have none of the rights of a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Shares covered by any Award until the Participant becomes the record holder of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27" w:name="page128"/>
    <w:bookmarkEnd w:id="127"/>
    <w:p>
      <w:pPr>
        <w:ind w:left="640"/>
        <w:spacing w:after="0"/>
        <w:tabs>
          <w:tab w:leader="none" w:pos="1840" w:val="left"/>
        </w:tabs>
        <w:rPr>
          <w:sz w:val="20"/>
          <w:szCs w:val="20"/>
          <w:color w:val="auto"/>
        </w:rPr>
      </w:pPr>
      <w:r>
        <w:rPr>
          <w:rFonts w:ascii="Arial" w:cs="Arial" w:eastAsia="Arial" w:hAnsi="Arial"/>
          <w:sz w:val="18"/>
          <w:szCs w:val="18"/>
          <w:b w:val="1"/>
          <w:bCs w:val="1"/>
          <w:color w:val="auto"/>
        </w:rPr>
        <w:t>Article 14.</w:t>
      </w:r>
      <w:r>
        <w:rPr>
          <w:sz w:val="20"/>
          <w:szCs w:val="20"/>
          <w:color w:val="auto"/>
        </w:rPr>
        <w:tab/>
      </w:r>
      <w:r>
        <w:rPr>
          <w:rFonts w:ascii="Arial" w:cs="Arial" w:eastAsia="Arial" w:hAnsi="Arial"/>
          <w:sz w:val="17"/>
          <w:szCs w:val="17"/>
          <w:b w:val="1"/>
          <w:bCs w:val="1"/>
          <w:color w:val="auto"/>
        </w:rPr>
        <w:t>Change of Control</w:t>
      </w:r>
    </w:p>
    <w:p>
      <w:pPr>
        <w:spacing w:after="0" w:line="17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7"/>
          <w:szCs w:val="17"/>
          <w:b w:val="1"/>
          <w:bCs w:val="1"/>
          <w:color w:val="auto"/>
        </w:rPr>
        <w:t>Effect of Change of Control if Outstanding Awards are Continued, Assumed or Substituted</w:t>
      </w:r>
      <w:r>
        <w:rPr>
          <w:rFonts w:ascii="Arial" w:cs="Arial" w:eastAsia="Arial" w:hAnsi="Arial"/>
          <w:sz w:val="17"/>
          <w:szCs w:val="17"/>
          <w:color w:val="auto"/>
        </w:rPr>
        <w:t>. In the event of a Change of</w:t>
      </w:r>
    </w:p>
    <w:p>
      <w:pPr>
        <w:jc w:val="both"/>
        <w:spacing w:after="0" w:line="218" w:lineRule="auto"/>
        <w:rPr>
          <w:sz w:val="20"/>
          <w:szCs w:val="20"/>
          <w:color w:val="auto"/>
        </w:rPr>
      </w:pPr>
      <w:r>
        <w:rPr>
          <w:rFonts w:ascii="Arial" w:cs="Arial" w:eastAsia="Arial" w:hAnsi="Arial"/>
          <w:sz w:val="17"/>
          <w:szCs w:val="17"/>
          <w:color w:val="auto"/>
        </w:rPr>
        <w:t>Control, the surviving or successor organization (or a parent or subsidiary thereof) (the "Successor") may continue, assume or substitute equivalent awards (with such adjustments as may be required or permitted by Section 4.3). The Successor may elect to continue, assume or substitute only some Awards or portions of Awards. A substitute equivalent award must (i) have a value at least equal to the value of the Award</w:t>
      </w:r>
    </w:p>
    <w:p>
      <w:pPr>
        <w:spacing w:after="0" w:line="1" w:lineRule="exact"/>
        <w:rPr>
          <w:sz w:val="20"/>
          <w:szCs w:val="20"/>
          <w:color w:val="auto"/>
        </w:rPr>
      </w:pPr>
    </w:p>
    <w:p>
      <w:pPr>
        <w:jc w:val="both"/>
        <w:spacing w:after="0" w:line="201" w:lineRule="auto"/>
        <w:rPr>
          <w:sz w:val="20"/>
          <w:szCs w:val="20"/>
          <w:color w:val="auto"/>
        </w:rPr>
      </w:pPr>
      <w:r>
        <w:rPr>
          <w:rFonts w:ascii="Arial" w:cs="Arial" w:eastAsia="Arial" w:hAnsi="Arial"/>
          <w:sz w:val="18"/>
          <w:szCs w:val="18"/>
          <w:color w:val="auto"/>
        </w:rPr>
        <w:t>being substituted; (ii) relate to a publicly-traded equity security of the Successor involved in the Change of Control or another entity that is affiliated with the Company or the Successor following the Change of Control; (iii) be the same type of award as the Award being substituted;</w:t>
      </w:r>
    </w:p>
    <w:p>
      <w:pPr>
        <w:jc w:val="both"/>
        <w:ind w:firstLine="7"/>
        <w:spacing w:after="0" w:line="217" w:lineRule="auto"/>
        <w:tabs>
          <w:tab w:leader="none" w:pos="30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be fully vested as a result of the Change of Control as set forth below; and (v) have other terms and conditions that are not less favorable to the Participant than the terms and conditions of the Award being substituted. If an Award is continued, assumed or substituted by the Successor, the following vesting rules shall apply to the continued, assumed or substituted Awards, in each case effective immediately prior to such Change of Control but conditioned upon the completion of such Change of Control:</w:t>
      </w:r>
    </w:p>
    <w:p>
      <w:pPr>
        <w:spacing w:after="0" w:line="169" w:lineRule="exact"/>
        <w:rPr>
          <w:rFonts w:ascii="Arial" w:cs="Arial" w:eastAsia="Arial" w:hAnsi="Arial"/>
          <w:sz w:val="18"/>
          <w:szCs w:val="18"/>
          <w:color w:val="auto"/>
        </w:rPr>
      </w:pPr>
    </w:p>
    <w:p>
      <w:pPr>
        <w:jc w:val="both"/>
        <w:ind w:left="1280" w:hanging="633"/>
        <w:spacing w:after="0" w:line="224" w:lineRule="auto"/>
        <w:tabs>
          <w:tab w:leader="none" w:pos="127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and all Options and Stock Appreciation Rights granted hereunder shall vest and become immediately exercisable and remain exercisable until the expiration of their respective full specified terms, regardless of any termination of employment or other service of the Participant.</w:t>
      </w:r>
    </w:p>
    <w:p>
      <w:pPr>
        <w:spacing w:after="0" w:line="167" w:lineRule="exact"/>
        <w:rPr>
          <w:rFonts w:ascii="Arial" w:cs="Arial" w:eastAsia="Arial" w:hAnsi="Arial"/>
          <w:sz w:val="18"/>
          <w:szCs w:val="18"/>
          <w:color w:val="auto"/>
        </w:rPr>
      </w:pPr>
    </w:p>
    <w:p>
      <w:pPr>
        <w:jc w:val="both"/>
        <w:ind w:left="1280" w:hanging="633"/>
        <w:spacing w:after="0" w:line="222" w:lineRule="auto"/>
        <w:tabs>
          <w:tab w:leader="none" w:pos="127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All restrictions and vesting requirements applicable to any Award based solely on the continued service of the Participant shall terminate and such Awards shall be settled and paid in cash or Shares as provided in the Award Agreement as soon as practicable thereafter but in any event within thirty (30) days following the date of such Change of Control, subject to the delay, if any, required under Section 20.12.</w:t>
      </w:r>
    </w:p>
    <w:p>
      <w:pPr>
        <w:spacing w:after="0" w:line="154" w:lineRule="exact"/>
        <w:rPr>
          <w:rFonts w:ascii="Arial" w:cs="Arial" w:eastAsia="Arial" w:hAnsi="Arial"/>
          <w:sz w:val="18"/>
          <w:szCs w:val="18"/>
          <w:color w:val="auto"/>
        </w:rPr>
      </w:pPr>
    </w:p>
    <w:p>
      <w:pPr>
        <w:jc w:val="both"/>
        <w:ind w:left="1280" w:hanging="633"/>
        <w:spacing w:after="0" w:line="213" w:lineRule="auto"/>
        <w:tabs>
          <w:tab w:leader="none" w:pos="1274"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All vested and earned Awards that are performance-based for which the Performance Period has been completed as of the date of such Change of Control but have not yet been paid shall be paid in cash or Shares and at such time as provided in the Award Agreement as soon as practicable thereafter but in any event within thirty (30) days following the date of such Change of Control, subject to the delay, if any, required under Section 20.12, and all performance-based Awards for which the Performance Period has not been completed as of the date of such Change of Control shall immediately vest and be earned in full, and paid out with respect to each Performance Goal based on the greater of (i) target performance; or (ii) actual performance achieved through the date of such Change of Control, in each case with the manner of payment to be made in cash or Shares as provided in the Award Agreement as soon as practicable thereafter but in any event within thirty (30) days following the date of such Change of Control, subject to the delay, if any, required under Section 20.12.</w:t>
      </w:r>
    </w:p>
    <w:p>
      <w:pPr>
        <w:spacing w:after="0" w:line="159"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 xml:space="preserve">14.2 Effect of Change of Control if Outstanding Awards are Not Continued, Assumed or Substituted or Upon a Dissolution or Liquidation. </w:t>
      </w:r>
      <w:r>
        <w:rPr>
          <w:rFonts w:ascii="Arial" w:cs="Arial" w:eastAsia="Arial" w:hAnsi="Arial"/>
          <w:sz w:val="18"/>
          <w:szCs w:val="18"/>
          <w:color w:val="auto"/>
        </w:rPr>
        <w:t>In the event of a Change of Control, any outstanding Awards that are not continued, assumed or substituted with equivalent</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awards by the Successor pursuant to Section 14.1, or in the case of a dissolution or liquidation of the Company, all Awards shall be subject to the following rules, in each case effective immediately prior to such Change of Control but conditioned upon the completion of such Change of Control:</w:t>
      </w:r>
    </w:p>
    <w:p>
      <w:pPr>
        <w:spacing w:after="0" w:line="170" w:lineRule="exact"/>
        <w:rPr>
          <w:sz w:val="20"/>
          <w:szCs w:val="20"/>
          <w:color w:val="auto"/>
        </w:rPr>
      </w:pPr>
    </w:p>
    <w:p>
      <w:pPr>
        <w:jc w:val="both"/>
        <w:ind w:left="1280" w:hanging="633"/>
        <w:spacing w:after="0" w:line="211" w:lineRule="auto"/>
        <w:tabs>
          <w:tab w:leader="none" w:pos="127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Any and all Options and Stock Appreciation Rights shall be fully vested and exercisable and the Committee shall (1) give a Participant a reasonable opportunity to exercise the Options and Stock Appreciation Rights before the transaction resulting in the Change of Control (including cashless exercise by a Participant) and (2) pay the Participant the difference between the Option Price for any Option or the Grant Price for any Stock Appreciation Right remaining outstanding as of the Change of Control and the per Share consideration provided to other similarly situated shareholders in such Change of Control;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any portion of the consideration pursuant to a Change of Control may be received by holders of Shares on a contingent or delayed basis, the Committee shall determine the fair market value per share of such consideration as of the time of the Change of Control on the basis of the Committee’s good faith estimate of the present value of the probable future payment of such consideration;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Option Price of such Option or the Grant Price of such Stock Appreciation Right exceeds the aforementioned consideration provided, then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28" w:name="page129"/>
    <w:bookmarkEnd w:id="128"/>
    <w:p>
      <w:pPr>
        <w:ind w:left="1280"/>
        <w:spacing w:after="0" w:line="218" w:lineRule="auto"/>
        <w:rPr>
          <w:sz w:val="20"/>
          <w:szCs w:val="20"/>
          <w:color w:val="auto"/>
        </w:rPr>
      </w:pPr>
      <w:r>
        <w:rPr>
          <w:rFonts w:ascii="Arial" w:cs="Arial" w:eastAsia="Arial" w:hAnsi="Arial"/>
          <w:sz w:val="18"/>
          <w:szCs w:val="18"/>
          <w:color w:val="auto"/>
        </w:rPr>
        <w:t>or Stock Appreciation Right shall be canceled and terminated without any payment. In either case, such Option or Stock Appreciation Right shall be cancelled. The exercise of any Option or Stock Appreciation Right whose exercisability is</w:t>
      </w:r>
    </w:p>
    <w:p>
      <w:pPr>
        <w:ind w:left="1280"/>
        <w:spacing w:after="0" w:line="226" w:lineRule="auto"/>
        <w:rPr>
          <w:sz w:val="20"/>
          <w:szCs w:val="20"/>
          <w:color w:val="auto"/>
        </w:rPr>
      </w:pPr>
      <w:r>
        <w:rPr>
          <w:rFonts w:ascii="Arial" w:cs="Arial" w:eastAsia="Arial" w:hAnsi="Arial"/>
          <w:sz w:val="18"/>
          <w:szCs w:val="18"/>
          <w:color w:val="auto"/>
        </w:rPr>
        <w:t>accelerated as provided in this Section 14.2 shall be conditioned upon the consummation of the Change of Control and shall be effective only immediately before such consummation.</w:t>
      </w:r>
    </w:p>
    <w:p>
      <w:pPr>
        <w:spacing w:after="0" w:line="155" w:lineRule="exact"/>
        <w:rPr>
          <w:sz w:val="20"/>
          <w:szCs w:val="20"/>
          <w:color w:val="auto"/>
        </w:rPr>
      </w:pPr>
    </w:p>
    <w:p>
      <w:pPr>
        <w:jc w:val="both"/>
        <w:ind w:left="1280" w:hanging="633"/>
        <w:spacing w:after="0" w:line="221" w:lineRule="auto"/>
        <w:tabs>
          <w:tab w:leader="none" w:pos="127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All restrictions and vesting requirements applicable to any Award based solely on the continued service of the Participant shall terminate and such Awards shall be settled and paid in cash or Shares as provided in the Award Agreement as soon as practicable thereafter but in any event within thirty (30) days following the date of such Change of Control, subject to the delay, if any, required under Section 20.12;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any such payment is to be made in Shares, the holders thereof shall receive the same consideration provided to other similarly situated shareholders in such Change of Control.</w:t>
      </w:r>
    </w:p>
    <w:p>
      <w:pPr>
        <w:spacing w:after="0" w:line="154" w:lineRule="exact"/>
        <w:rPr>
          <w:rFonts w:ascii="Arial" w:cs="Arial" w:eastAsia="Arial" w:hAnsi="Arial"/>
          <w:sz w:val="18"/>
          <w:szCs w:val="18"/>
          <w:color w:val="auto"/>
        </w:rPr>
      </w:pPr>
    </w:p>
    <w:p>
      <w:pPr>
        <w:jc w:val="both"/>
        <w:ind w:left="1280" w:hanging="633"/>
        <w:spacing w:after="0" w:line="224" w:lineRule="auto"/>
        <w:tabs>
          <w:tab w:leader="none" w:pos="1274"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All vested and earned Awards that are performance-based for which the Performance Period has been completed as of the date of such Change of Control but have not yet been paid shall be paid in cash or Shares and at such time as provided in the Award Agreement as soon as practicable thereafter but in any event within thirty (30) days following the date of such Change of Control, subject to the delay, if any, required under Section 20.12;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any such payment is to be made in Shares, the holders thereof shall receive the same consideration provided to other similarly situated shareholders in such Change of Control and all performance-based Awards for which the Performance Period has not been completed as of the date of such Change of Control shall immediately vest and be earned in full, and paid out with respect to each Performance Goal based on the greater of (i) target performance; or (ii) actual performance achieved through the date of such Change of Control, in each case with the manner of payment to be made in cash or Shares as provided in the Award Agreement as soon as practicable thereafter but in any event within thirty (30) days following the date of such Change of Control, subject to the delay, if any, required under Section 20.12;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any such payment is to be made in Shares, the holders thereof shall receive the same consideration provided to other similarly situated shareholders in such Change of Control.</w:t>
      </w:r>
    </w:p>
    <w:p>
      <w:pPr>
        <w:spacing w:after="0" w:line="157"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14.3 Limitation on Change of Control Payments</w:t>
      </w:r>
      <w:r>
        <w:rPr>
          <w:rFonts w:ascii="Arial" w:cs="Arial" w:eastAsia="Arial" w:hAnsi="Arial"/>
          <w:sz w:val="18"/>
          <w:szCs w:val="18"/>
          <w:color w:val="auto"/>
        </w:rPr>
        <w:t>. Notwithstanding anything in Section 14.1 or 14.2 to the contrary, if,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a Participant, the acceleration of the vesting of an Award as provided in Section 14.1 or 14.2 or the payment of cash in exchange for all or</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part of a Stock-Based Award as provided in Section 14.2 (which acceleration or payment could be deemed a “payment” within the meaning of Code Section 280G(b)(2)), together with any other “payments” that such Participant has the right to receive from the Company or any corporation that is a member of an “affiliated group” (as defined in Code Section 1504(a) without regard to Code Section 1504(b)) of which the</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 xml:space="preserve">Company is a member, would constitute a “parachute payment” (as defined in Code Section 280G(b)(2)), then the “payments” to such Participant pursuant to Section 14.1 or 14.2 will be reduced (or acceleration of vesting eliminated) to the largest amount as will result in no portion of such “payments” being subject to the excise tax imposed by Code Section 4999;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reduction shall be</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 xml:space="preserve">made only if the aggregate amount of the payments after such reduction exceeds the difference between (a) the amount of such payments absent such reduction minus (b) the aggregate amount of the excise tax imposed under Code Section 4999 attributable to any such excess parachute payments;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such payments will be reduced (or acceleration of vesting eliminated) in the following order: (i)</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7"/>
          <w:szCs w:val="17"/>
          <w:color w:val="auto"/>
        </w:rPr>
        <w:t>options with an Option Price above fair market value that have a positive value for purposes of Code Section 280G, (ii) pro rata among Awards that constitute deferred compensation under Code Section 409A, and (iii) finally, among the Awards that are not subject to Code Section 409A. Notwithstanding the foregoing sentence, if a Participant is subject to a separate agreement with the Company or an Affiliate or Subsidiary that expressly addresses the potential application of Code Sections 280G or 4999, then this Section 14.3 shall not apply and any “payments” to a</w:t>
      </w:r>
    </w:p>
    <w:p>
      <w:pPr>
        <w:jc w:val="both"/>
        <w:spacing w:after="0" w:line="230" w:lineRule="auto"/>
        <w:rPr>
          <w:sz w:val="20"/>
          <w:szCs w:val="20"/>
          <w:color w:val="auto"/>
        </w:rPr>
      </w:pPr>
      <w:r>
        <w:rPr>
          <w:rFonts w:ascii="Arial" w:cs="Arial" w:eastAsia="Arial" w:hAnsi="Arial"/>
          <w:sz w:val="17"/>
          <w:szCs w:val="17"/>
          <w:color w:val="auto"/>
        </w:rPr>
        <w:t>Participant pursuant to Section 14.1 or 14.2 of this Plan will be treated as “payments” arising under such separate agreement; provided such separate agreement may not modify the time or form of payments under any Award that constitutes deferred compensation under Code Section 409A if the modification would cause such Award to become subject to the adverse tax consequences specified in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29" w:name="page130"/>
    <w:bookmarkEnd w:id="129"/>
    <w:p>
      <w:pPr>
        <w:ind w:left="640"/>
        <w:spacing w:after="0"/>
        <w:tabs>
          <w:tab w:leader="none" w:pos="1840" w:val="left"/>
        </w:tabs>
        <w:rPr>
          <w:sz w:val="20"/>
          <w:szCs w:val="20"/>
          <w:color w:val="auto"/>
        </w:rPr>
      </w:pPr>
      <w:r>
        <w:rPr>
          <w:rFonts w:ascii="Arial" w:cs="Arial" w:eastAsia="Arial" w:hAnsi="Arial"/>
          <w:sz w:val="18"/>
          <w:szCs w:val="18"/>
          <w:b w:val="1"/>
          <w:bCs w:val="1"/>
          <w:color w:val="auto"/>
        </w:rPr>
        <w:t>Article 15.</w:t>
      </w:r>
      <w:r>
        <w:rPr>
          <w:sz w:val="20"/>
          <w:szCs w:val="20"/>
          <w:color w:val="auto"/>
        </w:rPr>
        <w:tab/>
      </w:r>
      <w:r>
        <w:rPr>
          <w:rFonts w:ascii="Arial" w:cs="Arial" w:eastAsia="Arial" w:hAnsi="Arial"/>
          <w:sz w:val="17"/>
          <w:szCs w:val="17"/>
          <w:b w:val="1"/>
          <w:bCs w:val="1"/>
          <w:color w:val="auto"/>
        </w:rPr>
        <w:t>Amendment and Termination</w:t>
      </w:r>
    </w:p>
    <w:p>
      <w:pPr>
        <w:spacing w:after="0" w:line="18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7"/>
          <w:szCs w:val="17"/>
          <w:b w:val="1"/>
          <w:bCs w:val="1"/>
          <w:color w:val="auto"/>
        </w:rPr>
        <w:t>Amendment and Termination of this Plan and Award Agreements; No Repricing</w:t>
      </w:r>
      <w:r>
        <w:rPr>
          <w:rFonts w:ascii="Arial" w:cs="Arial" w:eastAsia="Arial" w:hAnsi="Arial"/>
          <w:sz w:val="17"/>
          <w:szCs w:val="17"/>
          <w:color w:val="auto"/>
        </w:rPr>
        <w:t>.</w:t>
      </w:r>
    </w:p>
    <w:p>
      <w:pPr>
        <w:spacing w:after="0" w:line="195" w:lineRule="exact"/>
        <w:rPr>
          <w:sz w:val="20"/>
          <w:szCs w:val="20"/>
          <w:color w:val="auto"/>
        </w:rPr>
      </w:pPr>
    </w:p>
    <w:p>
      <w:pPr>
        <w:jc w:val="both"/>
        <w:ind w:left="1280" w:hanging="633"/>
        <w:spacing w:after="0" w:line="224" w:lineRule="auto"/>
        <w:tabs>
          <w:tab w:leader="none" w:pos="127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Subject to subparagraphs (b) and (c) of this Section 15.1 and Sections 15.3, 15.5 and 20.12, the Board may at any time terminate this Plan or an outstanding Award Agreement and the Committee may, at any time and from time to time, amend this Plan or an outstanding Award Agreement.</w:t>
      </w:r>
    </w:p>
    <w:p>
      <w:pPr>
        <w:spacing w:after="0" w:line="167" w:lineRule="exact"/>
        <w:rPr>
          <w:rFonts w:ascii="Arial" w:cs="Arial" w:eastAsia="Arial" w:hAnsi="Arial"/>
          <w:sz w:val="18"/>
          <w:szCs w:val="18"/>
          <w:color w:val="auto"/>
        </w:rPr>
      </w:pPr>
    </w:p>
    <w:p>
      <w:pPr>
        <w:jc w:val="both"/>
        <w:ind w:left="1280" w:hanging="633"/>
        <w:spacing w:after="0" w:line="213" w:lineRule="auto"/>
        <w:tabs>
          <w:tab w:leader="none" w:pos="127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Notwithstanding any other provision of this Plan other than Section 4.3, the Committee may not, without prior approval of the Company’s shareholders, seek to effect any repricing of any previously granted, “underwater” Option or Stock Appreciation Right by: (a) amending or modifying the terms of the Option or Stock Appreciation Right to lower the Option Price or Grant Price; (b) canceling the underwater Option or Stock Appreciation Right in exchange for (i) cash; (ii) replacement Options or Stock Appreciation Rights having a lower Option Price or Grant Price; or (iii) other Awards; or (c) repurchasing the underwater Options or Stock Appreciation Rights and granting new Awards under this Plan. For purposes of this Section 15.1, an Option or Stock Appreciation Right will be deemed to be “underwater” at any time when the Fair Market Value of the Common Stock is less than the Option Price of the Option or Grant Price of the Stock Appreciation Right.</w:t>
      </w:r>
    </w:p>
    <w:p>
      <w:pPr>
        <w:spacing w:after="0" w:line="158" w:lineRule="exact"/>
        <w:rPr>
          <w:rFonts w:ascii="Arial" w:cs="Arial" w:eastAsia="Arial" w:hAnsi="Arial"/>
          <w:sz w:val="18"/>
          <w:szCs w:val="18"/>
          <w:color w:val="auto"/>
        </w:rPr>
      </w:pPr>
    </w:p>
    <w:p>
      <w:pPr>
        <w:jc w:val="both"/>
        <w:ind w:left="1280" w:hanging="633"/>
        <w:spacing w:after="0" w:line="215" w:lineRule="auto"/>
        <w:tabs>
          <w:tab w:leader="none" w:pos="127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Notwithstanding the foregoing, no amendment of this Plan shall be made without approval of the Company’s shareholders (i) to increase the maximum number of Shares which may be issued pursuant to this Plan; (ii) to increase any limitation set forth in this Plan on the number of Shares which may be issued or the aggregate value of Awards which may be made, in respect of any type of Award; (iii) to change the class of individuals eligible to participate in this Plan; (iv) to reduce the minimum Option Price or the minimum Stock Appreciation Right Grant Price as set forth in Sections 6.3 and 7.3; (v) to reduce the minimum one-year vesting periods in Section 4.4; or (vi) if approval of the Company’s shareholders is otherwise required pursuant to Applicable Law.</w:t>
      </w:r>
    </w:p>
    <w:p>
      <w:pPr>
        <w:spacing w:after="0" w:line="168" w:lineRule="exact"/>
        <w:rPr>
          <w:sz w:val="20"/>
          <w:szCs w:val="20"/>
          <w:color w:val="auto"/>
        </w:rPr>
      </w:pPr>
    </w:p>
    <w:p>
      <w:pPr>
        <w:jc w:val="both"/>
        <w:ind w:firstLine="640"/>
        <w:spacing w:after="0" w:line="225" w:lineRule="auto"/>
        <w:rPr>
          <w:sz w:val="20"/>
          <w:szCs w:val="20"/>
          <w:color w:val="auto"/>
        </w:rPr>
      </w:pPr>
      <w:r>
        <w:rPr>
          <w:rFonts w:ascii="Arial" w:cs="Arial" w:eastAsia="Arial" w:hAnsi="Arial"/>
          <w:sz w:val="17"/>
          <w:szCs w:val="17"/>
          <w:b w:val="1"/>
          <w:bCs w:val="1"/>
          <w:color w:val="auto"/>
        </w:rPr>
        <w:t>15.2 Adjustment of Awards Upon the Occurrence of Certain Unusual or Nonrecurring Events</w:t>
      </w:r>
      <w:r>
        <w:rPr>
          <w:rFonts w:ascii="Arial" w:cs="Arial" w:eastAsia="Arial" w:hAnsi="Arial"/>
          <w:sz w:val="17"/>
          <w:szCs w:val="17"/>
          <w:color w:val="auto"/>
        </w:rPr>
        <w:t>. The Committee may amend or</w:t>
      </w:r>
      <w:r>
        <w:rPr>
          <w:rFonts w:ascii="Arial" w:cs="Arial" w:eastAsia="Arial" w:hAnsi="Arial"/>
          <w:sz w:val="17"/>
          <w:szCs w:val="17"/>
          <w:b w:val="1"/>
          <w:bCs w:val="1"/>
          <w:color w:val="auto"/>
        </w:rPr>
        <w:t xml:space="preserve"> </w:t>
      </w:r>
      <w:r>
        <w:rPr>
          <w:rFonts w:ascii="Arial" w:cs="Arial" w:eastAsia="Arial" w:hAnsi="Arial"/>
          <w:sz w:val="17"/>
          <w:szCs w:val="17"/>
          <w:color w:val="auto"/>
        </w:rPr>
        <w:t>modify the vesting criteria (including any Performance Goals or Performance Periods) of any outstanding Awards based in whole or in part on the financial performance of the Company (or any Subsidiary or division, business unit or other sub-unit thereof) in recognition of unusual or</w:t>
      </w:r>
    </w:p>
    <w:p>
      <w:pPr>
        <w:spacing w:after="0" w:line="2"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nonrecurring events (including the events described in Section 4.3 or 9.5) affecting the Company or the financial statements of the Company or of changes in Applicable Law or accounting principles, whenever the Committee determines that such adjustments are appropriate in order to prevent unintended dilution or enlargement of the benefits or potential benefits intended to be made available under this Plan. The</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determination of the Committee as to the foregoing adjustments, if any, shall be conclusive and binding on Participants under this Plan. By accepting an Award under this Plan, a Participant agrees to any adjustment to the Award made pursuant to this Section 15.2 without further consideration or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30" w:name="page131"/>
    <w:bookmarkEnd w:id="130"/>
    <w:p>
      <w:pPr>
        <w:ind w:left="640"/>
        <w:spacing w:after="0"/>
        <w:tabs>
          <w:tab w:leader="none" w:pos="126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7"/>
          <w:szCs w:val="17"/>
          <w:b w:val="1"/>
          <w:bCs w:val="1"/>
          <w:color w:val="auto"/>
        </w:rPr>
        <w:t>Awards Previously Granted</w:t>
      </w:r>
      <w:r>
        <w:rPr>
          <w:rFonts w:ascii="Arial" w:cs="Arial" w:eastAsia="Arial" w:hAnsi="Arial"/>
          <w:sz w:val="17"/>
          <w:szCs w:val="17"/>
          <w:color w:val="auto"/>
        </w:rPr>
        <w:t>. Notwithstanding any other provision of this Plan to the contrary, other than Section 15.2, 15.4 or</w:t>
      </w:r>
    </w:p>
    <w:p>
      <w:pPr>
        <w:spacing w:after="0" w:line="216" w:lineRule="auto"/>
        <w:rPr>
          <w:sz w:val="20"/>
          <w:szCs w:val="20"/>
          <w:color w:val="auto"/>
        </w:rPr>
      </w:pPr>
      <w:r>
        <w:rPr>
          <w:rFonts w:ascii="Arial" w:cs="Arial" w:eastAsia="Arial" w:hAnsi="Arial"/>
          <w:sz w:val="18"/>
          <w:szCs w:val="18"/>
          <w:color w:val="auto"/>
        </w:rPr>
        <w:t>20.12, no termination or amendment of this Plan or an Award Agreement shall adversely affect in any material way any Award previously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granted under this Plan, without the written consent of the Participant holding such Award.</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15.4 Amendment to Conform to Law</w:t>
      </w:r>
      <w:r>
        <w:rPr>
          <w:rFonts w:ascii="Arial" w:cs="Arial" w:eastAsia="Arial" w:hAnsi="Arial"/>
          <w:sz w:val="18"/>
          <w:szCs w:val="18"/>
          <w:color w:val="auto"/>
        </w:rPr>
        <w:t>. Notwithstanding any other provision of this Plan to the contrary, the Committee may amend</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or an Award Agreement, to take effect retroactively or otherwise, as deemed necessary or advisable for the purpose of conforming</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this Plan or an Award Agreement to any present or future law relating to plans of this or similar nature, and to the administrative regulations and rulings promulgated thereunder. By accepting an Award under this Plan, a Participant agrees to any amendment made pursuant to this Section 15.4 to any Award granted under this Plan without further consideration or action.</w:t>
      </w:r>
    </w:p>
    <w:p>
      <w:pPr>
        <w:spacing w:after="0" w:line="168"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b w:val="1"/>
          <w:bCs w:val="1"/>
          <w:color w:val="auto"/>
        </w:rPr>
        <w:t>Article 16.</w:t>
      </w:r>
      <w:r>
        <w:rPr>
          <w:sz w:val="20"/>
          <w:szCs w:val="20"/>
          <w:color w:val="auto"/>
        </w:rPr>
        <w:tab/>
      </w:r>
      <w:r>
        <w:rPr>
          <w:rFonts w:ascii="Arial" w:cs="Arial" w:eastAsia="Arial" w:hAnsi="Arial"/>
          <w:sz w:val="18"/>
          <w:szCs w:val="18"/>
          <w:b w:val="1"/>
          <w:bCs w:val="1"/>
          <w:color w:val="auto"/>
        </w:rPr>
        <w:t>Withholding</w:t>
      </w:r>
    </w:p>
    <w:p>
      <w:pPr>
        <w:spacing w:after="0" w:line="180" w:lineRule="exact"/>
        <w:rPr>
          <w:sz w:val="20"/>
          <w:szCs w:val="20"/>
          <w:color w:val="auto"/>
        </w:rPr>
      </w:pPr>
    </w:p>
    <w:p>
      <w:pPr>
        <w:jc w:val="both"/>
        <w:ind w:firstLine="640"/>
        <w:spacing w:after="0" w:line="232" w:lineRule="auto"/>
        <w:rPr>
          <w:sz w:val="20"/>
          <w:szCs w:val="20"/>
          <w:color w:val="auto"/>
        </w:rPr>
      </w:pPr>
      <w:r>
        <w:rPr>
          <w:rFonts w:ascii="Arial" w:cs="Arial" w:eastAsia="Arial" w:hAnsi="Arial"/>
          <w:sz w:val="17"/>
          <w:szCs w:val="17"/>
          <w:b w:val="1"/>
          <w:bCs w:val="1"/>
          <w:color w:val="auto"/>
        </w:rPr>
        <w:t>16.1 Tax Withholding</w:t>
      </w:r>
      <w:r>
        <w:rPr>
          <w:rFonts w:ascii="Arial" w:cs="Arial" w:eastAsia="Arial" w:hAnsi="Arial"/>
          <w:sz w:val="17"/>
          <w:szCs w:val="17"/>
          <w:color w:val="auto"/>
        </w:rPr>
        <w:t>. Subject to Section 16.2, the Company or any plan administrator of this Plan, as applicable, shall have the</w:t>
      </w:r>
      <w:r>
        <w:rPr>
          <w:rFonts w:ascii="Arial" w:cs="Arial" w:eastAsia="Arial" w:hAnsi="Arial"/>
          <w:sz w:val="17"/>
          <w:szCs w:val="17"/>
          <w:b w:val="1"/>
          <w:bCs w:val="1"/>
          <w:color w:val="auto"/>
        </w:rPr>
        <w:t xml:space="preserve"> </w:t>
      </w:r>
      <w:r>
        <w:rPr>
          <w:rFonts w:ascii="Arial" w:cs="Arial" w:eastAsia="Arial" w:hAnsi="Arial"/>
          <w:sz w:val="17"/>
          <w:szCs w:val="17"/>
          <w:color w:val="auto"/>
        </w:rPr>
        <w:t>power and the right to deduct or withhold, or require a Participant to remit to the Company, the statutory amount reasonably determined by the</w:t>
      </w:r>
    </w:p>
    <w:p>
      <w:pPr>
        <w:jc w:val="both"/>
        <w:spacing w:after="0" w:line="217" w:lineRule="auto"/>
        <w:rPr>
          <w:sz w:val="20"/>
          <w:szCs w:val="20"/>
          <w:color w:val="auto"/>
        </w:rPr>
      </w:pPr>
      <w:r>
        <w:rPr>
          <w:rFonts w:ascii="Arial" w:cs="Arial" w:eastAsia="Arial" w:hAnsi="Arial"/>
          <w:sz w:val="18"/>
          <w:szCs w:val="18"/>
          <w:color w:val="auto"/>
        </w:rPr>
        <w:t>Company or any plan administrator of this Plan, as applicable, to be required to satisfy federal, state and local taxes, domestic or foreign, required by Applicable Law to be withheld with respect to any taxable event arising as a result of this Plan, including such amounts as may be calculated based on maximum applicable rates.</w:t>
      </w:r>
    </w:p>
    <w:p>
      <w:pPr>
        <w:spacing w:after="0" w:line="168" w:lineRule="exact"/>
        <w:rPr>
          <w:sz w:val="20"/>
          <w:szCs w:val="20"/>
          <w:color w:val="auto"/>
        </w:rPr>
      </w:pPr>
    </w:p>
    <w:p>
      <w:pPr>
        <w:jc w:val="both"/>
        <w:ind w:firstLine="640"/>
        <w:spacing w:after="0" w:line="225" w:lineRule="auto"/>
        <w:rPr>
          <w:sz w:val="20"/>
          <w:szCs w:val="20"/>
          <w:color w:val="auto"/>
        </w:rPr>
      </w:pPr>
      <w:r>
        <w:rPr>
          <w:rFonts w:ascii="Arial" w:cs="Arial" w:eastAsia="Arial" w:hAnsi="Arial"/>
          <w:sz w:val="17"/>
          <w:szCs w:val="17"/>
          <w:b w:val="1"/>
          <w:bCs w:val="1"/>
          <w:color w:val="auto"/>
        </w:rPr>
        <w:t>16.2 Share Withholding</w:t>
      </w:r>
      <w:r>
        <w:rPr>
          <w:rFonts w:ascii="Arial" w:cs="Arial" w:eastAsia="Arial" w:hAnsi="Arial"/>
          <w:sz w:val="17"/>
          <w:szCs w:val="17"/>
          <w:color w:val="auto"/>
        </w:rPr>
        <w:t>. With respect to any withholding required in connection with any Stock-Based Awards granted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(collectively and individually referred to as a “Share Payment”), Participants may elect, subject to the approval of the Committee, to satisfy the withholding requirement, in whole or in part, by having the Company or any plan administrator, as applicable, withhold from the Share Payment</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a number of Shares having a Fair Market Value up to an amount of withholding based on the maximum statutory tax rates in the Participant’s applicable tax jurisdictions (unless a lesser amount of withholding is required to avoid the classification of an Award as a liability on the Company’s consolidated balance sheet or other adverse accounting treatment), calculated on the date the withholding is to be determined. All</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such elections shall be irrevocable, made in writing and signed by the Participant (including pursuant to electronic mail communications from the Participant to the email address established by the Company), and shall be subject to any restrictions or limitations that the Committee, in its sole discretion, deems appropriate.</w:t>
      </w:r>
    </w:p>
    <w:p>
      <w:pPr>
        <w:spacing w:after="0" w:line="168"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b w:val="1"/>
          <w:bCs w:val="1"/>
          <w:color w:val="auto"/>
        </w:rPr>
        <w:t>Article 17.</w:t>
      </w:r>
      <w:r>
        <w:rPr>
          <w:sz w:val="20"/>
          <w:szCs w:val="20"/>
          <w:color w:val="auto"/>
        </w:rPr>
        <w:tab/>
      </w:r>
      <w:r>
        <w:rPr>
          <w:rFonts w:ascii="Arial" w:cs="Arial" w:eastAsia="Arial" w:hAnsi="Arial"/>
          <w:sz w:val="17"/>
          <w:szCs w:val="17"/>
          <w:b w:val="1"/>
          <w:bCs w:val="1"/>
          <w:color w:val="auto"/>
        </w:rPr>
        <w:t>Forfeiture Events in the Event of Adverse Action and Under Applicable Law or Company Policy.</w:t>
      </w:r>
    </w:p>
    <w:p>
      <w:pPr>
        <w:spacing w:after="0" w:line="180"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17.1 Actions Constituting Adverse Action</w:t>
      </w:r>
      <w:r>
        <w:rPr>
          <w:rFonts w:ascii="Arial" w:cs="Arial" w:eastAsia="Arial" w:hAnsi="Arial"/>
          <w:sz w:val="18"/>
          <w:szCs w:val="18"/>
          <w:color w:val="auto"/>
        </w:rPr>
        <w:t>. Notwithstanding anything in this Plan to the contrary and in addition to the other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Committee under this Plan, including this Section 17.1, if a Participant is determined by the Committee, acting in its sole discretion, to</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have taken any action that would constitute an Adverse Action, (i) all rights of the Participant under this Plan and any agreements evidencing an Award then held by the Participant shall terminate and be forfeited without notice of any kind, and (ii) the Committee in its sole discretion may require the Participant to surrender and return to the Company all or any Shares received, or to disgorge all or any profits or any other</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economic value (however defined by the Committee) made or realized by the Participant, during the period beginning one (1) year prior to the Participant's termination of employment or other service with the Company, an Affiliate or a Subsidiary, in connection with any Awards or any Shares issued upon the exercise or settlement of any Awards. The Company may defer the exercise of any Option or Stock Appreciation</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Right, the issuance of book-entry notations or removal of restrictions on shares issued in book entry form upon the vesting of any Restricted Stock or the issuance of Shares or payment upon settlement of any Restricted Stock Unit, Performance Share, Performance Unit or Other Stock-Based Awards for a period of up to ninety (90) days in order for the Committee to make any determination as to the existence of an Adverse Action, subject to compliance with the rules under Code Sections 409A, 422 and 424, as and where applicable. Unless otherwise</w:t>
      </w:r>
    </w:p>
    <w:p>
      <w:pPr>
        <w:spacing w:after="0" w:line="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provided by the Committee in an applicable Award Agreement, this Section 17.1 shall not apply to any Participant following a Change of Control.</w:t>
      </w:r>
    </w:p>
    <w:p>
      <w:pPr>
        <w:spacing w:after="0" w:line="14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8"/>
          <w:szCs w:val="18"/>
          <w:color w:val="auto"/>
        </w:rPr>
        <w:t>Forfeiture or “Clawback” of Awards under Applicable Law or Company Policy. Awards under this Plan shall be subject to any</w:t>
      </w:r>
    </w:p>
    <w:p>
      <w:pPr>
        <w:jc w:val="both"/>
        <w:spacing w:after="0" w:line="226" w:lineRule="auto"/>
        <w:rPr>
          <w:sz w:val="20"/>
          <w:szCs w:val="20"/>
          <w:color w:val="auto"/>
        </w:rPr>
      </w:pPr>
      <w:r>
        <w:rPr>
          <w:rFonts w:ascii="Arial" w:cs="Arial" w:eastAsia="Arial" w:hAnsi="Arial"/>
          <w:sz w:val="18"/>
          <w:szCs w:val="18"/>
          <w:color w:val="auto"/>
        </w:rPr>
        <w:t>automatic forfeiture or voluntary compensation “clawback,” forfeiture or recoupment provisions under Applicable Law and any compensation “clawback,” forfeiture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recoupment policy that the Committee may adopt from time to time that is applicable by its terms to the Participant.</w:t>
      </w:r>
    </w:p>
    <w:p>
      <w:pPr>
        <w:spacing w:after="0" w:line="178"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b w:val="1"/>
          <w:bCs w:val="1"/>
          <w:color w:val="auto"/>
        </w:rPr>
        <w:t>Article 18.</w:t>
      </w:r>
      <w:r>
        <w:rPr>
          <w:sz w:val="20"/>
          <w:szCs w:val="20"/>
          <w:color w:val="auto"/>
        </w:rPr>
        <w:tab/>
      </w:r>
      <w:r>
        <w:rPr>
          <w:rFonts w:ascii="Arial" w:cs="Arial" w:eastAsia="Arial" w:hAnsi="Arial"/>
          <w:sz w:val="17"/>
          <w:szCs w:val="17"/>
          <w:b w:val="1"/>
          <w:bCs w:val="1"/>
          <w:color w:val="auto"/>
        </w:rPr>
        <w:t>Successors</w:t>
      </w:r>
    </w:p>
    <w:p>
      <w:pPr>
        <w:spacing w:after="0" w:line="209" w:lineRule="exact"/>
        <w:rPr>
          <w:sz w:val="20"/>
          <w:szCs w:val="20"/>
          <w:color w:val="auto"/>
        </w:rPr>
      </w:pPr>
    </w:p>
    <w:p>
      <w:pPr>
        <w:jc w:val="both"/>
        <w:ind w:firstLine="640"/>
        <w:spacing w:after="0" w:line="262" w:lineRule="auto"/>
        <w:rPr>
          <w:sz w:val="20"/>
          <w:szCs w:val="20"/>
          <w:color w:val="auto"/>
        </w:rPr>
      </w:pPr>
      <w:r>
        <w:rPr>
          <w:rFonts w:ascii="Arial" w:cs="Arial" w:eastAsia="Arial" w:hAnsi="Arial"/>
          <w:sz w:val="18"/>
          <w:szCs w:val="18"/>
          <w:color w:val="auto"/>
        </w:rPr>
        <w:t>All obligations of the Company under this Plan with respect to Awards granted hereunder shall be binding on any successor to the Company, whether the existence of such successor is the result of a direct or indirect purchase, merger, consolidation or otherwise, of all or substantially all of the business or assets of the Company.</w:t>
      </w:r>
    </w:p>
    <w:p>
      <w:pPr>
        <w:spacing w:after="0" w:line="161"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b w:val="1"/>
          <w:bCs w:val="1"/>
          <w:color w:val="auto"/>
        </w:rPr>
        <w:t>Article 19.</w:t>
      </w:r>
      <w:r>
        <w:rPr>
          <w:sz w:val="20"/>
          <w:szCs w:val="20"/>
          <w:color w:val="auto"/>
        </w:rPr>
        <w:tab/>
      </w:r>
      <w:r>
        <w:rPr>
          <w:rFonts w:ascii="Arial" w:cs="Arial" w:eastAsia="Arial" w:hAnsi="Arial"/>
          <w:sz w:val="17"/>
          <w:szCs w:val="17"/>
          <w:b w:val="1"/>
          <w:bCs w:val="1"/>
          <w:color w:val="auto"/>
        </w:rPr>
        <w:t>Substituted Awards</w:t>
      </w:r>
    </w:p>
    <w:p>
      <w:pPr>
        <w:spacing w:after="0" w:line="195"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The Committee may grant Awards under this Plan in substitution for stock and stock-based awards held by employees of another entity who become employees of the Company or a Subsidiary as a result of a merger or consolidation of the former employing entity with the Company or a Subsidiary or the acquisition by the Company or a Subsidiary of property or stock of the former employing corporation. The Committee may direct that the substitute Awards be granted on such terms and conditions as the Committee considers appropriate in the circumstances.</w:t>
      </w:r>
    </w:p>
    <w:p>
      <w:pPr>
        <w:spacing w:after="0" w:line="166"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b w:val="1"/>
          <w:bCs w:val="1"/>
          <w:color w:val="auto"/>
        </w:rPr>
        <w:t>Article 20.</w:t>
      </w:r>
      <w:r>
        <w:rPr>
          <w:sz w:val="20"/>
          <w:szCs w:val="20"/>
          <w:color w:val="auto"/>
        </w:rPr>
        <w:tab/>
      </w:r>
      <w:r>
        <w:rPr>
          <w:rFonts w:ascii="Arial" w:cs="Arial" w:eastAsia="Arial" w:hAnsi="Arial"/>
          <w:sz w:val="17"/>
          <w:szCs w:val="17"/>
          <w:b w:val="1"/>
          <w:bCs w:val="1"/>
          <w:color w:val="auto"/>
        </w:rPr>
        <w:t>General Provisions</w:t>
      </w:r>
    </w:p>
    <w:p>
      <w:pPr>
        <w:spacing w:after="0" w:line="17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20.1</w:t>
        <w:tab/>
        <w:t>Legend</w:t>
      </w:r>
      <w:r>
        <w:rPr>
          <w:rFonts w:ascii="Arial" w:cs="Arial" w:eastAsia="Arial" w:hAnsi="Arial"/>
          <w:sz w:val="18"/>
          <w:szCs w:val="18"/>
          <w:color w:val="auto"/>
        </w:rPr>
        <w:t>. Shares issued in book entry form or deposited with any broker with which the Company has engaged to provide</w:t>
      </w:r>
    </w:p>
    <w:p>
      <w:pPr>
        <w:jc w:val="both"/>
        <w:spacing w:after="0" w:line="226" w:lineRule="auto"/>
        <w:rPr>
          <w:sz w:val="20"/>
          <w:szCs w:val="20"/>
          <w:color w:val="auto"/>
        </w:rPr>
      </w:pPr>
      <w:r>
        <w:rPr>
          <w:rFonts w:ascii="Arial" w:cs="Arial" w:eastAsia="Arial" w:hAnsi="Arial"/>
          <w:sz w:val="18"/>
          <w:szCs w:val="18"/>
          <w:color w:val="auto"/>
        </w:rPr>
        <w:t>services for this Plan on behalf of a Participant may be made subject to any restriction, that the Committee deems appropriate to reflect any restrictions on transfer of such Shares.</w:t>
      </w:r>
    </w:p>
    <w:p>
      <w:pPr>
        <w:spacing w:after="0" w:line="1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20.2</w:t>
        <w:tab/>
        <w:t>Usage</w:t>
      </w:r>
      <w:r>
        <w:rPr>
          <w:rFonts w:ascii="Arial" w:cs="Arial" w:eastAsia="Arial" w:hAnsi="Arial"/>
          <w:sz w:val="18"/>
          <w:szCs w:val="18"/>
          <w:color w:val="auto"/>
        </w:rPr>
        <w:t>. In this Plan, except where otherwise indicated by clear contrary intention, (a) any masculine term used herein also</w:t>
      </w:r>
    </w:p>
    <w:p>
      <w:pPr>
        <w:jc w:val="both"/>
        <w:spacing w:after="0" w:line="217" w:lineRule="auto"/>
        <w:rPr>
          <w:sz w:val="20"/>
          <w:szCs w:val="20"/>
          <w:color w:val="auto"/>
        </w:rPr>
      </w:pPr>
      <w:r>
        <w:rPr>
          <w:rFonts w:ascii="Arial" w:cs="Arial" w:eastAsia="Arial" w:hAnsi="Arial"/>
          <w:sz w:val="18"/>
          <w:szCs w:val="18"/>
          <w:color w:val="auto"/>
        </w:rPr>
        <w:t>shall include the feminine, (b) the plural shall include the singular, and the singular shall include the plural, (c) “including” (and with correlative meaning “include”) means including without limiting the generality of any description preceding such term, and (d) “or” is used in the inclusive sense of “and/or”.</w:t>
      </w:r>
    </w:p>
    <w:p>
      <w:pPr>
        <w:spacing w:after="0" w:line="168" w:lineRule="exact"/>
        <w:rPr>
          <w:sz w:val="20"/>
          <w:szCs w:val="20"/>
          <w:color w:val="auto"/>
        </w:rPr>
      </w:pPr>
    </w:p>
    <w:p>
      <w:pPr>
        <w:jc w:val="both"/>
        <w:ind w:firstLine="640"/>
        <w:spacing w:after="0" w:line="224" w:lineRule="auto"/>
        <w:rPr>
          <w:sz w:val="20"/>
          <w:szCs w:val="20"/>
          <w:color w:val="auto"/>
        </w:rPr>
      </w:pPr>
      <w:r>
        <w:rPr>
          <w:rFonts w:ascii="Arial" w:cs="Arial" w:eastAsia="Arial" w:hAnsi="Arial"/>
          <w:sz w:val="18"/>
          <w:szCs w:val="18"/>
          <w:b w:val="1"/>
          <w:bCs w:val="1"/>
          <w:color w:val="auto"/>
        </w:rPr>
        <w:t>20.3 Severability</w:t>
      </w:r>
      <w:r>
        <w:rPr>
          <w:rFonts w:ascii="Arial" w:cs="Arial" w:eastAsia="Arial" w:hAnsi="Arial"/>
          <w:sz w:val="18"/>
          <w:szCs w:val="18"/>
          <w:color w:val="auto"/>
        </w:rPr>
        <w:t>. In the event any provision of this Plan shall be held illegal or invalid for any reason, the illegality or invalidity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affect the remaining parts of this Plan, and this Plan shall be construed and enforced as if the illegal or invalid provision had not been included.</w:t>
      </w:r>
    </w:p>
    <w:p>
      <w:pPr>
        <w:spacing w:after="0" w:line="168"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8"/>
          <w:szCs w:val="18"/>
          <w:b w:val="1"/>
          <w:bCs w:val="1"/>
          <w:color w:val="auto"/>
        </w:rPr>
        <w:t>20.4 Requirements of Law</w:t>
      </w:r>
      <w:r>
        <w:rPr>
          <w:rFonts w:ascii="Arial" w:cs="Arial" w:eastAsia="Arial" w:hAnsi="Arial"/>
          <w:sz w:val="18"/>
          <w:szCs w:val="18"/>
          <w:color w:val="auto"/>
        </w:rPr>
        <w:t>. The granting of Awards and the issuance of Shares under this Plan shall be subject to all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Laws and to such approvals by any governmental agencies or national securities exchanges as may be required.</w:t>
      </w:r>
    </w:p>
    <w:p>
      <w:pPr>
        <w:spacing w:after="0" w:line="151"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20.5</w:t>
      </w:r>
      <w:r>
        <w:rPr>
          <w:sz w:val="20"/>
          <w:szCs w:val="20"/>
          <w:color w:val="auto"/>
        </w:rPr>
        <w:tab/>
      </w:r>
      <w:r>
        <w:rPr>
          <w:rFonts w:ascii="Arial" w:cs="Arial" w:eastAsia="Arial" w:hAnsi="Arial"/>
          <w:sz w:val="17"/>
          <w:szCs w:val="17"/>
          <w:b w:val="1"/>
          <w:bCs w:val="1"/>
          <w:color w:val="auto"/>
        </w:rPr>
        <w:t>Delivery of Title</w:t>
      </w:r>
      <w:r>
        <w:rPr>
          <w:rFonts w:ascii="Arial" w:cs="Arial" w:eastAsia="Arial" w:hAnsi="Arial"/>
          <w:sz w:val="17"/>
          <w:szCs w:val="17"/>
          <w:color w:val="auto"/>
        </w:rPr>
        <w:t>. The Company shall have no obligation to issue or deliver evidence of title for Shares issued under this Plan</w:t>
      </w:r>
    </w:p>
    <w:p>
      <w:pPr>
        <w:spacing w:after="0"/>
        <w:rPr>
          <w:sz w:val="20"/>
          <w:szCs w:val="20"/>
          <w:color w:val="auto"/>
        </w:rPr>
      </w:pPr>
      <w:r>
        <w:rPr>
          <w:rFonts w:ascii="Arial" w:cs="Arial" w:eastAsia="Arial" w:hAnsi="Arial"/>
          <w:sz w:val="18"/>
          <w:szCs w:val="18"/>
          <w:color w:val="auto"/>
        </w:rPr>
        <w:t>prior to:</w:t>
      </w:r>
    </w:p>
    <w:p>
      <w:pPr>
        <w:spacing w:after="0" w:line="164" w:lineRule="exact"/>
        <w:rPr>
          <w:sz w:val="20"/>
          <w:szCs w:val="20"/>
          <w:color w:val="auto"/>
        </w:rPr>
      </w:pPr>
    </w:p>
    <w:p>
      <w:pPr>
        <w:ind w:left="1280" w:hanging="633"/>
        <w:spacing w:after="0"/>
        <w:tabs>
          <w:tab w:leader="none" w:pos="12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Obtaining any approvals from governmental agencies that the Company determines are necessary or advisable; and</w:t>
      </w:r>
    </w:p>
    <w:p>
      <w:pPr>
        <w:spacing w:after="0" w:line="179" w:lineRule="exact"/>
        <w:rPr>
          <w:rFonts w:ascii="Arial" w:cs="Arial" w:eastAsia="Arial" w:hAnsi="Arial"/>
          <w:sz w:val="18"/>
          <w:szCs w:val="18"/>
          <w:color w:val="auto"/>
        </w:rPr>
      </w:pPr>
    </w:p>
    <w:p>
      <w:pPr>
        <w:ind w:left="1280" w:hanging="633"/>
        <w:spacing w:after="0" w:line="246" w:lineRule="auto"/>
        <w:tabs>
          <w:tab w:leader="none" w:pos="127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Completion of any registration or other qualification of the Shares under any applicable federal, state, provincial, local, foreign or other law or ruling of any governmental body that the Company determines to be necessary or advisable.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32" w:name="page133"/>
    <w:bookmarkEnd w:id="132"/>
    <w:p>
      <w:pPr>
        <w:ind w:firstLine="640"/>
        <w:spacing w:after="0" w:line="219" w:lineRule="auto"/>
        <w:rPr>
          <w:sz w:val="20"/>
          <w:szCs w:val="20"/>
          <w:color w:val="auto"/>
        </w:rPr>
      </w:pPr>
      <w:r>
        <w:rPr>
          <w:rFonts w:ascii="Arial" w:cs="Arial" w:eastAsia="Arial" w:hAnsi="Arial"/>
          <w:sz w:val="18"/>
          <w:szCs w:val="18"/>
          <w:b w:val="1"/>
          <w:bCs w:val="1"/>
          <w:color w:val="auto"/>
        </w:rPr>
        <w:t>20.6 Inability to Obtain Authority</w:t>
      </w:r>
      <w:r>
        <w:rPr>
          <w:rFonts w:ascii="Arial" w:cs="Arial" w:eastAsia="Arial" w:hAnsi="Arial"/>
          <w:sz w:val="18"/>
          <w:szCs w:val="18"/>
          <w:color w:val="auto"/>
        </w:rPr>
        <w:t>. The inability of the Company to obtain authority from any regulatory body having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authority is deemed by the Company’s counsel to be necessary to the lawful issuance and sale of any Shares hereunder, shall relieve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Company of any liability in respect of the failure to issue or sell such Shares as to which such requisite authority shall not have been obtained.</w:t>
      </w:r>
    </w:p>
    <w:p>
      <w:pPr>
        <w:spacing w:after="0" w:line="1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20.7</w:t>
        <w:tab/>
        <w:t>Investment Representations</w:t>
      </w:r>
      <w:r>
        <w:rPr>
          <w:rFonts w:ascii="Arial" w:cs="Arial" w:eastAsia="Arial" w:hAnsi="Arial"/>
          <w:sz w:val="18"/>
          <w:szCs w:val="18"/>
          <w:color w:val="auto"/>
        </w:rPr>
        <w:t>. The Committee may require any individual receiving Shares pursuant to an Award under this</w:t>
      </w:r>
    </w:p>
    <w:p>
      <w:pPr>
        <w:spacing w:after="0" w:line="226" w:lineRule="auto"/>
        <w:rPr>
          <w:sz w:val="20"/>
          <w:szCs w:val="20"/>
          <w:color w:val="auto"/>
        </w:rPr>
      </w:pPr>
      <w:r>
        <w:rPr>
          <w:rFonts w:ascii="Arial" w:cs="Arial" w:eastAsia="Arial" w:hAnsi="Arial"/>
          <w:sz w:val="18"/>
          <w:szCs w:val="18"/>
          <w:color w:val="auto"/>
        </w:rPr>
        <w:t>Plan to represent and warrant in writing that the individual is acquiring the Shares for investment and without any present intention to sell or distribute such Shares.</w:t>
      </w:r>
    </w:p>
    <w:p>
      <w:pPr>
        <w:spacing w:after="0" w:line="1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20.8</w:t>
        <w:tab/>
        <w:t>Employees Based Outside of the United States</w:t>
      </w:r>
      <w:r>
        <w:rPr>
          <w:rFonts w:ascii="Arial" w:cs="Arial" w:eastAsia="Arial" w:hAnsi="Arial"/>
          <w:sz w:val="18"/>
          <w:szCs w:val="18"/>
          <w:color w:val="auto"/>
        </w:rPr>
        <w:t>. Notwithstanding any provision of this Plan to the contrary, in order to</w:t>
      </w:r>
    </w:p>
    <w:p>
      <w:pPr>
        <w:spacing w:after="0" w:line="201" w:lineRule="auto"/>
        <w:rPr>
          <w:sz w:val="20"/>
          <w:szCs w:val="20"/>
          <w:color w:val="auto"/>
        </w:rPr>
      </w:pPr>
      <w:r>
        <w:rPr>
          <w:rFonts w:ascii="Arial" w:cs="Arial" w:eastAsia="Arial" w:hAnsi="Arial"/>
          <w:sz w:val="18"/>
          <w:szCs w:val="18"/>
          <w:color w:val="auto"/>
        </w:rPr>
        <w:t>comply with the laws in other countries in which the Company, its Affiliates or its Subsidiaries operate or have Employees, Directors or Third-</w:t>
      </w:r>
    </w:p>
    <w:p>
      <w:pPr>
        <w:spacing w:after="0"/>
        <w:rPr>
          <w:sz w:val="20"/>
          <w:szCs w:val="20"/>
          <w:color w:val="auto"/>
        </w:rPr>
      </w:pPr>
      <w:r>
        <w:rPr>
          <w:rFonts w:ascii="Arial" w:cs="Arial" w:eastAsia="Arial" w:hAnsi="Arial"/>
          <w:sz w:val="18"/>
          <w:szCs w:val="18"/>
          <w:color w:val="auto"/>
        </w:rPr>
        <w:t>Party Service Providers, the Committee, in its sole discretion, shall have the power and authority to:</w:t>
      </w:r>
    </w:p>
    <w:p>
      <w:pPr>
        <w:spacing w:after="0" w:line="164" w:lineRule="exact"/>
        <w:rPr>
          <w:sz w:val="20"/>
          <w:szCs w:val="20"/>
          <w:color w:val="auto"/>
        </w:rPr>
      </w:pPr>
    </w:p>
    <w:p>
      <w:pPr>
        <w:ind w:left="1280" w:hanging="633"/>
        <w:spacing w:after="0"/>
        <w:tabs>
          <w:tab w:leader="none" w:pos="12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Determine which Affiliates and Subsidiaries shall be covered by this Plan;</w:t>
      </w:r>
    </w:p>
    <w:p>
      <w:pPr>
        <w:spacing w:after="0" w:line="193" w:lineRule="exact"/>
        <w:rPr>
          <w:rFonts w:ascii="Arial" w:cs="Arial" w:eastAsia="Arial" w:hAnsi="Arial"/>
          <w:sz w:val="18"/>
          <w:szCs w:val="18"/>
          <w:color w:val="auto"/>
        </w:rPr>
      </w:pPr>
    </w:p>
    <w:p>
      <w:pPr>
        <w:ind w:left="1280" w:right="20" w:hanging="633"/>
        <w:spacing w:after="0" w:line="235" w:lineRule="auto"/>
        <w:tabs>
          <w:tab w:leader="none" w:pos="127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Determine which Employees, Directors or Third-Party Service Providers outside the United States are eligible to participate in this Plan;</w:t>
      </w:r>
    </w:p>
    <w:p>
      <w:pPr>
        <w:spacing w:after="0" w:line="155" w:lineRule="exact"/>
        <w:rPr>
          <w:rFonts w:ascii="Arial" w:cs="Arial" w:eastAsia="Arial" w:hAnsi="Arial"/>
          <w:sz w:val="18"/>
          <w:szCs w:val="18"/>
          <w:color w:val="auto"/>
        </w:rPr>
      </w:pPr>
    </w:p>
    <w:p>
      <w:pPr>
        <w:ind w:left="1280" w:hanging="633"/>
        <w:spacing w:after="0" w:line="246" w:lineRule="auto"/>
        <w:tabs>
          <w:tab w:leader="none" w:pos="127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Modify the terms and conditions of any Award granted to Employees, Directors or Third-Party Service Providers outside the United States to comply with applicable foreign laws;</w:t>
      </w:r>
    </w:p>
    <w:p>
      <w:pPr>
        <w:spacing w:after="0" w:line="149" w:lineRule="exact"/>
        <w:rPr>
          <w:rFonts w:ascii="Arial" w:cs="Arial" w:eastAsia="Arial" w:hAnsi="Arial"/>
          <w:sz w:val="18"/>
          <w:szCs w:val="18"/>
          <w:color w:val="auto"/>
        </w:rPr>
      </w:pPr>
    </w:p>
    <w:p>
      <w:pPr>
        <w:jc w:val="both"/>
        <w:ind w:left="1280" w:hanging="633"/>
        <w:spacing w:after="0" w:line="229" w:lineRule="auto"/>
        <w:tabs>
          <w:tab w:leader="none" w:pos="127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Establish subplans and modify exercise procedures and other terms and procedures, to the extent such actions may be necessary or advisable. Any subplans and modifications to Plan terms and procedures established under this Section 20.8 by the Committee shall be attached to this Plan document as appendices;</w:t>
      </w:r>
    </w:p>
    <w:p>
      <w:pPr>
        <w:spacing w:after="0" w:line="154" w:lineRule="exact"/>
        <w:rPr>
          <w:rFonts w:ascii="Arial" w:cs="Arial" w:eastAsia="Arial" w:hAnsi="Arial"/>
          <w:sz w:val="18"/>
          <w:szCs w:val="18"/>
          <w:color w:val="auto"/>
        </w:rPr>
      </w:pPr>
    </w:p>
    <w:p>
      <w:pPr>
        <w:ind w:left="1280" w:right="20" w:hanging="633"/>
        <w:spacing w:after="0" w:line="235" w:lineRule="auto"/>
        <w:tabs>
          <w:tab w:leader="none" w:pos="127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it deems advisable to obtain approval or comply with any necessary local government regulatory exemptions or approvals; and</w:t>
      </w:r>
    </w:p>
    <w:p>
      <w:pPr>
        <w:spacing w:after="0" w:line="168" w:lineRule="exact"/>
        <w:rPr>
          <w:rFonts w:ascii="Arial" w:cs="Arial" w:eastAsia="Arial" w:hAnsi="Arial"/>
          <w:sz w:val="18"/>
          <w:szCs w:val="18"/>
          <w:color w:val="auto"/>
        </w:rPr>
      </w:pPr>
    </w:p>
    <w:p>
      <w:pPr>
        <w:jc w:val="both"/>
        <w:ind w:left="1280" w:hanging="633"/>
        <w:spacing w:after="0" w:line="224" w:lineRule="auto"/>
        <w:tabs>
          <w:tab w:leader="none" w:pos="127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Provide for a longer term for Nonqualified Stock Options and Stock Appreciation Rights granted to Participants outside the United States to accommodate regulations in non-U.S. jurisdictions that require a minimum exercise or vesting period following a participant’s death.</w:t>
      </w:r>
    </w:p>
    <w:p>
      <w:pPr>
        <w:spacing w:after="0" w:line="181"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Notwithstanding the above, the Committee may not take any actions hereunder, and no Awards shall be granted, that would violate Applicable Law. The Committee will have no authority, however, to take action pursuant to this Section 20.8: (i) to reserve shares or grant Awards in excess of the limitations provided in Section 4.1; (ii) in violation of Section 15.1(b); (iii) to grant Options or Stock Appreciation Rights having an Option Price or Grant Price in violation of Section 6.3 or 7.3, as the case may be; or (iv) for which approval of the Company’s shareholders would then be required pursuant to Code Section 422 or the rules of the New York Stock Exchange (or other applicable exchange or market on which the Company’s Shares may be traded or quoted).</w:t>
      </w:r>
    </w:p>
    <w:p>
      <w:pPr>
        <w:spacing w:after="0" w:line="170"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8"/>
          <w:szCs w:val="18"/>
          <w:b w:val="1"/>
          <w:bCs w:val="1"/>
          <w:color w:val="auto"/>
        </w:rPr>
        <w:t>20.9 Unfunded Plan</w:t>
      </w:r>
      <w:r>
        <w:rPr>
          <w:rFonts w:ascii="Arial" w:cs="Arial" w:eastAsia="Arial" w:hAnsi="Arial"/>
          <w:sz w:val="18"/>
          <w:szCs w:val="18"/>
          <w:color w:val="auto"/>
        </w:rPr>
        <w:t>. The Plan shall be unfunded. Neither the Company, the Board nor the Committee shall be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 any special or separate fund or to segregate any assets to assure the performance of its obligations under the Plan.</w:t>
      </w:r>
    </w:p>
    <w:p>
      <w:pPr>
        <w:spacing w:after="0" w:line="151"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20.10</w:t>
      </w:r>
      <w:r>
        <w:rPr>
          <w:sz w:val="20"/>
          <w:szCs w:val="20"/>
          <w:color w:val="auto"/>
        </w:rPr>
        <w:tab/>
      </w:r>
      <w:r>
        <w:rPr>
          <w:rFonts w:ascii="Arial" w:cs="Arial" w:eastAsia="Arial" w:hAnsi="Arial"/>
          <w:sz w:val="17"/>
          <w:szCs w:val="17"/>
          <w:b w:val="1"/>
          <w:bCs w:val="1"/>
          <w:color w:val="auto"/>
        </w:rPr>
        <w:t>Fractional Shares</w:t>
      </w:r>
      <w:r>
        <w:rPr>
          <w:rFonts w:ascii="Arial" w:cs="Arial" w:eastAsia="Arial" w:hAnsi="Arial"/>
          <w:sz w:val="17"/>
          <w:szCs w:val="17"/>
          <w:color w:val="auto"/>
        </w:rPr>
        <w:t>. The Company may issue or deliver fractional Shares pursuant to this Plan or any Award. If the Committee</w:t>
      </w:r>
    </w:p>
    <w:p>
      <w:pPr>
        <w:jc w:val="both"/>
        <w:spacing w:after="0" w:line="217" w:lineRule="auto"/>
        <w:rPr>
          <w:sz w:val="20"/>
          <w:szCs w:val="20"/>
          <w:color w:val="auto"/>
        </w:rPr>
      </w:pPr>
      <w:r>
        <w:rPr>
          <w:rFonts w:ascii="Arial" w:cs="Arial" w:eastAsia="Arial" w:hAnsi="Arial"/>
          <w:sz w:val="18"/>
          <w:szCs w:val="18"/>
          <w:color w:val="auto"/>
        </w:rPr>
        <w:t>in its sole discretion decides not to issue or deliver fractional shares, then the Committee shall determine whether cash, Awards or other property shall be issued or paid in lieu of fractional Shares or whether such fractional Shares or any rights thereto shall be forfeited or otherwise eliminated.</w:t>
      </w:r>
    </w:p>
    <w:p>
      <w:pPr>
        <w:spacing w:after="0" w:line="168" w:lineRule="exact"/>
        <w:rPr>
          <w:sz w:val="20"/>
          <w:szCs w:val="20"/>
          <w:color w:val="auto"/>
        </w:rPr>
      </w:pPr>
    </w:p>
    <w:p>
      <w:pPr>
        <w:jc w:val="both"/>
        <w:ind w:firstLine="640"/>
        <w:spacing w:after="0" w:line="224" w:lineRule="auto"/>
        <w:rPr>
          <w:sz w:val="20"/>
          <w:szCs w:val="20"/>
          <w:color w:val="auto"/>
        </w:rPr>
      </w:pPr>
      <w:r>
        <w:rPr>
          <w:rFonts w:ascii="Arial" w:cs="Arial" w:eastAsia="Arial" w:hAnsi="Arial"/>
          <w:sz w:val="18"/>
          <w:szCs w:val="18"/>
          <w:b w:val="1"/>
          <w:bCs w:val="1"/>
          <w:color w:val="auto"/>
        </w:rPr>
        <w:t>20.11 Retirement and Welfare Plans</w:t>
      </w:r>
      <w:r>
        <w:rPr>
          <w:rFonts w:ascii="Arial" w:cs="Arial" w:eastAsia="Arial" w:hAnsi="Arial"/>
          <w:sz w:val="18"/>
          <w:szCs w:val="18"/>
          <w:color w:val="auto"/>
        </w:rPr>
        <w:t>. Neither Awards made under this Plan nor Shares or cash paid pursuant to such Awards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included as “compensation” for purposes of computing the benefits payable to any Participant under the Company’s or any Subsidiary’s or Affiliate’s retirement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33" w:name="page134"/>
    <w:bookmarkEnd w:id="133"/>
    <w:p>
      <w:pPr>
        <w:spacing w:after="0" w:line="235" w:lineRule="auto"/>
        <w:rPr>
          <w:sz w:val="20"/>
          <w:szCs w:val="20"/>
          <w:color w:val="auto"/>
        </w:rPr>
      </w:pPr>
      <w:r>
        <w:rPr>
          <w:rFonts w:ascii="Arial" w:cs="Arial" w:eastAsia="Arial" w:hAnsi="Arial"/>
          <w:sz w:val="18"/>
          <w:szCs w:val="18"/>
          <w:color w:val="auto"/>
        </w:rPr>
        <w:t>(both qualified and nonqualified) or welfare benefit plans unless such other plan expressly provides that such compensation shall be taken into account in computing a Participant’s benefit.</w:t>
      </w:r>
    </w:p>
    <w:p>
      <w:pPr>
        <w:spacing w:after="0" w:line="16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20.12</w:t>
      </w:r>
      <w:r>
        <w:rPr>
          <w:sz w:val="20"/>
          <w:szCs w:val="20"/>
          <w:color w:val="auto"/>
        </w:rPr>
        <w:tab/>
      </w:r>
      <w:r>
        <w:rPr>
          <w:rFonts w:ascii="Arial" w:cs="Arial" w:eastAsia="Arial" w:hAnsi="Arial"/>
          <w:sz w:val="17"/>
          <w:szCs w:val="17"/>
          <w:b w:val="1"/>
          <w:bCs w:val="1"/>
          <w:color w:val="auto"/>
        </w:rPr>
        <w:t>Deferred Compensation</w:t>
      </w:r>
      <w:r>
        <w:rPr>
          <w:rFonts w:ascii="Arial" w:cs="Arial" w:eastAsia="Arial" w:hAnsi="Arial"/>
          <w:sz w:val="17"/>
          <w:szCs w:val="17"/>
          <w:color w:val="auto"/>
        </w:rPr>
        <w:t>.</w:t>
      </w:r>
    </w:p>
    <w:p>
      <w:pPr>
        <w:spacing w:after="0" w:line="182" w:lineRule="exact"/>
        <w:rPr>
          <w:sz w:val="20"/>
          <w:szCs w:val="20"/>
          <w:color w:val="auto"/>
        </w:rPr>
      </w:pPr>
    </w:p>
    <w:p>
      <w:pPr>
        <w:jc w:val="both"/>
        <w:ind w:left="1280" w:hanging="633"/>
        <w:spacing w:after="0" w:line="217" w:lineRule="auto"/>
        <w:tabs>
          <w:tab w:leader="none" w:pos="127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Committee may grant Awards under this Plan that provide for the deferral of compensation within the meaning of Code Section 409A. If an Award is not by its terms exempt from the requirements of Code Section 409A, then the applicable Award Agreement shall contain terms and conditions necessary to avoid the adverse tax consequences specified in Code Section 409A. It is intended that such Awards comply with the requirements of Code Section 409A so that amounts deferred thereunder are not includible in income and are not subject to an additional tax of twenty percent (20%) at the time the deferred amounts are no longer subject to a substantial risk of forfeiture.</w:t>
      </w:r>
    </w:p>
    <w:p>
      <w:pPr>
        <w:spacing w:after="0" w:line="158" w:lineRule="exact"/>
        <w:rPr>
          <w:rFonts w:ascii="Arial" w:cs="Arial" w:eastAsia="Arial" w:hAnsi="Arial"/>
          <w:sz w:val="18"/>
          <w:szCs w:val="18"/>
          <w:color w:val="auto"/>
        </w:rPr>
      </w:pPr>
    </w:p>
    <w:p>
      <w:pPr>
        <w:jc w:val="both"/>
        <w:ind w:left="1280" w:hanging="633"/>
        <w:spacing w:after="0" w:line="215" w:lineRule="auto"/>
        <w:tabs>
          <w:tab w:leader="none" w:pos="127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Notwithstanding any provision of this Plan or Award Agreement to the contrary, if one or more of the payments or benefits to be received by a Participant pursuant to an Award would constitute deferred compensation subject to Code Section 409A and would cause the Participant to incur any penalty tax or interest under Code Section 409A or any regulations or Treasury guidance promulgated thereunder, the Committee may unilaterally reform this Plan and any Award Agreement to comply with the requirements of Code Section 409A and to the extent practicable maintain the original intent of this Plan and Award Agreement. By accepting an Award under this Plan, a Participant agrees to any amendments to the Award made pursuant to this Section 20.12(b) without further consideration or action.</w:t>
      </w:r>
    </w:p>
    <w:p>
      <w:pPr>
        <w:spacing w:after="0" w:line="156" w:lineRule="exact"/>
        <w:rPr>
          <w:rFonts w:ascii="Arial" w:cs="Arial" w:eastAsia="Arial" w:hAnsi="Arial"/>
          <w:sz w:val="18"/>
          <w:szCs w:val="18"/>
          <w:color w:val="auto"/>
        </w:rPr>
      </w:pPr>
    </w:p>
    <w:p>
      <w:pPr>
        <w:ind w:left="1280" w:hanging="633"/>
        <w:spacing w:after="0" w:line="212" w:lineRule="auto"/>
        <w:tabs>
          <w:tab w:leader="none" w:pos="107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With respect to an Award that constitutes a deferral of compensation subject to Code Section 409A: (i) if any amount is payable under such Award upon a termination of service, a termination of service will be treated as having occurred only at such time the Participant has experienced a “separation from service” as such term is defined for purposes of Code Section 409A; (ii) if any amount is payable under such Award upon a disability, a disability will be treated as having occurred only at such time the Participant has experienced a “disability” as such term is defined for purposes of Code Section 409A; (iii) if any amount is payable under such Award on account of the occurrence of a Change of Control, a Change of Control will be treated as having occurred only at such time a “change in the ownership or effective control of the corporation or in the ownership of a substantial portion of the assets of the corporation” as such terms are defined for purposes of Code Section 409A, and (iv) if any amount becomes payable under such Award on account of a Participant’s separation from service at such time as the Participant is a “specified employee” within the meaning of Code Section 409A, then no payment shall be made, except as permitted under Code Section 409A, prior to the first business day after the earlier of (y) the date that is six months after the date of the Participant’s separation from service or (z) the Participant’s death.</w:t>
      </w:r>
    </w:p>
    <w:p>
      <w:pPr>
        <w:spacing w:after="0" w:line="15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20.13</w:t>
      </w:r>
      <w:r>
        <w:rPr>
          <w:sz w:val="20"/>
          <w:szCs w:val="20"/>
          <w:color w:val="auto"/>
        </w:rPr>
        <w:tab/>
      </w:r>
      <w:r>
        <w:rPr>
          <w:rFonts w:ascii="Arial" w:cs="Arial" w:eastAsia="Arial" w:hAnsi="Arial"/>
          <w:sz w:val="17"/>
          <w:szCs w:val="17"/>
          <w:b w:val="1"/>
          <w:bCs w:val="1"/>
          <w:color w:val="auto"/>
        </w:rPr>
        <w:t>Data Privacy</w:t>
      </w:r>
      <w:r>
        <w:rPr>
          <w:rFonts w:ascii="Arial" w:cs="Arial" w:eastAsia="Arial" w:hAnsi="Arial"/>
          <w:sz w:val="17"/>
          <w:szCs w:val="17"/>
          <w:color w:val="auto"/>
        </w:rPr>
        <w:t>. As a condition of receipt of any Award, each Participant explicitly and unambiguously consents to the collection,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use, and transfer, in electronic or other form, of personal data as described in this Section 20.13 by and among, as applicable, the Company</w:t>
      </w:r>
    </w:p>
    <w:p>
      <w:pPr>
        <w:jc w:val="both"/>
        <w:spacing w:after="0" w:line="218" w:lineRule="auto"/>
        <w:rPr>
          <w:sz w:val="20"/>
          <w:szCs w:val="20"/>
          <w:color w:val="auto"/>
        </w:rPr>
      </w:pPr>
      <w:r>
        <w:rPr>
          <w:rFonts w:ascii="Arial" w:cs="Arial" w:eastAsia="Arial" w:hAnsi="Arial"/>
          <w:sz w:val="17"/>
          <w:szCs w:val="17"/>
          <w:color w:val="auto"/>
        </w:rPr>
        <w:t>and its Affiliates and Subsidiaries for the exclusive purpose of implementing, administering, and managing this Plan and Awards and such Participant’s participation in this Plan. In furtherance of such implementation, administration, and management, the Company and its Affiliates and Subsidiaries may hold certain personal information about a Participant, including, but not limited to, the Participant’s name, home address,</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7"/>
          <w:szCs w:val="17"/>
          <w:color w:val="auto"/>
        </w:rPr>
        <w:t>telephone number, date of birth, social security or insurance number or other identification number, salary, nationality, job title(s), information regarding any securities of the Company or any of its Affiliates and Subsidiaries, and details of all Awards (the “Data”). In addition to transferring the Data amongst themselves as necessary for the purpose of implementation, administration, and management of this Plan and Awards and the Participant’s participation in this Plan, the Company and its Affiliates and Subsidiaries may each transfer the Data to any third</w:t>
      </w:r>
    </w:p>
    <w:p>
      <w:pPr>
        <w:jc w:val="both"/>
        <w:spacing w:after="0" w:line="206" w:lineRule="auto"/>
        <w:rPr>
          <w:sz w:val="20"/>
          <w:szCs w:val="20"/>
          <w:color w:val="auto"/>
        </w:rPr>
      </w:pPr>
      <w:r>
        <w:rPr>
          <w:rFonts w:ascii="Arial" w:cs="Arial" w:eastAsia="Arial" w:hAnsi="Arial"/>
          <w:sz w:val="18"/>
          <w:szCs w:val="18"/>
          <w:color w:val="auto"/>
        </w:rPr>
        <w:t>parties assisting the Company in the implementation, administration, and management of this Plan and Awards and such Participant’s participation in this Plan. Recipients of the Data may be located in the Participant’s country or elsewhere, and the Participant’s country and any given recipient’s country may have different data privacy laws and protections. By accepting an Award, each Participant authorizes such</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recipients to receive, possess, use, retain, and transfer the Data, in electronic or other form, for the purposes of assisting the Company in the implementation, administration, and management of this Plan and Awards and such Participant’s participation in this Plan, including any requisite transfer of such Data as may be required to a broker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34" w:name="page135"/>
    <w:bookmarkEnd w:id="134"/>
    <w:p>
      <w:pPr>
        <w:jc w:val="both"/>
        <w:spacing w:after="0" w:line="218" w:lineRule="auto"/>
        <w:rPr>
          <w:sz w:val="20"/>
          <w:szCs w:val="20"/>
          <w:color w:val="auto"/>
        </w:rPr>
      </w:pPr>
      <w:r>
        <w:rPr>
          <w:rFonts w:ascii="Arial" w:cs="Arial" w:eastAsia="Arial" w:hAnsi="Arial"/>
          <w:sz w:val="18"/>
          <w:szCs w:val="18"/>
          <w:color w:val="auto"/>
        </w:rPr>
        <w:t>other third party with whom the Company or the Participant may elect to deposit any Shares. The Data related to a Participant will be held only as long as is necessary to implement, administer, and manage this Plan and Awards and the Participant’s participation in this Plan. A</w:t>
      </w:r>
    </w:p>
    <w:p>
      <w:pPr>
        <w:jc w:val="both"/>
        <w:spacing w:after="0" w:line="206" w:lineRule="auto"/>
        <w:rPr>
          <w:sz w:val="20"/>
          <w:szCs w:val="20"/>
          <w:color w:val="auto"/>
        </w:rPr>
      </w:pPr>
      <w:r>
        <w:rPr>
          <w:rFonts w:ascii="Arial" w:cs="Arial" w:eastAsia="Arial" w:hAnsi="Arial"/>
          <w:sz w:val="18"/>
          <w:szCs w:val="18"/>
          <w:color w:val="auto"/>
        </w:rPr>
        <w:t>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representative. However, if a Participant refuses or withdraws the consents described herein, the Company may cancel the Participant’s eligibility to participate in this Plan, and in the Committee’s sole discretion, the Participant may forfeit any outstanding Awards. For more information on the consequences of refusal to consent or withdrawal of consent, Participants may contact their local human resources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representative</w:t>
      </w:r>
    </w:p>
    <w:p>
      <w:pPr>
        <w:spacing w:after="0" w:line="162"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8"/>
          <w:szCs w:val="18"/>
          <w:b w:val="1"/>
          <w:bCs w:val="1"/>
          <w:color w:val="auto"/>
        </w:rPr>
        <w:t>20.14 Nonexclusivity of this Plan</w:t>
      </w:r>
      <w:r>
        <w:rPr>
          <w:rFonts w:ascii="Arial" w:cs="Arial" w:eastAsia="Arial" w:hAnsi="Arial"/>
          <w:sz w:val="18"/>
          <w:szCs w:val="18"/>
          <w:color w:val="auto"/>
        </w:rPr>
        <w:t>. The adoption of this Plan shall not be construed as creating any limitations on the power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or Committee to adopt such other compensation arrangements as it may deem desirable for any Participant.</w:t>
      </w:r>
    </w:p>
    <w:p>
      <w:pPr>
        <w:spacing w:after="0" w:line="167" w:lineRule="exact"/>
        <w:rPr>
          <w:sz w:val="20"/>
          <w:szCs w:val="20"/>
          <w:color w:val="auto"/>
        </w:rPr>
      </w:pPr>
    </w:p>
    <w:p>
      <w:pPr>
        <w:jc w:val="both"/>
        <w:ind w:firstLine="640"/>
        <w:spacing w:after="0" w:line="213" w:lineRule="auto"/>
        <w:rPr>
          <w:sz w:val="20"/>
          <w:szCs w:val="20"/>
          <w:color w:val="auto"/>
        </w:rPr>
      </w:pPr>
      <w:r>
        <w:rPr>
          <w:rFonts w:ascii="Arial" w:cs="Arial" w:eastAsia="Arial" w:hAnsi="Arial"/>
          <w:sz w:val="18"/>
          <w:szCs w:val="18"/>
          <w:b w:val="1"/>
          <w:bCs w:val="1"/>
          <w:color w:val="auto"/>
        </w:rPr>
        <w:t>20.15 Effect on Existing Agreements</w:t>
      </w:r>
      <w:r>
        <w:rPr>
          <w:rFonts w:ascii="Arial" w:cs="Arial" w:eastAsia="Arial" w:hAnsi="Arial"/>
          <w:sz w:val="18"/>
          <w:szCs w:val="18"/>
          <w:color w:val="auto"/>
        </w:rPr>
        <w:t>. Nothing in this Plan is intended to abrogate the rights of any Participant under any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or agreement existing between the Participant and the Company or any Subsidiary, or any subsequent amendments or modifications of such contract or agreement, and all Awards granted under this Plan and actions taken with respect to this Plan shall be subject to the terms of 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contract or agreement between the Participant and the Company.</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20.16 No Constraint on Corporate Action</w:t>
      </w:r>
      <w:r>
        <w:rPr>
          <w:rFonts w:ascii="Arial" w:cs="Arial" w:eastAsia="Arial" w:hAnsi="Arial"/>
          <w:sz w:val="18"/>
          <w:szCs w:val="18"/>
          <w:color w:val="auto"/>
        </w:rPr>
        <w:t>. Nothing in this Plan shall be construed to: (a) limit, impair or otherwise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or a Subsidiary’s or an Affiliate’s right or power to make adjustments, reclassifications, reorganizations or changes of its capital or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business structure, or to merge or consolidate or dissolve, liquidate, sell or transfer all or any part of its business or assets; or (b) limit the right or power of the Company or a Subsidiary or an Affiliate to take any action which such entity deems to be necessary or appropriate.</w:t>
      </w:r>
    </w:p>
    <w:p>
      <w:pPr>
        <w:spacing w:after="0" w:line="1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20.17</w:t>
        <w:tab/>
        <w:t>Governing Law; Venue</w:t>
      </w:r>
      <w:r>
        <w:rPr>
          <w:rFonts w:ascii="Arial" w:cs="Arial" w:eastAsia="Arial" w:hAnsi="Arial"/>
          <w:sz w:val="18"/>
          <w:szCs w:val="18"/>
          <w:color w:val="auto"/>
        </w:rPr>
        <w:t>. This Plan and each Award Agreement shall be governed by the laws of the State of Delaware,</w:t>
      </w:r>
    </w:p>
    <w:p>
      <w:pPr>
        <w:jc w:val="both"/>
        <w:spacing w:after="0" w:line="218" w:lineRule="auto"/>
        <w:rPr>
          <w:sz w:val="20"/>
          <w:szCs w:val="20"/>
          <w:color w:val="auto"/>
        </w:rPr>
      </w:pPr>
      <w:r>
        <w:rPr>
          <w:rFonts w:ascii="Arial" w:cs="Arial" w:eastAsia="Arial" w:hAnsi="Arial"/>
          <w:sz w:val="17"/>
          <w:szCs w:val="17"/>
          <w:color w:val="auto"/>
        </w:rPr>
        <w:t>excluding any conflicts or choice of law rule or principle that might otherwise refer construction or interpretation of this Plan to the substantive law of another jurisdiction. Unless otherwise provided in the Award Agreement, recipients of an Award under this Plan are deemed to submit to the exclusive jurisdiction and venue of the federal or state courts of Delaware to resolve any and all issues that may arise out of or relate to this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Plan or any related Award Agreement.</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20.18 Delivery and Execution of Electronic Documents</w:t>
      </w:r>
      <w:r>
        <w:rPr>
          <w:rFonts w:ascii="Arial" w:cs="Arial" w:eastAsia="Arial" w:hAnsi="Arial"/>
          <w:sz w:val="18"/>
          <w:szCs w:val="18"/>
          <w:color w:val="auto"/>
        </w:rPr>
        <w:t>. To the extent permitted by Applicable Law, the Company may: (a) deliver</w:t>
      </w:r>
      <w:r>
        <w:rPr>
          <w:rFonts w:ascii="Arial" w:cs="Arial" w:eastAsia="Arial" w:hAnsi="Arial"/>
          <w:sz w:val="18"/>
          <w:szCs w:val="18"/>
          <w:b w:val="1"/>
          <w:bCs w:val="1"/>
          <w:color w:val="auto"/>
        </w:rPr>
        <w:t xml:space="preserve"> </w:t>
      </w:r>
      <w:r>
        <w:rPr>
          <w:rFonts w:ascii="Arial" w:cs="Arial" w:eastAsia="Arial" w:hAnsi="Arial"/>
          <w:sz w:val="18"/>
          <w:szCs w:val="18"/>
          <w:color w:val="auto"/>
        </w:rPr>
        <w:t>by email or other electronic means (including posting on a Web site maintained by the Company or by a third party under contract with the</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Company) all documents relating to this Plan or any Award thereunder (including prospectuses required by the Securities and Exchange Commission) and all other documents that the Company is required to deliver to its security holders (including annual reports and proxy statements), and (b) permit Participants to electronically execute applicable Plan documents (including Award Agreements and notices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Option exercises) in a manner prescribed by the Committee.</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 xml:space="preserve">20.19 Corporate Action Constituting Grant of Awards. </w:t>
      </w:r>
      <w:r>
        <w:rPr>
          <w:rFonts w:ascii="Arial" w:cs="Arial" w:eastAsia="Arial" w:hAnsi="Arial"/>
          <w:sz w:val="18"/>
          <w:szCs w:val="18"/>
          <w:color w:val="auto"/>
        </w:rPr>
        <w:t>Corporate action constituting a grant by the Company of an Award to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will be deemed completed as of the date of such corporate action, unless otherwise determined by the Committee, regardless of</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when the instrument, certificate or letter evidencing the Award is communicated to, or actually received or accepted by, the Participant. In the event that the corporate records (</w:t>
      </w:r>
      <w:r>
        <w:rPr>
          <w:rFonts w:ascii="Arial" w:cs="Arial" w:eastAsia="Arial" w:hAnsi="Arial"/>
          <w:sz w:val="18"/>
          <w:szCs w:val="18"/>
          <w:i w:val="1"/>
          <w:iCs w:val="1"/>
          <w:color w:val="auto"/>
        </w:rPr>
        <w:t>e.g</w:t>
      </w:r>
      <w:r>
        <w:rPr>
          <w:rFonts w:ascii="Arial" w:cs="Arial" w:eastAsia="Arial" w:hAnsi="Arial"/>
          <w:sz w:val="18"/>
          <w:szCs w:val="18"/>
          <w:color w:val="auto"/>
        </w:rPr>
        <w:t>., Board or Committee consents, resolutions or minutes) documenting the corporate action constituting the grant contain terms (</w:t>
      </w:r>
      <w:r>
        <w:rPr>
          <w:rFonts w:ascii="Arial" w:cs="Arial" w:eastAsia="Arial" w:hAnsi="Arial"/>
          <w:sz w:val="18"/>
          <w:szCs w:val="18"/>
          <w:i w:val="1"/>
          <w:iCs w:val="1"/>
          <w:color w:val="auto"/>
        </w:rPr>
        <w:t>e.g</w:t>
      </w:r>
      <w:r>
        <w:rPr>
          <w:rFonts w:ascii="Arial" w:cs="Arial" w:eastAsia="Arial" w:hAnsi="Arial"/>
          <w:sz w:val="18"/>
          <w:szCs w:val="18"/>
          <w:color w:val="auto"/>
        </w:rPr>
        <w:t>., Option Price, vesting schedule or number of shares) that are inconsistent with those in the Award Agreement or related grant documents as a result of a clerical error in the papering of the Award Agreement or related grant documents, the corporate</w:t>
      </w:r>
    </w:p>
    <w:p>
      <w:pPr>
        <w:spacing w:after="0" w:line="3"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records will control and the Participant will have no legally binding right to the incorrect term in the Award Agreement or related grant documents.</w:t>
      </w:r>
    </w:p>
    <w:p>
      <w:pPr>
        <w:spacing w:after="0" w:line="1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7"/>
          <w:szCs w:val="17"/>
          <w:b w:val="1"/>
          <w:bCs w:val="1"/>
          <w:color w:val="auto"/>
        </w:rPr>
        <w:t xml:space="preserve">Compliance with Section 16(b). </w:t>
      </w:r>
      <w:r>
        <w:rPr>
          <w:rFonts w:ascii="Arial" w:cs="Arial" w:eastAsia="Arial" w:hAnsi="Arial"/>
          <w:sz w:val="17"/>
          <w:szCs w:val="17"/>
          <w:color w:val="auto"/>
        </w:rPr>
        <w:t>With respect to Participants who are Insiders, all transactions under this Plan are intended to</w:t>
      </w:r>
    </w:p>
    <w:p>
      <w:pPr>
        <w:jc w:val="both"/>
        <w:spacing w:after="0" w:line="217" w:lineRule="auto"/>
        <w:rPr>
          <w:sz w:val="20"/>
          <w:szCs w:val="20"/>
          <w:color w:val="auto"/>
        </w:rPr>
      </w:pPr>
      <w:r>
        <w:rPr>
          <w:rFonts w:ascii="Arial" w:cs="Arial" w:eastAsia="Arial" w:hAnsi="Arial"/>
          <w:sz w:val="18"/>
          <w:szCs w:val="18"/>
          <w:color w:val="auto"/>
        </w:rPr>
        <w:t>comply with all applicable conditions of Rule 16b-3 under the Exchange Act. All transactions under this Plan involving Insiders are subject to such conditions, regardless of whether the conditions are expressly set forth in this Plan. Any provision of this Plan that is contrary to a condition of Rule 16b-3 shall not apply to such Insiders.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35" w:name="page136"/>
    <w:bookmarkEnd w:id="135"/>
    <w:p>
      <w:pPr>
        <w:jc w:val="both"/>
        <w:ind w:firstLine="640"/>
        <w:spacing w:after="0" w:line="232" w:lineRule="auto"/>
        <w:rPr>
          <w:sz w:val="20"/>
          <w:szCs w:val="20"/>
          <w:color w:val="auto"/>
        </w:rPr>
      </w:pPr>
      <w:r>
        <w:rPr>
          <w:rFonts w:ascii="Arial" w:cs="Arial" w:eastAsia="Arial" w:hAnsi="Arial"/>
          <w:sz w:val="17"/>
          <w:szCs w:val="17"/>
          <w:b w:val="1"/>
          <w:bCs w:val="1"/>
          <w:color w:val="auto"/>
        </w:rPr>
        <w:t>20.21 No Representations or Warranties Regarding Tax Effect</w:t>
      </w:r>
      <w:r>
        <w:rPr>
          <w:rFonts w:ascii="Arial" w:cs="Arial" w:eastAsia="Arial" w:hAnsi="Arial"/>
          <w:sz w:val="17"/>
          <w:szCs w:val="17"/>
          <w:color w:val="auto"/>
        </w:rPr>
        <w:t>. Notwithstanding any provision of this Plan to the contrary,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its Affiliates and Subsidiaries, the Board and the Committee neither represent nor warrant the tax treatment under any federal, state,</w:t>
      </w:r>
    </w:p>
    <w:p>
      <w:pPr>
        <w:jc w:val="both"/>
        <w:spacing w:after="0" w:line="217" w:lineRule="auto"/>
        <w:rPr>
          <w:sz w:val="20"/>
          <w:szCs w:val="20"/>
          <w:color w:val="auto"/>
        </w:rPr>
      </w:pPr>
      <w:r>
        <w:rPr>
          <w:rFonts w:ascii="Arial" w:cs="Arial" w:eastAsia="Arial" w:hAnsi="Arial"/>
          <w:sz w:val="18"/>
          <w:szCs w:val="18"/>
          <w:color w:val="auto"/>
        </w:rPr>
        <w:t>provincial, local, foreign or other laws and regulations thereunder (individually and collectively referred to as the “Tax Laws”) of any Award granted or any amounts paid to any Participant under this Plan including when and to what extent such Awards or amounts may be subject to tax, penalties and interest under the Tax Laws.</w:t>
      </w:r>
    </w:p>
    <w:p>
      <w:pPr>
        <w:spacing w:after="0" w:line="168" w:lineRule="exact"/>
        <w:rPr>
          <w:sz w:val="20"/>
          <w:szCs w:val="20"/>
          <w:color w:val="auto"/>
        </w:rPr>
      </w:pPr>
    </w:p>
    <w:p>
      <w:pPr>
        <w:jc w:val="both"/>
        <w:ind w:firstLine="640"/>
        <w:spacing w:after="0" w:line="213" w:lineRule="auto"/>
        <w:rPr>
          <w:sz w:val="20"/>
          <w:szCs w:val="20"/>
          <w:color w:val="auto"/>
        </w:rPr>
      </w:pPr>
      <w:r>
        <w:rPr>
          <w:rFonts w:ascii="Arial" w:cs="Arial" w:eastAsia="Arial" w:hAnsi="Arial"/>
          <w:sz w:val="18"/>
          <w:szCs w:val="18"/>
          <w:b w:val="1"/>
          <w:bCs w:val="1"/>
          <w:color w:val="auto"/>
        </w:rPr>
        <w:t>20.22 Indemnification</w:t>
      </w:r>
      <w:r>
        <w:rPr>
          <w:rFonts w:ascii="Arial" w:cs="Arial" w:eastAsia="Arial" w:hAnsi="Arial"/>
          <w:sz w:val="18"/>
          <w:szCs w:val="18"/>
          <w:color w:val="auto"/>
        </w:rPr>
        <w:t>. Subject to any limitations and requirements of Delaware law, each individual who is or shall have been a</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the Board, or a Committee appointed by the Board, or an officer or Employee of the Company to whom authority was delegated in accordance with Article 3 and acting in good faith, shall be indemnified and held harmless by the Company against and from any loss, cost,</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liability or expense that may be imposed upon or reasonably incurred by such individual in connection with or resulting from any claim, action, suit or proceeding to which such individual may be a party or in such individual may be involved by reason of any action taken or failure to act under this Plan and against and from any and all amounts paid by such individual in settlement thereof, with the Company’s approval, or paid</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by such individual in satisfaction of any judgment in any such action, suit or proceeding against such individual, provided such individual shall give the Company an opportunity, at its own expense, to handle and defend the same before such individual undertakes to handle and defend it on such individual’s own behalf, unless such loss, cost, liability or expense is a result of such individual’s own willful misconduct or except as</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expressly provided by statute. The foregoing right of indemnification shall not be exclusive of any other rights of indemnification to which such individuals may be entitled under the Company’s Restated Certificate of Incorporation, as amended, or Amended and Restated Bylaws, as each may be amended from time to time, as a matter of law, or otherwise, or any power that the Company may have to indemnify them or hold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them harmless.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21"/>
          <w:szCs w:val="21"/>
          <w:b w:val="1"/>
          <w:bCs w:val="1"/>
          <w:color w:val="FFFFFF"/>
        </w:rPr>
        <w:t>APPENDIX C - OFFICER EXCULPATION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7134225" cy="3048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1"/>
          <w:szCs w:val="21"/>
          <w:b w:val="1"/>
          <w:bCs w:val="1"/>
          <w:color w:val="FFFFFF"/>
        </w:rPr>
        <w:t>(in relevant part)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Elimination of Certain Liability of Directors</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and Officers</w:t>
      </w:r>
      <w:r>
        <w:rPr>
          <w:rFonts w:ascii="Arial" w:cs="Arial" w:eastAsia="Arial" w:hAnsi="Arial"/>
          <w:sz w:val="18"/>
          <w:szCs w:val="18"/>
          <w:i w:val="1"/>
          <w:iCs w:val="1"/>
          <w:color w:val="auto"/>
        </w:rPr>
        <w:t>.</w:t>
      </w: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strike w:val="1"/>
        </w:rPr>
        <w:t>A</w:t>
      </w:r>
      <w:r>
        <w:rPr>
          <w:rFonts w:ascii="Arial" w:cs="Arial" w:eastAsia="Arial" w:hAnsi="Arial"/>
          <w:sz w:val="17"/>
          <w:szCs w:val="17"/>
          <w:color w:val="auto"/>
        </w:rPr>
        <w:t xml:space="preserve"> </w:t>
      </w:r>
      <w:r>
        <w:rPr>
          <w:rFonts w:ascii="Arial" w:cs="Arial" w:eastAsia="Arial" w:hAnsi="Arial"/>
          <w:sz w:val="17"/>
          <w:szCs w:val="17"/>
          <w:u w:val="single" w:color="auto"/>
          <w:color w:val="auto"/>
        </w:rPr>
        <w:t>Neither a</w:t>
      </w:r>
      <w:r>
        <w:rPr>
          <w:rFonts w:ascii="Arial" w:cs="Arial" w:eastAsia="Arial" w:hAnsi="Arial"/>
          <w:sz w:val="17"/>
          <w:szCs w:val="17"/>
          <w:color w:val="auto"/>
        </w:rPr>
        <w:t xml:space="preserve"> director </w:t>
      </w:r>
      <w:r>
        <w:rPr>
          <w:rFonts w:ascii="Arial" w:cs="Arial" w:eastAsia="Arial" w:hAnsi="Arial"/>
          <w:sz w:val="17"/>
          <w:szCs w:val="17"/>
          <w:u w:val="single" w:color="auto"/>
          <w:color w:val="auto"/>
        </w:rPr>
        <w:t>nor an officer</w:t>
      </w:r>
      <w:r>
        <w:rPr>
          <w:rFonts w:ascii="Arial" w:cs="Arial" w:eastAsia="Arial" w:hAnsi="Arial"/>
          <w:sz w:val="17"/>
          <w:szCs w:val="17"/>
          <w:color w:val="auto"/>
        </w:rPr>
        <w:t xml:space="preserve"> of the corporation shall </w:t>
      </w:r>
      <w:r>
        <w:rPr>
          <w:rFonts w:ascii="Arial" w:cs="Arial" w:eastAsia="Arial" w:hAnsi="Arial"/>
          <w:sz w:val="17"/>
          <w:szCs w:val="17"/>
          <w:color w:val="auto"/>
          <w:strike w:val="1"/>
        </w:rPr>
        <w:t>not</w:t>
      </w:r>
      <w:r>
        <w:rPr>
          <w:rFonts w:ascii="Arial" w:cs="Arial" w:eastAsia="Arial" w:hAnsi="Arial"/>
          <w:sz w:val="17"/>
          <w:szCs w:val="17"/>
          <w:color w:val="auto"/>
        </w:rPr>
        <w:t xml:space="preserve"> be personally liable to the corporation or its stockholders for monetary damages for breach of fiduciary duty as a director </w:t>
      </w:r>
      <w:r>
        <w:rPr>
          <w:rFonts w:ascii="Arial" w:cs="Arial" w:eastAsia="Arial" w:hAnsi="Arial"/>
          <w:sz w:val="17"/>
          <w:szCs w:val="17"/>
          <w:u w:val="single" w:color="auto"/>
          <w:color w:val="auto"/>
        </w:rPr>
        <w:t>or officer</w:t>
      </w:r>
      <w:r>
        <w:rPr>
          <w:rFonts w:ascii="Arial" w:cs="Arial" w:eastAsia="Arial" w:hAnsi="Arial"/>
          <w:sz w:val="17"/>
          <w:szCs w:val="17"/>
          <w:color w:val="auto"/>
        </w:rPr>
        <w:t xml:space="preserve">, except for liability (A) for any breach of the director’s </w:t>
      </w:r>
      <w:r>
        <w:rPr>
          <w:rFonts w:ascii="Arial" w:cs="Arial" w:eastAsia="Arial" w:hAnsi="Arial"/>
          <w:sz w:val="17"/>
          <w:szCs w:val="17"/>
          <w:u w:val="single" w:color="auto"/>
          <w:color w:val="auto"/>
        </w:rPr>
        <w:t>or officer’s</w:t>
      </w:r>
      <w:r>
        <w:rPr>
          <w:rFonts w:ascii="Arial" w:cs="Arial" w:eastAsia="Arial" w:hAnsi="Arial"/>
          <w:sz w:val="17"/>
          <w:szCs w:val="17"/>
          <w:color w:val="auto"/>
        </w:rPr>
        <w:t xml:space="preserve"> duty of loyalty to the corporation or its stockholders, (B) for acts or omissions not in good faith or which involve intentional misconduct or a knowing violation of law,</w:t>
      </w:r>
    </w:p>
    <w:p>
      <w:pPr>
        <w:spacing w:after="0" w:line="2" w:lineRule="exact"/>
        <w:rPr>
          <w:sz w:val="20"/>
          <w:szCs w:val="20"/>
          <w:color w:val="auto"/>
        </w:rPr>
      </w:pPr>
    </w:p>
    <w:p>
      <w:pPr>
        <w:jc w:val="both"/>
        <w:ind w:firstLine="7"/>
        <w:spacing w:after="0" w:line="241" w:lineRule="auto"/>
        <w:tabs>
          <w:tab w:leader="none" w:pos="296"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with respect to a director</w:t>
      </w:r>
      <w:r>
        <w:rPr>
          <w:rFonts w:ascii="Arial" w:cs="Arial" w:eastAsia="Arial" w:hAnsi="Arial"/>
          <w:sz w:val="18"/>
          <w:szCs w:val="18"/>
          <w:color w:val="auto"/>
        </w:rPr>
        <w:t xml:space="preserve">, under Section 174 of the Delaware General Corporation Law, </w:t>
      </w:r>
      <w:r>
        <w:rPr>
          <w:rFonts w:ascii="Arial" w:cs="Arial" w:eastAsia="Arial" w:hAnsi="Arial"/>
          <w:sz w:val="18"/>
          <w:szCs w:val="18"/>
          <w:color w:val="auto"/>
          <w:strike w:val="1"/>
        </w:rPr>
        <w:t>or</w:t>
      </w:r>
      <w:r>
        <w:rPr>
          <w:rFonts w:ascii="Arial" w:cs="Arial" w:eastAsia="Arial" w:hAnsi="Arial"/>
          <w:sz w:val="18"/>
          <w:szCs w:val="18"/>
          <w:color w:val="auto"/>
        </w:rPr>
        <w:t xml:space="preserve"> (D) for any transaction from which the director </w:t>
      </w:r>
      <w:r>
        <w:rPr>
          <w:rFonts w:ascii="Arial" w:cs="Arial" w:eastAsia="Arial" w:hAnsi="Arial"/>
          <w:sz w:val="18"/>
          <w:szCs w:val="18"/>
          <w:u w:val="single" w:color="auto"/>
          <w:color w:val="auto"/>
        </w:rPr>
        <w:t>or</w:t>
      </w:r>
      <w:r>
        <w:rPr>
          <w:rFonts w:ascii="Arial" w:cs="Arial" w:eastAsia="Arial" w:hAnsi="Arial"/>
          <w:sz w:val="18"/>
          <w:szCs w:val="18"/>
          <w:color w:val="auto"/>
        </w:rPr>
        <w:t xml:space="preserve"> </w:t>
      </w:r>
      <w:r>
        <w:rPr>
          <w:rFonts w:ascii="Arial" w:cs="Arial" w:eastAsia="Arial" w:hAnsi="Arial"/>
          <w:sz w:val="18"/>
          <w:szCs w:val="18"/>
          <w:u w:val="single" w:color="auto"/>
          <w:color w:val="auto"/>
        </w:rPr>
        <w:t>officer</w:t>
      </w:r>
      <w:r>
        <w:rPr>
          <w:rFonts w:ascii="Arial" w:cs="Arial" w:eastAsia="Arial" w:hAnsi="Arial"/>
          <w:sz w:val="18"/>
          <w:szCs w:val="18"/>
          <w:color w:val="auto"/>
        </w:rPr>
        <w:t xml:space="preserve"> derived an improper personal benefit</w:t>
      </w:r>
      <w:r>
        <w:rPr>
          <w:rFonts w:ascii="Arial" w:cs="Arial" w:eastAsia="Arial" w:hAnsi="Arial"/>
          <w:sz w:val="18"/>
          <w:szCs w:val="18"/>
          <w:color w:val="auto"/>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or (E) with respect to an officer, in any action by or in the right of the corporation. For purposes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this Section 1 only, “officer” shall have the meaning determined in accordance with Section 102(b)(7) of the Delaware General Corporation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37" w:name="page138"/>
    <w:bookmarkEnd w:id="137"/>
    <w:p>
      <w:pPr>
        <w:jc w:val="center"/>
        <w:ind w:right="60"/>
        <w:spacing w:after="0"/>
        <w:rPr>
          <w:sz w:val="20"/>
          <w:szCs w:val="20"/>
          <w:color w:val="auto"/>
        </w:rPr>
      </w:pPr>
      <w:r>
        <w:rPr>
          <w:rFonts w:ascii="Arial" w:cs="Arial" w:eastAsia="Arial" w:hAnsi="Arial"/>
          <w:sz w:val="21"/>
          <w:szCs w:val="21"/>
          <w:b w:val="1"/>
          <w:bCs w:val="1"/>
          <w:color w:val="FFFFFF"/>
        </w:rPr>
        <w:t>APPENDIX D - PAR VALUE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7134225" cy="3048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1"/>
          <w:szCs w:val="21"/>
          <w:b w:val="1"/>
          <w:bCs w:val="1"/>
          <w:color w:val="FFFFFF"/>
        </w:rPr>
        <w:t>(in relevant part)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Stock</w:t>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corporation shall be authorized to issue three classes of shares of capital stock to be designated, respectively, “Common Stock”, “Voting Preferred Stock” and “Non-Voting Preferred Stock.” The total number of shares of capital stock which the corporation shall have authority to issue is one hundred seventy six million eight hundred fifty thousand (176,850,000); the total number of shares of Common Stock shall be one hundred seventy-five million (175,000,000), and each such share shall have a par value of $</w:t>
      </w:r>
      <w:r>
        <w:rPr>
          <w:rFonts w:ascii="Arial" w:cs="Arial" w:eastAsia="Arial" w:hAnsi="Arial"/>
          <w:sz w:val="17"/>
          <w:szCs w:val="17"/>
          <w:color w:val="auto"/>
          <w:strike w:val="1"/>
        </w:rPr>
        <w:t>1.00</w:t>
      </w:r>
      <w:r>
        <w:rPr>
          <w:rFonts w:ascii="Arial" w:cs="Arial" w:eastAsia="Arial" w:hAnsi="Arial"/>
          <w:sz w:val="17"/>
          <w:szCs w:val="17"/>
          <w:u w:val="single" w:color="auto"/>
          <w:color w:val="auto"/>
        </w:rPr>
        <w:t>0.01</w:t>
      </w:r>
      <w:r>
        <w:rPr>
          <w:rFonts w:ascii="Arial" w:cs="Arial" w:eastAsia="Arial" w:hAnsi="Arial"/>
          <w:sz w:val="17"/>
          <w:szCs w:val="17"/>
          <w:color w:val="auto"/>
        </w:rPr>
        <w:t>; the total number of shares of Voting Preferred Stock shall be one million (1,000,000), and each such share shall have a par value of $</w:t>
      </w:r>
      <w:r>
        <w:rPr>
          <w:rFonts w:ascii="Arial" w:cs="Arial" w:eastAsia="Arial" w:hAnsi="Arial"/>
          <w:sz w:val="17"/>
          <w:szCs w:val="17"/>
          <w:color w:val="auto"/>
          <w:strike w:val="1"/>
        </w:rPr>
        <w:t>1.00</w:t>
      </w:r>
      <w:r>
        <w:rPr>
          <w:rFonts w:ascii="Arial" w:cs="Arial" w:eastAsia="Arial" w:hAnsi="Arial"/>
          <w:sz w:val="17"/>
          <w:szCs w:val="17"/>
          <w:u w:val="single" w:color="auto"/>
          <w:color w:val="auto"/>
        </w:rPr>
        <w:t>0.01</w:t>
      </w:r>
      <w:r>
        <w:rPr>
          <w:rFonts w:ascii="Arial" w:cs="Arial" w:eastAsia="Arial" w:hAnsi="Arial"/>
          <w:sz w:val="17"/>
          <w:szCs w:val="17"/>
          <w:color w:val="auto"/>
        </w:rPr>
        <w:t>; and the total number of shares of Non-Voting Preferred Stock shall be eight hundred fifty thousand(850,000), and each such share shall have a par value of $</w:t>
      </w:r>
      <w:r>
        <w:rPr>
          <w:rFonts w:ascii="Arial" w:cs="Arial" w:eastAsia="Arial" w:hAnsi="Arial"/>
          <w:sz w:val="17"/>
          <w:szCs w:val="17"/>
          <w:color w:val="auto"/>
          <w:strike w:val="1"/>
        </w:rPr>
        <w:t>1.00</w:t>
      </w:r>
      <w:r>
        <w:rPr>
          <w:rFonts w:ascii="Arial" w:cs="Arial" w:eastAsia="Arial" w:hAnsi="Arial"/>
          <w:sz w:val="17"/>
          <w:szCs w:val="17"/>
          <w:u w:val="single" w:color="auto"/>
          <w:color w:val="auto"/>
        </w:rPr>
        <w:t>0.01</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38" w:name="page139"/>
    <w:bookmarkEnd w:id="138"/>
    <w:p>
      <w:pPr>
        <w:spacing w:after="0" w:line="3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3325495</wp:posOffset>
            </wp:positionH>
            <wp:positionV relativeFrom="page">
              <wp:posOffset>622935</wp:posOffset>
            </wp:positionV>
            <wp:extent cx="1863725" cy="4318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1863725" cy="431800"/>
                    </a:xfrm>
                    <a:prstGeom prst="rect">
                      <a:avLst/>
                    </a:prstGeom>
                    <a:noFill/>
                  </pic:spPr>
                </pic:pic>
              </a:graphicData>
            </a:graphic>
          </wp:anchor>
        </w:drawing>
        <w:drawing>
          <wp:anchor simplePos="0" relativeHeight="251657728" behindDoc="1" locked="0" layoutInCell="0" allowOverlap="1">
            <wp:simplePos x="0" y="0"/>
            <wp:positionH relativeFrom="page">
              <wp:posOffset>224155</wp:posOffset>
            </wp:positionH>
            <wp:positionV relativeFrom="page">
              <wp:posOffset>1113790</wp:posOffset>
            </wp:positionV>
            <wp:extent cx="1703070" cy="4406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clrChange>
                        <a:clrFrom>
                          <a:srgbClr val="FFFFFF"/>
                        </a:clrFrom>
                        <a:clrTo>
                          <a:srgbClr val="FFFFFF">
                            <a:alpha val="0"/>
                          </a:srgbClr>
                        </a:clrTo>
                      </a:clrChange>
                      <a:extLst>
                        <a:ext uri="{28A0092B-C50C-407E-A947-70E740481C1C}"/>
                      </a:extLst>
                    </a:blip>
                    <a:srcRect/>
                    <a:stretch>
                      <a:fillRect/>
                    </a:stretch>
                  </pic:blipFill>
                  <pic:spPr bwMode="auto">
                    <a:xfrm>
                      <a:off x="0" y="0"/>
                      <a:ext cx="1703070" cy="4406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340" w:type="dxa"/>
            <w:vAlign w:val="bottom"/>
            <w:gridSpan w:val="12"/>
          </w:tcPr>
          <w:p>
            <w:pPr>
              <w:ind w:left="20"/>
              <w:spacing w:after="0"/>
              <w:rPr>
                <w:sz w:val="20"/>
                <w:szCs w:val="20"/>
                <w:color w:val="auto"/>
              </w:rPr>
            </w:pPr>
            <w:r>
              <w:rPr>
                <w:rFonts w:ascii="Arial" w:cs="Arial" w:eastAsia="Arial" w:hAnsi="Arial"/>
                <w:sz w:val="14"/>
                <w:szCs w:val="14"/>
                <w:b w:val="1"/>
                <w:bCs w:val="1"/>
                <w:color w:val="auto"/>
              </w:rPr>
              <w:t>VOTE BY INTERNET- www.proxyvote.com or scan the QR code above</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340" w:type="dxa"/>
            <w:vAlign w:val="bottom"/>
            <w:gridSpan w:val="12"/>
          </w:tcPr>
          <w:p>
            <w:pPr>
              <w:ind w:left="20"/>
              <w:spacing w:after="0" w:line="144" w:lineRule="exact"/>
              <w:rPr>
                <w:sz w:val="20"/>
                <w:szCs w:val="20"/>
                <w:color w:val="auto"/>
              </w:rPr>
            </w:pPr>
            <w:r>
              <w:rPr>
                <w:rFonts w:ascii="Arial" w:cs="Arial" w:eastAsia="Arial" w:hAnsi="Arial"/>
                <w:sz w:val="14"/>
                <w:szCs w:val="14"/>
                <w:color w:val="auto"/>
              </w:rPr>
              <w:t>Use the Internet to transmit your voting instructions up until 11:59 P.M. Eastern Time on March 16,</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340" w:type="dxa"/>
            <w:vAlign w:val="bottom"/>
            <w:gridSpan w:val="12"/>
          </w:tcPr>
          <w:p>
            <w:pPr>
              <w:ind w:left="20"/>
              <w:spacing w:after="0"/>
              <w:rPr>
                <w:sz w:val="20"/>
                <w:szCs w:val="20"/>
                <w:color w:val="auto"/>
              </w:rPr>
            </w:pPr>
            <w:r>
              <w:rPr>
                <w:rFonts w:ascii="Arial" w:cs="Arial" w:eastAsia="Arial" w:hAnsi="Arial"/>
                <w:sz w:val="14"/>
                <w:szCs w:val="14"/>
                <w:color w:val="auto"/>
              </w:rPr>
              <w:t>2026. Have your proxy card in hand when you access the web site and follow the instructions to</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20" w:type="dxa"/>
            <w:vAlign w:val="bottom"/>
            <w:gridSpan w:val="8"/>
          </w:tcPr>
          <w:p>
            <w:pPr>
              <w:ind w:left="20"/>
              <w:spacing w:after="0"/>
              <w:rPr>
                <w:sz w:val="20"/>
                <w:szCs w:val="20"/>
                <w:color w:val="auto"/>
              </w:rPr>
            </w:pPr>
            <w:r>
              <w:rPr>
                <w:rFonts w:ascii="Arial" w:cs="Arial" w:eastAsia="Arial" w:hAnsi="Arial"/>
                <w:sz w:val="14"/>
                <w:szCs w:val="14"/>
                <w:color w:val="auto"/>
              </w:rPr>
              <w:t>obtain your records and to create an electronic voting instruction form.</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2820" w:type="dxa"/>
            <w:vAlign w:val="bottom"/>
            <w:gridSpan w:val="4"/>
          </w:tcPr>
          <w:p>
            <w:pPr>
              <w:ind w:left="40"/>
              <w:spacing w:after="0"/>
              <w:rPr>
                <w:sz w:val="20"/>
                <w:szCs w:val="20"/>
                <w:color w:val="auto"/>
              </w:rPr>
            </w:pPr>
            <w:r>
              <w:rPr>
                <w:rFonts w:ascii="Arial" w:cs="Arial" w:eastAsia="Arial" w:hAnsi="Arial"/>
                <w:sz w:val="14"/>
                <w:szCs w:val="14"/>
                <w:color w:val="auto"/>
              </w:rPr>
              <w:t>8111 LYNDALE AVENUE SOUTH</w:t>
            </w:r>
          </w:p>
        </w:tc>
        <w:tc>
          <w:tcPr>
            <w:tcW w:w="5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340" w:type="dxa"/>
            <w:vAlign w:val="bottom"/>
            <w:gridSpan w:val="12"/>
          </w:tcPr>
          <w:p>
            <w:pPr>
              <w:ind w:left="20"/>
              <w:spacing w:after="0"/>
              <w:rPr>
                <w:sz w:val="20"/>
                <w:szCs w:val="20"/>
                <w:color w:val="auto"/>
              </w:rPr>
            </w:pPr>
            <w:r>
              <w:rPr>
                <w:rFonts w:ascii="Arial" w:cs="Arial" w:eastAsia="Arial" w:hAnsi="Arial"/>
                <w:sz w:val="14"/>
                <w:szCs w:val="14"/>
                <w:i w:val="1"/>
                <w:iCs w:val="1"/>
                <w:color w:val="auto"/>
              </w:rPr>
              <w:t>During The Meeting</w:t>
            </w:r>
            <w:r>
              <w:rPr>
                <w:rFonts w:ascii="Arial" w:cs="Arial" w:eastAsia="Arial" w:hAnsi="Arial"/>
                <w:sz w:val="14"/>
                <w:szCs w:val="14"/>
                <w:color w:val="auto"/>
              </w:rPr>
              <w:t>- Go to</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www.virtualshareholdermeeting.com/TTC2026</w:t>
            </w:r>
          </w:p>
        </w:tc>
        <w:tc>
          <w:tcPr>
            <w:tcW w:w="0" w:type="dxa"/>
            <w:vAlign w:val="bottom"/>
          </w:tcPr>
          <w:p>
            <w:pPr>
              <w:spacing w:after="0"/>
              <w:rPr>
                <w:sz w:val="1"/>
                <w:szCs w:val="1"/>
                <w:color w:val="auto"/>
              </w:rPr>
            </w:pPr>
          </w:p>
        </w:tc>
      </w:tr>
      <w:tr>
        <w:trPr>
          <w:trHeight w:val="20"/>
        </w:trPr>
        <w:tc>
          <w:tcPr>
            <w:tcW w:w="2820" w:type="dxa"/>
            <w:vAlign w:val="bottom"/>
            <w:gridSpan w:val="4"/>
            <w:vMerge w:val="restart"/>
          </w:tcPr>
          <w:p>
            <w:pPr>
              <w:ind w:left="40"/>
              <w:spacing w:after="0"/>
              <w:rPr>
                <w:sz w:val="20"/>
                <w:szCs w:val="20"/>
                <w:color w:val="auto"/>
              </w:rPr>
            </w:pPr>
            <w:r>
              <w:rPr>
                <w:rFonts w:ascii="Arial" w:cs="Arial" w:eastAsia="Arial" w:hAnsi="Arial"/>
                <w:sz w:val="14"/>
                <w:szCs w:val="14"/>
                <w:color w:val="auto"/>
              </w:rPr>
              <w:t>BLOOMINGTON, MN 55420-1196</w:t>
            </w: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820" w:type="dxa"/>
            <w:vAlign w:val="bottom"/>
            <w:gridSpan w:val="4"/>
            <w:vMerge w:val="continue"/>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340" w:type="dxa"/>
            <w:vAlign w:val="bottom"/>
            <w:gridSpan w:val="12"/>
            <w:vMerge w:val="restart"/>
          </w:tcPr>
          <w:p>
            <w:pPr>
              <w:ind w:left="20"/>
              <w:spacing w:after="0"/>
              <w:rPr>
                <w:sz w:val="20"/>
                <w:szCs w:val="20"/>
                <w:color w:val="auto"/>
              </w:rPr>
            </w:pPr>
            <w:r>
              <w:rPr>
                <w:rFonts w:ascii="Arial" w:cs="Arial" w:eastAsia="Arial" w:hAnsi="Arial"/>
                <w:sz w:val="14"/>
                <w:szCs w:val="14"/>
                <w:color w:val="auto"/>
              </w:rPr>
              <w:t>You may attend the meeting via the Internet and vote during the meeting. Have the information that</w:t>
            </w:r>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340" w:type="dxa"/>
            <w:vAlign w:val="bottom"/>
            <w:gridSpan w:val="1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340" w:type="dxa"/>
            <w:vAlign w:val="bottom"/>
            <w:gridSpan w:val="12"/>
          </w:tcPr>
          <w:p>
            <w:pPr>
              <w:ind w:left="20"/>
              <w:spacing w:after="0"/>
              <w:rPr>
                <w:sz w:val="20"/>
                <w:szCs w:val="20"/>
                <w:color w:val="auto"/>
              </w:rPr>
            </w:pPr>
            <w:r>
              <w:rPr>
                <w:rFonts w:ascii="Arial" w:cs="Arial" w:eastAsia="Arial" w:hAnsi="Arial"/>
                <w:sz w:val="14"/>
                <w:szCs w:val="14"/>
                <w:color w:val="auto"/>
              </w:rPr>
              <w:t>is printed in the box marked by the arrow available and follow the instructions.</w:t>
            </w:r>
          </w:p>
        </w:tc>
        <w:tc>
          <w:tcPr>
            <w:tcW w:w="0" w:type="dxa"/>
            <w:vAlign w:val="bottom"/>
          </w:tcPr>
          <w:p>
            <w:pPr>
              <w:spacing w:after="0"/>
              <w:rPr>
                <w:sz w:val="1"/>
                <w:szCs w:val="1"/>
                <w:color w:val="auto"/>
              </w:rPr>
            </w:pPr>
          </w:p>
        </w:tc>
      </w:tr>
      <w:tr>
        <w:trPr>
          <w:trHeight w:val="398"/>
        </w:trPr>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40" w:type="dxa"/>
            <w:vAlign w:val="bottom"/>
            <w:gridSpan w:val="6"/>
          </w:tcPr>
          <w:p>
            <w:pPr>
              <w:ind w:left="20"/>
              <w:spacing w:after="0"/>
              <w:rPr>
                <w:sz w:val="20"/>
                <w:szCs w:val="20"/>
                <w:color w:val="auto"/>
              </w:rPr>
            </w:pPr>
            <w:r>
              <w:rPr>
                <w:rFonts w:ascii="Arial" w:cs="Arial" w:eastAsia="Arial" w:hAnsi="Arial"/>
                <w:sz w:val="14"/>
                <w:szCs w:val="14"/>
                <w:b w:val="1"/>
                <w:bCs w:val="1"/>
                <w:color w:val="auto"/>
              </w:rPr>
              <w:t>VOTE BY PHONE - 1-800-690-6903</w:t>
            </w: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340" w:type="dxa"/>
            <w:vAlign w:val="bottom"/>
            <w:gridSpan w:val="12"/>
          </w:tcPr>
          <w:p>
            <w:pPr>
              <w:ind w:left="20"/>
              <w:spacing w:after="0"/>
              <w:rPr>
                <w:sz w:val="20"/>
                <w:szCs w:val="20"/>
                <w:color w:val="auto"/>
              </w:rPr>
            </w:pPr>
            <w:r>
              <w:rPr>
                <w:rFonts w:ascii="Arial" w:cs="Arial" w:eastAsia="Arial" w:hAnsi="Arial"/>
                <w:sz w:val="14"/>
                <w:szCs w:val="14"/>
                <w:color w:val="auto"/>
              </w:rPr>
              <w:t>Use any touch-tone telephone to transmit your voting instructions up until 11:59 P.M. Eastern Time</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340" w:type="dxa"/>
            <w:vAlign w:val="bottom"/>
            <w:gridSpan w:val="12"/>
          </w:tcPr>
          <w:p>
            <w:pPr>
              <w:ind w:left="20"/>
              <w:spacing w:after="0"/>
              <w:rPr>
                <w:sz w:val="20"/>
                <w:szCs w:val="20"/>
                <w:color w:val="auto"/>
              </w:rPr>
            </w:pPr>
            <w:r>
              <w:rPr>
                <w:rFonts w:ascii="Arial" w:cs="Arial" w:eastAsia="Arial" w:hAnsi="Arial"/>
                <w:sz w:val="14"/>
                <w:szCs w:val="14"/>
                <w:color w:val="auto"/>
              </w:rPr>
              <w:t>on March 16, 2026. Have your proxy card in hand when you call and then follow the instructions.</w:t>
            </w:r>
          </w:p>
        </w:tc>
        <w:tc>
          <w:tcPr>
            <w:tcW w:w="0" w:type="dxa"/>
            <w:vAlign w:val="bottom"/>
          </w:tcPr>
          <w:p>
            <w:pPr>
              <w:spacing w:after="0"/>
              <w:rPr>
                <w:sz w:val="1"/>
                <w:szCs w:val="1"/>
                <w:color w:val="auto"/>
              </w:rPr>
            </w:pPr>
          </w:p>
        </w:tc>
      </w:tr>
      <w:tr>
        <w:trPr>
          <w:trHeight w:val="398"/>
        </w:trPr>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40" w:type="dxa"/>
            <w:vAlign w:val="bottom"/>
            <w:gridSpan w:val="6"/>
          </w:tcPr>
          <w:p>
            <w:pPr>
              <w:ind w:left="20"/>
              <w:spacing w:after="0"/>
              <w:rPr>
                <w:sz w:val="20"/>
                <w:szCs w:val="20"/>
                <w:color w:val="auto"/>
              </w:rPr>
            </w:pPr>
            <w:r>
              <w:rPr>
                <w:rFonts w:ascii="Arial" w:cs="Arial" w:eastAsia="Arial" w:hAnsi="Arial"/>
                <w:sz w:val="14"/>
                <w:szCs w:val="14"/>
                <w:b w:val="1"/>
                <w:bCs w:val="1"/>
                <w:color w:val="auto"/>
              </w:rPr>
              <w:t>VOTE BY MAIL</w:t>
            </w: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340" w:type="dxa"/>
            <w:vAlign w:val="bottom"/>
            <w:gridSpan w:val="12"/>
          </w:tcPr>
          <w:p>
            <w:pPr>
              <w:ind w:left="20"/>
              <w:spacing w:after="0"/>
              <w:rPr>
                <w:sz w:val="20"/>
                <w:szCs w:val="20"/>
                <w:color w:val="auto"/>
              </w:rPr>
            </w:pPr>
            <w:r>
              <w:rPr>
                <w:rFonts w:ascii="Arial" w:cs="Arial" w:eastAsia="Arial" w:hAnsi="Arial"/>
                <w:sz w:val="14"/>
                <w:szCs w:val="14"/>
                <w:color w:val="auto"/>
              </w:rPr>
              <w:t>Mark, sign and date your proxy card and return it in the postage-paid envelope we have provided or</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340" w:type="dxa"/>
            <w:vAlign w:val="bottom"/>
            <w:gridSpan w:val="12"/>
          </w:tcPr>
          <w:p>
            <w:pPr>
              <w:ind w:left="20"/>
              <w:spacing w:after="0"/>
              <w:rPr>
                <w:sz w:val="20"/>
                <w:szCs w:val="20"/>
                <w:color w:val="auto"/>
              </w:rPr>
            </w:pPr>
            <w:r>
              <w:rPr>
                <w:rFonts w:ascii="Arial" w:cs="Arial" w:eastAsia="Arial" w:hAnsi="Arial"/>
                <w:sz w:val="14"/>
                <w:szCs w:val="14"/>
                <w:color w:val="auto"/>
              </w:rPr>
              <w:t>return it to Vote Processing, c/o Broadridge, 51 Mercedes Way, Edgewood, NY 11717.</w:t>
            </w:r>
          </w:p>
        </w:tc>
        <w:tc>
          <w:tcPr>
            <w:tcW w:w="0" w:type="dxa"/>
            <w:vAlign w:val="bottom"/>
          </w:tcPr>
          <w:p>
            <w:pPr>
              <w:spacing w:after="0"/>
              <w:rPr>
                <w:sz w:val="1"/>
                <w:szCs w:val="1"/>
                <w:color w:val="auto"/>
              </w:rPr>
            </w:pPr>
          </w:p>
        </w:tc>
      </w:tr>
      <w:tr>
        <w:trPr>
          <w:trHeight w:val="314"/>
        </w:trPr>
        <w:tc>
          <w:tcPr>
            <w:tcW w:w="4900" w:type="dxa"/>
            <w:vAlign w:val="bottom"/>
            <w:gridSpan w:val="7"/>
          </w:tcPr>
          <w:p>
            <w:pPr>
              <w:ind w:left="20"/>
              <w:spacing w:after="0"/>
              <w:rPr>
                <w:sz w:val="20"/>
                <w:szCs w:val="20"/>
                <w:color w:val="auto"/>
              </w:rPr>
            </w:pPr>
            <w:r>
              <w:rPr>
                <w:rFonts w:ascii="Arial" w:cs="Arial" w:eastAsia="Arial" w:hAnsi="Arial"/>
                <w:sz w:val="12"/>
                <w:szCs w:val="12"/>
                <w:color w:val="auto"/>
              </w:rPr>
              <w:t>TO VOTE, MARK BLOCKS BELOW IN BLUE OR BLACK INK AS FOLLOWS: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0" w:type="dxa"/>
            <w:vAlign w:val="bottom"/>
            <w:gridSpan w:val="6"/>
          </w:tcPr>
          <w:p>
            <w:pPr>
              <w:jc w:val="center"/>
              <w:spacing w:after="0"/>
              <w:rPr>
                <w:sz w:val="20"/>
                <w:szCs w:val="20"/>
                <w:color w:val="auto"/>
              </w:rPr>
            </w:pPr>
            <w:r>
              <w:rPr>
                <w:rFonts w:ascii="Arial" w:cs="Arial" w:eastAsia="Arial" w:hAnsi="Arial"/>
                <w:sz w:val="12"/>
                <w:szCs w:val="12"/>
                <w:color w:val="363435"/>
              </w:rPr>
              <w:t>KEEP THIS PORTION FOR YOUR RECORDS</w:t>
            </w:r>
          </w:p>
        </w:tc>
        <w:tc>
          <w:tcPr>
            <w:tcW w:w="0" w:type="dxa"/>
            <w:vAlign w:val="bottom"/>
          </w:tcPr>
          <w:p>
            <w:pPr>
              <w:spacing w:after="0"/>
              <w:rPr>
                <w:sz w:val="1"/>
                <w:szCs w:val="1"/>
                <w:color w:val="auto"/>
              </w:rPr>
            </w:pPr>
          </w:p>
        </w:tc>
      </w:tr>
      <w:tr>
        <w:trPr>
          <w:trHeight w:val="240"/>
        </w:trPr>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0" w:type="dxa"/>
            <w:vAlign w:val="bottom"/>
            <w:gridSpan w:val="6"/>
          </w:tcPr>
          <w:p>
            <w:pPr>
              <w:ind w:left="280"/>
              <w:spacing w:after="0"/>
              <w:rPr>
                <w:sz w:val="20"/>
                <w:szCs w:val="20"/>
                <w:color w:val="auto"/>
              </w:rPr>
            </w:pPr>
            <w:r>
              <w:rPr>
                <w:rFonts w:ascii="Arial" w:cs="Arial" w:eastAsia="Arial" w:hAnsi="Arial"/>
                <w:sz w:val="12"/>
                <w:szCs w:val="12"/>
                <w:color w:val="auto"/>
              </w:rPr>
              <w:t>DETACH AND RETURN THIS PORTION ONLY</w:t>
            </w:r>
          </w:p>
        </w:tc>
        <w:tc>
          <w:tcPr>
            <w:tcW w:w="0" w:type="dxa"/>
            <w:vAlign w:val="bottom"/>
          </w:tcPr>
          <w:p>
            <w:pPr>
              <w:spacing w:after="0"/>
              <w:rPr>
                <w:sz w:val="1"/>
                <w:szCs w:val="1"/>
                <w:color w:val="auto"/>
              </w:rPr>
            </w:pPr>
          </w:p>
        </w:tc>
      </w:tr>
      <w:tr>
        <w:trPr>
          <w:trHeight w:val="287"/>
        </w:trPr>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4"/>
                <w:szCs w:val="14"/>
                <w:b w:val="1"/>
                <w:bCs w:val="1"/>
                <w:color w:val="auto"/>
              </w:rPr>
              <w:t>THE TORO COMPANY</w:t>
            </w: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940" w:type="dxa"/>
            <w:vAlign w:val="bottom"/>
            <w:gridSpan w:val="4"/>
          </w:tcPr>
          <w:p>
            <w:pPr>
              <w:spacing w:after="0"/>
              <w:rPr>
                <w:sz w:val="20"/>
                <w:szCs w:val="20"/>
                <w:color w:val="auto"/>
              </w:rPr>
            </w:pPr>
            <w:r>
              <w:rPr>
                <w:rFonts w:ascii="Arial" w:cs="Arial" w:eastAsia="Arial" w:hAnsi="Arial"/>
                <w:sz w:val="12"/>
                <w:szCs w:val="12"/>
                <w:b w:val="1"/>
                <w:bCs w:val="1"/>
                <w:color w:val="auto"/>
              </w:rPr>
              <w:t>The Board of Directors recommends you vote FOR the following:</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40" w:type="dxa"/>
            <w:vAlign w:val="bottom"/>
            <w:gridSpan w:val="6"/>
          </w:tcPr>
          <w:p>
            <w:pPr>
              <w:spacing w:after="0"/>
              <w:rPr>
                <w:sz w:val="20"/>
                <w:szCs w:val="20"/>
                <w:color w:val="auto"/>
              </w:rPr>
            </w:pPr>
            <w:r>
              <w:rPr>
                <w:rFonts w:ascii="Arial" w:cs="Arial" w:eastAsia="Arial" w:hAnsi="Arial"/>
                <w:sz w:val="12"/>
                <w:szCs w:val="12"/>
                <w:color w:val="auto"/>
              </w:rPr>
              <w:t>To withhold authority to vote for any individual nominee(s), mark</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40" w:type="dxa"/>
            <w:vAlign w:val="bottom"/>
            <w:gridSpan w:val="6"/>
          </w:tcPr>
          <w:p>
            <w:pPr>
              <w:spacing w:after="0" w:line="134" w:lineRule="exact"/>
              <w:rPr>
                <w:sz w:val="20"/>
                <w:szCs w:val="20"/>
                <w:color w:val="auto"/>
              </w:rPr>
            </w:pPr>
            <w:r>
              <w:rPr>
                <w:rFonts w:ascii="Arial" w:cs="Arial" w:eastAsia="Arial" w:hAnsi="Arial"/>
                <w:sz w:val="12"/>
                <w:szCs w:val="12"/>
                <w:color w:val="auto"/>
              </w:rPr>
              <w:t>“For All Except” and write the number(s) of the nominee(s) on the</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0" w:type="dxa"/>
            <w:vAlign w:val="bottom"/>
            <w:gridSpan w:val="5"/>
          </w:tcPr>
          <w:p>
            <w:pPr>
              <w:spacing w:after="0"/>
              <w:rPr>
                <w:sz w:val="20"/>
                <w:szCs w:val="20"/>
                <w:color w:val="auto"/>
              </w:rPr>
            </w:pPr>
            <w:r>
              <w:rPr>
                <w:rFonts w:ascii="Arial" w:cs="Arial" w:eastAsia="Arial" w:hAnsi="Arial"/>
                <w:sz w:val="12"/>
                <w:szCs w:val="12"/>
                <w:color w:val="auto"/>
              </w:rPr>
              <w:t>line below.</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20" w:type="dxa"/>
            <w:vAlign w:val="bottom"/>
            <w:tcBorders>
              <w:right w:val="single" w:sz="8" w:color="auto"/>
            </w:tcBorders>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1.</w:t>
            </w:r>
          </w:p>
        </w:tc>
        <w:tc>
          <w:tcPr>
            <w:tcW w:w="1980" w:type="dxa"/>
            <w:vAlign w:val="bottom"/>
          </w:tcPr>
          <w:p>
            <w:pPr>
              <w:ind w:left="20"/>
              <w:spacing w:after="0"/>
              <w:rPr>
                <w:sz w:val="20"/>
                <w:szCs w:val="20"/>
                <w:color w:val="auto"/>
              </w:rPr>
            </w:pPr>
            <w:r>
              <w:rPr>
                <w:rFonts w:ascii="Arial" w:cs="Arial" w:eastAsia="Arial" w:hAnsi="Arial"/>
                <w:sz w:val="12"/>
                <w:szCs w:val="12"/>
                <w:color w:val="auto"/>
              </w:rPr>
              <w:t>Election of Directors:</w:t>
            </w: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9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Nominees:</w:t>
            </w:r>
          </w:p>
        </w:tc>
        <w:tc>
          <w:tcPr>
            <w:tcW w:w="560" w:type="dxa"/>
            <w:vAlign w:val="bottom"/>
            <w:vMerge w:val="restart"/>
          </w:tcPr>
          <w:p>
            <w:pPr>
              <w:jc w:val="center"/>
              <w:ind w:left="129"/>
              <w:spacing w:after="0"/>
              <w:rPr>
                <w:sz w:val="20"/>
                <w:szCs w:val="20"/>
                <w:color w:val="auto"/>
              </w:rPr>
            </w:pPr>
            <w:r>
              <w:rPr>
                <w:rFonts w:ascii="Arial" w:cs="Arial" w:eastAsia="Arial" w:hAnsi="Arial"/>
                <w:sz w:val="12"/>
                <w:szCs w:val="12"/>
                <w:b w:val="1"/>
                <w:bCs w:val="1"/>
                <w:color w:val="auto"/>
              </w:rPr>
              <w:t>For</w:t>
            </w:r>
          </w:p>
        </w:tc>
        <w:tc>
          <w:tcPr>
            <w:tcW w:w="8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Withhold All</w:t>
            </w: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For All</w:t>
            </w:r>
          </w:p>
        </w:tc>
        <w:tc>
          <w:tcPr>
            <w:tcW w:w="1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60" w:type="dxa"/>
            <w:vAlign w:val="bottom"/>
          </w:tcPr>
          <w:p>
            <w:pPr>
              <w:jc w:val="center"/>
              <w:ind w:left="129"/>
              <w:spacing w:after="0"/>
              <w:rPr>
                <w:sz w:val="20"/>
                <w:szCs w:val="20"/>
                <w:color w:val="auto"/>
              </w:rPr>
            </w:pPr>
            <w:r>
              <w:rPr>
                <w:rFonts w:ascii="Arial" w:cs="Arial" w:eastAsia="Arial" w:hAnsi="Arial"/>
                <w:sz w:val="12"/>
                <w:szCs w:val="12"/>
                <w:b w:val="1"/>
                <w:bCs w:val="1"/>
                <w:color w:val="auto"/>
              </w:rPr>
              <w:t>All</w:t>
            </w:r>
          </w:p>
        </w:tc>
        <w:tc>
          <w:tcPr>
            <w:tcW w:w="8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Except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20" w:type="dxa"/>
            <w:vAlign w:val="bottom"/>
            <w:tcBorders>
              <w:right w:val="single" w:sz="8" w:color="auto"/>
            </w:tcBorders>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01)</w:t>
            </w:r>
          </w:p>
        </w:tc>
        <w:tc>
          <w:tcPr>
            <w:tcW w:w="1980" w:type="dxa"/>
            <w:vAlign w:val="bottom"/>
          </w:tcPr>
          <w:p>
            <w:pPr>
              <w:ind w:left="20"/>
              <w:spacing w:after="0"/>
              <w:rPr>
                <w:sz w:val="20"/>
                <w:szCs w:val="20"/>
                <w:color w:val="auto"/>
              </w:rPr>
            </w:pPr>
            <w:r>
              <w:rPr>
                <w:rFonts w:ascii="Arial" w:cs="Arial" w:eastAsia="Arial" w:hAnsi="Arial"/>
                <w:sz w:val="12"/>
                <w:szCs w:val="12"/>
                <w:color w:val="auto"/>
              </w:rPr>
              <w:t>Dianne C. Craig</w:t>
            </w:r>
          </w:p>
        </w:tc>
        <w:tc>
          <w:tcPr>
            <w:tcW w:w="560" w:type="dxa"/>
            <w:vAlign w:val="bottom"/>
          </w:tcPr>
          <w:p>
            <w:pPr>
              <w:jc w:val="center"/>
              <w:ind w:left="109"/>
              <w:spacing w:after="0"/>
              <w:rPr>
                <w:sz w:val="20"/>
                <w:szCs w:val="20"/>
                <w:color w:val="auto"/>
              </w:rPr>
            </w:pPr>
            <w:r>
              <w:rPr>
                <w:rFonts w:ascii="Arial" w:cs="Arial" w:eastAsia="Arial" w:hAnsi="Arial"/>
                <w:sz w:val="18"/>
                <w:szCs w:val="18"/>
                <w:color w:val="auto"/>
                <w:w w:val="99"/>
              </w:rPr>
              <w:t>o</w:t>
            </w:r>
          </w:p>
        </w:tc>
        <w:tc>
          <w:tcPr>
            <w:tcW w:w="880" w:type="dxa"/>
            <w:vAlign w:val="bottom"/>
          </w:tcPr>
          <w:p>
            <w:pPr>
              <w:ind w:left="400"/>
              <w:spacing w:after="0"/>
              <w:rPr>
                <w:sz w:val="20"/>
                <w:szCs w:val="20"/>
                <w:color w:val="auto"/>
              </w:rPr>
            </w:pPr>
            <w:r>
              <w:rPr>
                <w:rFonts w:ascii="Arial" w:cs="Arial" w:eastAsia="Arial" w:hAnsi="Arial"/>
                <w:sz w:val="18"/>
                <w:szCs w:val="18"/>
                <w:color w:val="auto"/>
              </w:rPr>
              <w:t>o</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0" w:type="dxa"/>
            <w:vAlign w:val="bottom"/>
            <w:tcBorders>
              <w:right w:val="single" w:sz="8" w:color="auto"/>
            </w:tcBorders>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02)</w:t>
            </w:r>
          </w:p>
        </w:tc>
        <w:tc>
          <w:tcPr>
            <w:tcW w:w="1980" w:type="dxa"/>
            <w:vAlign w:val="bottom"/>
          </w:tcPr>
          <w:p>
            <w:pPr>
              <w:ind w:left="20"/>
              <w:spacing w:after="0"/>
              <w:rPr>
                <w:sz w:val="20"/>
                <w:szCs w:val="20"/>
                <w:color w:val="auto"/>
              </w:rPr>
            </w:pPr>
            <w:r>
              <w:rPr>
                <w:rFonts w:ascii="Arial" w:cs="Arial" w:eastAsia="Arial" w:hAnsi="Arial"/>
                <w:sz w:val="12"/>
                <w:szCs w:val="12"/>
                <w:color w:val="auto"/>
              </w:rPr>
              <w:t>Eric P. Hansotia</w:t>
            </w:r>
          </w:p>
        </w:tc>
        <w:tc>
          <w:tcPr>
            <w:tcW w:w="5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20" w:type="dxa"/>
            <w:vAlign w:val="bottom"/>
            <w:tcBorders>
              <w:right w:val="single" w:sz="8" w:color="auto"/>
            </w:tcBorders>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03)</w:t>
            </w:r>
          </w:p>
        </w:tc>
        <w:tc>
          <w:tcPr>
            <w:tcW w:w="1980" w:type="dxa"/>
            <w:vAlign w:val="bottom"/>
          </w:tcPr>
          <w:p>
            <w:pPr>
              <w:ind w:left="20"/>
              <w:spacing w:after="0"/>
              <w:rPr>
                <w:sz w:val="20"/>
                <w:szCs w:val="20"/>
                <w:color w:val="auto"/>
              </w:rPr>
            </w:pPr>
            <w:r>
              <w:rPr>
                <w:rFonts w:ascii="Arial" w:cs="Arial" w:eastAsia="Arial" w:hAnsi="Arial"/>
                <w:sz w:val="12"/>
                <w:szCs w:val="12"/>
                <w:color w:val="auto"/>
              </w:rPr>
              <w:t>D. Christian Koch</w:t>
            </w:r>
          </w:p>
        </w:tc>
        <w:tc>
          <w:tcPr>
            <w:tcW w:w="5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gridSpan w:val="5"/>
          </w:tcPr>
          <w:p>
            <w:pPr>
              <w:spacing w:after="0"/>
              <w:rPr>
                <w:sz w:val="20"/>
                <w:szCs w:val="20"/>
                <w:color w:val="auto"/>
              </w:rPr>
            </w:pPr>
            <w:r>
              <w:rPr>
                <w:rFonts w:ascii="Arial" w:cs="Arial" w:eastAsia="Arial" w:hAnsi="Arial"/>
                <w:sz w:val="12"/>
                <w:szCs w:val="12"/>
                <w:b w:val="1"/>
                <w:bCs w:val="1"/>
                <w:color w:val="auto"/>
              </w:rPr>
              <w:t>The Board of Directors recommends you vote FOR proposals 2, 3, 4, 5 and 6:</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Arial" w:cs="Arial" w:eastAsia="Arial" w:hAnsi="Arial"/>
                <w:sz w:val="12"/>
                <w:szCs w:val="12"/>
                <w:b w:val="1"/>
                <w:bCs w:val="1"/>
                <w:color w:val="auto"/>
              </w:rPr>
              <w:t>For</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9"/>
              </w:rPr>
              <w:t>Against</w:t>
            </w:r>
          </w:p>
        </w:tc>
        <w:tc>
          <w:tcPr>
            <w:tcW w:w="240" w:type="dxa"/>
            <w:vAlign w:val="bottom"/>
          </w:tcPr>
          <w:p>
            <w:pPr>
              <w:spacing w:after="0"/>
              <w:rPr>
                <w:sz w:val="24"/>
                <w:szCs w:val="24"/>
                <w:color w:val="auto"/>
              </w:rPr>
            </w:pPr>
          </w:p>
        </w:tc>
        <w:tc>
          <w:tcPr>
            <w:tcW w:w="1300" w:type="dxa"/>
            <w:vAlign w:val="bottom"/>
            <w:tcBorders>
              <w:right w:val="single" w:sz="8" w:color="auto"/>
            </w:tcBorders>
            <w:gridSpan w:val="2"/>
          </w:tcPr>
          <w:p>
            <w:pPr>
              <w:jc w:val="center"/>
              <w:ind w:right="580"/>
              <w:spacing w:after="0"/>
              <w:rPr>
                <w:sz w:val="20"/>
                <w:szCs w:val="20"/>
                <w:color w:val="auto"/>
              </w:rPr>
            </w:pPr>
            <w:r>
              <w:rPr>
                <w:rFonts w:ascii="Arial" w:cs="Arial" w:eastAsia="Arial" w:hAnsi="Arial"/>
                <w:sz w:val="12"/>
                <w:szCs w:val="12"/>
                <w:b w:val="1"/>
                <w:bCs w:val="1"/>
                <w:color w:val="auto"/>
                <w:w w:val="99"/>
              </w:rPr>
              <w:t>Abstain</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20" w:type="dxa"/>
            <w:vAlign w:val="bottom"/>
            <w:tcBorders>
              <w:right w:val="single" w:sz="8" w:color="auto"/>
            </w:tcBorders>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2.</w:t>
            </w:r>
          </w:p>
        </w:tc>
        <w:tc>
          <w:tcPr>
            <w:tcW w:w="7200" w:type="dxa"/>
            <w:vAlign w:val="bottom"/>
            <w:gridSpan w:val="10"/>
          </w:tcPr>
          <w:p>
            <w:pPr>
              <w:ind w:left="20"/>
              <w:spacing w:after="0"/>
              <w:rPr>
                <w:sz w:val="20"/>
                <w:szCs w:val="20"/>
                <w:color w:val="auto"/>
              </w:rPr>
            </w:pPr>
            <w:r>
              <w:rPr>
                <w:rFonts w:ascii="Arial" w:cs="Arial" w:eastAsia="Arial" w:hAnsi="Arial"/>
                <w:sz w:val="12"/>
                <w:szCs w:val="12"/>
                <w:color w:val="auto"/>
              </w:rPr>
              <w:t>Ratification of the selection of KPMG LLP as our independent registered public</w:t>
            </w:r>
          </w:p>
        </w:tc>
        <w:tc>
          <w:tcPr>
            <w:tcW w:w="640" w:type="dxa"/>
            <w:vAlign w:val="bottom"/>
          </w:tcPr>
          <w:p>
            <w:pPr>
              <w:ind w:left="280"/>
              <w:spacing w:after="0"/>
              <w:rPr>
                <w:sz w:val="20"/>
                <w:szCs w:val="20"/>
                <w:color w:val="auto"/>
              </w:rPr>
            </w:pPr>
            <w:r>
              <w:rPr>
                <w:rFonts w:ascii="Arial" w:cs="Arial" w:eastAsia="Arial" w:hAnsi="Arial"/>
                <w:sz w:val="18"/>
                <w:szCs w:val="18"/>
                <w:color w:val="auto"/>
              </w:rPr>
              <w:t>o</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240" w:type="dxa"/>
            <w:vAlign w:val="bottom"/>
          </w:tcPr>
          <w:p>
            <w:pPr>
              <w:spacing w:after="0"/>
              <w:rPr>
                <w:sz w:val="19"/>
                <w:szCs w:val="19"/>
                <w:color w:val="auto"/>
              </w:rPr>
            </w:pPr>
          </w:p>
        </w:tc>
        <w:tc>
          <w:tcPr>
            <w:tcW w:w="1300" w:type="dxa"/>
            <w:vAlign w:val="bottom"/>
            <w:tcBorders>
              <w:right w:val="single" w:sz="8" w:color="auto"/>
            </w:tcBorders>
            <w:gridSpan w:val="2"/>
          </w:tcPr>
          <w:p>
            <w:pPr>
              <w:jc w:val="center"/>
              <w:ind w:right="560"/>
              <w:spacing w:after="0"/>
              <w:rPr>
                <w:sz w:val="20"/>
                <w:szCs w:val="20"/>
                <w:color w:val="auto"/>
              </w:rPr>
            </w:pPr>
            <w:r>
              <w:rPr>
                <w:rFonts w:ascii="Arial" w:cs="Arial" w:eastAsia="Arial" w:hAnsi="Arial"/>
                <w:sz w:val="18"/>
                <w:szCs w:val="18"/>
                <w:color w:val="auto"/>
                <w:w w:val="99"/>
              </w:rPr>
              <w:t>o</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20" w:type="dxa"/>
            <w:vAlign w:val="bottom"/>
            <w:gridSpan w:val="3"/>
          </w:tcPr>
          <w:p>
            <w:pPr>
              <w:ind w:left="20"/>
              <w:spacing w:after="0"/>
              <w:rPr>
                <w:sz w:val="20"/>
                <w:szCs w:val="20"/>
                <w:color w:val="auto"/>
              </w:rPr>
            </w:pPr>
            <w:r>
              <w:rPr>
                <w:rFonts w:ascii="Arial" w:cs="Arial" w:eastAsia="Arial" w:hAnsi="Arial"/>
                <w:sz w:val="12"/>
                <w:szCs w:val="12"/>
                <w:color w:val="auto"/>
              </w:rPr>
              <w:t>accounting firm for our fiscal year ending October 31, 2026.</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220" w:type="dxa"/>
            <w:vAlign w:val="bottom"/>
            <w:tcBorders>
              <w:right w:val="single" w:sz="8" w:color="auto"/>
            </w:tcBorders>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3.</w:t>
            </w:r>
          </w:p>
        </w:tc>
        <w:tc>
          <w:tcPr>
            <w:tcW w:w="4060" w:type="dxa"/>
            <w:vAlign w:val="bottom"/>
            <w:gridSpan w:val="4"/>
          </w:tcPr>
          <w:p>
            <w:pPr>
              <w:ind w:left="20"/>
              <w:spacing w:after="0"/>
              <w:rPr>
                <w:sz w:val="20"/>
                <w:szCs w:val="20"/>
                <w:color w:val="auto"/>
              </w:rPr>
            </w:pPr>
            <w:r>
              <w:rPr>
                <w:rFonts w:ascii="Arial" w:cs="Arial" w:eastAsia="Arial" w:hAnsi="Arial"/>
                <w:sz w:val="12"/>
                <w:szCs w:val="12"/>
                <w:color w:val="auto"/>
              </w:rPr>
              <w:t>Approval of, on an advisory basis, our executive compensation.</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o</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240" w:type="dxa"/>
            <w:vAlign w:val="bottom"/>
          </w:tcPr>
          <w:p>
            <w:pPr>
              <w:spacing w:after="0"/>
              <w:rPr>
                <w:sz w:val="24"/>
                <w:szCs w:val="24"/>
                <w:color w:val="auto"/>
              </w:rPr>
            </w:pPr>
          </w:p>
        </w:tc>
        <w:tc>
          <w:tcPr>
            <w:tcW w:w="1300" w:type="dxa"/>
            <w:vAlign w:val="bottom"/>
            <w:tcBorders>
              <w:right w:val="single" w:sz="8" w:color="auto"/>
            </w:tcBorders>
            <w:gridSpan w:val="2"/>
          </w:tcPr>
          <w:p>
            <w:pPr>
              <w:jc w:val="center"/>
              <w:ind w:right="560"/>
              <w:spacing w:after="0"/>
              <w:rPr>
                <w:sz w:val="20"/>
                <w:szCs w:val="20"/>
                <w:color w:val="auto"/>
              </w:rPr>
            </w:pPr>
            <w:r>
              <w:rPr>
                <w:rFonts w:ascii="Arial" w:cs="Arial" w:eastAsia="Arial" w:hAnsi="Arial"/>
                <w:sz w:val="18"/>
                <w:szCs w:val="18"/>
                <w:color w:val="auto"/>
                <w:w w:val="99"/>
              </w:rPr>
              <w:t>o</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20" w:type="dxa"/>
            <w:vAlign w:val="bottom"/>
            <w:tcBorders>
              <w:right w:val="single" w:sz="8" w:color="auto"/>
            </w:tcBorders>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4.</w:t>
            </w:r>
          </w:p>
        </w:tc>
        <w:tc>
          <w:tcPr>
            <w:tcW w:w="3420" w:type="dxa"/>
            <w:vAlign w:val="bottom"/>
            <w:gridSpan w:val="3"/>
          </w:tcPr>
          <w:p>
            <w:pPr>
              <w:ind w:left="20"/>
              <w:spacing w:after="0"/>
              <w:rPr>
                <w:sz w:val="20"/>
                <w:szCs w:val="20"/>
                <w:color w:val="auto"/>
              </w:rPr>
            </w:pPr>
            <w:r>
              <w:rPr>
                <w:rFonts w:ascii="Arial" w:cs="Arial" w:eastAsia="Arial" w:hAnsi="Arial"/>
                <w:sz w:val="12"/>
                <w:szCs w:val="12"/>
                <w:color w:val="auto"/>
              </w:rPr>
              <w:t>Approval of The Toro Company 2026 Equity Plan.</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o</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240" w:type="dxa"/>
            <w:vAlign w:val="bottom"/>
          </w:tcPr>
          <w:p>
            <w:pPr>
              <w:spacing w:after="0"/>
              <w:rPr>
                <w:sz w:val="24"/>
                <w:szCs w:val="24"/>
                <w:color w:val="auto"/>
              </w:rPr>
            </w:pPr>
          </w:p>
        </w:tc>
        <w:tc>
          <w:tcPr>
            <w:tcW w:w="1300" w:type="dxa"/>
            <w:vAlign w:val="bottom"/>
            <w:tcBorders>
              <w:right w:val="single" w:sz="8" w:color="auto"/>
            </w:tcBorders>
            <w:gridSpan w:val="2"/>
          </w:tcPr>
          <w:p>
            <w:pPr>
              <w:jc w:val="center"/>
              <w:ind w:right="560"/>
              <w:spacing w:after="0"/>
              <w:rPr>
                <w:sz w:val="20"/>
                <w:szCs w:val="20"/>
                <w:color w:val="auto"/>
              </w:rPr>
            </w:pPr>
            <w:r>
              <w:rPr>
                <w:rFonts w:ascii="Arial" w:cs="Arial" w:eastAsia="Arial" w:hAnsi="Arial"/>
                <w:sz w:val="18"/>
                <w:szCs w:val="18"/>
                <w:color w:val="auto"/>
                <w:w w:val="99"/>
              </w:rPr>
              <w:t>o</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20" w:type="dxa"/>
            <w:vAlign w:val="bottom"/>
            <w:tcBorders>
              <w:right w:val="single" w:sz="8" w:color="auto"/>
            </w:tcBorders>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5.</w:t>
            </w:r>
          </w:p>
        </w:tc>
        <w:tc>
          <w:tcPr>
            <w:tcW w:w="4060" w:type="dxa"/>
            <w:vAlign w:val="bottom"/>
            <w:gridSpan w:val="4"/>
          </w:tcPr>
          <w:p>
            <w:pPr>
              <w:ind w:left="20"/>
              <w:spacing w:after="0"/>
              <w:rPr>
                <w:sz w:val="20"/>
                <w:szCs w:val="20"/>
                <w:color w:val="auto"/>
              </w:rPr>
            </w:pPr>
            <w:r>
              <w:rPr>
                <w:rFonts w:ascii="Arial" w:cs="Arial" w:eastAsia="Arial" w:hAnsi="Arial"/>
                <w:sz w:val="12"/>
                <w:szCs w:val="12"/>
                <w:color w:val="auto"/>
              </w:rPr>
              <w:t>Approval of an amendment to the Company's Restated Certificate of</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o</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240" w:type="dxa"/>
            <w:vAlign w:val="bottom"/>
          </w:tcPr>
          <w:p>
            <w:pPr>
              <w:spacing w:after="0"/>
              <w:rPr>
                <w:sz w:val="21"/>
                <w:szCs w:val="21"/>
                <w:color w:val="auto"/>
              </w:rPr>
            </w:pPr>
          </w:p>
        </w:tc>
        <w:tc>
          <w:tcPr>
            <w:tcW w:w="1300" w:type="dxa"/>
            <w:vAlign w:val="bottom"/>
            <w:tcBorders>
              <w:right w:val="single" w:sz="8" w:color="auto"/>
            </w:tcBorders>
            <w:gridSpan w:val="2"/>
          </w:tcPr>
          <w:p>
            <w:pPr>
              <w:jc w:val="center"/>
              <w:ind w:right="560"/>
              <w:spacing w:after="0"/>
              <w:rPr>
                <w:sz w:val="20"/>
                <w:szCs w:val="20"/>
                <w:color w:val="auto"/>
              </w:rPr>
            </w:pPr>
            <w:r>
              <w:rPr>
                <w:rFonts w:ascii="Arial" w:cs="Arial" w:eastAsia="Arial" w:hAnsi="Arial"/>
                <w:sz w:val="18"/>
                <w:szCs w:val="18"/>
                <w:color w:val="auto"/>
                <w:w w:val="99"/>
              </w:rPr>
              <w:t>o</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60" w:type="dxa"/>
            <w:vAlign w:val="bottom"/>
            <w:gridSpan w:val="4"/>
          </w:tcPr>
          <w:p>
            <w:pPr>
              <w:ind w:left="20"/>
              <w:spacing w:after="0" w:line="122" w:lineRule="exact"/>
              <w:rPr>
                <w:sz w:val="20"/>
                <w:szCs w:val="20"/>
                <w:color w:val="auto"/>
              </w:rPr>
            </w:pPr>
            <w:r>
              <w:rPr>
                <w:rFonts w:ascii="Arial" w:cs="Arial" w:eastAsia="Arial" w:hAnsi="Arial"/>
                <w:sz w:val="12"/>
                <w:szCs w:val="12"/>
                <w:color w:val="auto"/>
              </w:rPr>
              <w:t>Incorporation to eliminate or limit the liability of officers as provided under</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80" w:type="dxa"/>
            <w:vAlign w:val="bottom"/>
          </w:tcPr>
          <w:p>
            <w:pPr>
              <w:ind w:left="20"/>
              <w:spacing w:after="0"/>
              <w:rPr>
                <w:sz w:val="20"/>
                <w:szCs w:val="20"/>
                <w:color w:val="auto"/>
              </w:rPr>
            </w:pPr>
            <w:r>
              <w:rPr>
                <w:rFonts w:ascii="Arial" w:cs="Arial" w:eastAsia="Arial" w:hAnsi="Arial"/>
                <w:sz w:val="12"/>
                <w:szCs w:val="12"/>
                <w:color w:val="auto"/>
              </w:rPr>
              <w:t>Delaware law.</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20" w:type="dxa"/>
            <w:vAlign w:val="bottom"/>
            <w:tcBorders>
              <w:right w:val="single" w:sz="8" w:color="auto"/>
            </w:tcBorders>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6.</w:t>
            </w:r>
          </w:p>
        </w:tc>
        <w:tc>
          <w:tcPr>
            <w:tcW w:w="4060" w:type="dxa"/>
            <w:vAlign w:val="bottom"/>
            <w:gridSpan w:val="4"/>
          </w:tcPr>
          <w:p>
            <w:pPr>
              <w:ind w:left="20"/>
              <w:spacing w:after="0"/>
              <w:rPr>
                <w:sz w:val="20"/>
                <w:szCs w:val="20"/>
                <w:color w:val="auto"/>
              </w:rPr>
            </w:pPr>
            <w:r>
              <w:rPr>
                <w:rFonts w:ascii="Arial" w:cs="Arial" w:eastAsia="Arial" w:hAnsi="Arial"/>
                <w:sz w:val="12"/>
                <w:szCs w:val="12"/>
                <w:color w:val="auto"/>
              </w:rPr>
              <w:t>Approval of an amendment to the Company's Restated Certificate of</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o</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240" w:type="dxa"/>
            <w:vAlign w:val="bottom"/>
          </w:tcPr>
          <w:p>
            <w:pPr>
              <w:spacing w:after="0"/>
              <w:rPr>
                <w:sz w:val="20"/>
                <w:szCs w:val="20"/>
                <w:color w:val="auto"/>
              </w:rPr>
            </w:pPr>
          </w:p>
        </w:tc>
        <w:tc>
          <w:tcPr>
            <w:tcW w:w="1300" w:type="dxa"/>
            <w:vAlign w:val="bottom"/>
            <w:tcBorders>
              <w:right w:val="single" w:sz="8" w:color="auto"/>
            </w:tcBorders>
            <w:gridSpan w:val="2"/>
          </w:tcPr>
          <w:p>
            <w:pPr>
              <w:jc w:val="center"/>
              <w:ind w:right="560"/>
              <w:spacing w:after="0"/>
              <w:rPr>
                <w:sz w:val="20"/>
                <w:szCs w:val="20"/>
                <w:color w:val="auto"/>
              </w:rPr>
            </w:pPr>
            <w:r>
              <w:rPr>
                <w:rFonts w:ascii="Arial" w:cs="Arial" w:eastAsia="Arial" w:hAnsi="Arial"/>
                <w:sz w:val="18"/>
                <w:szCs w:val="18"/>
                <w:color w:val="auto"/>
                <w:w w:val="99"/>
              </w:rPr>
              <w:t>o</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0" w:type="dxa"/>
            <w:vAlign w:val="bottom"/>
            <w:gridSpan w:val="10"/>
          </w:tcPr>
          <w:p>
            <w:pPr>
              <w:ind w:left="20"/>
              <w:spacing w:after="0" w:line="122" w:lineRule="exact"/>
              <w:rPr>
                <w:sz w:val="20"/>
                <w:szCs w:val="20"/>
                <w:color w:val="auto"/>
              </w:rPr>
            </w:pPr>
            <w:r>
              <w:rPr>
                <w:rFonts w:ascii="Arial" w:cs="Arial" w:eastAsia="Arial" w:hAnsi="Arial"/>
                <w:sz w:val="12"/>
                <w:szCs w:val="12"/>
                <w:color w:val="auto"/>
              </w:rPr>
              <w:t>Incorporation to change the par value of all capital stock from $1.00 to $0.01</w:t>
            </w:r>
          </w:p>
        </w:tc>
        <w:tc>
          <w:tcPr>
            <w:tcW w:w="6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80" w:type="dxa"/>
            <w:vAlign w:val="bottom"/>
          </w:tcPr>
          <w:p>
            <w:pPr>
              <w:ind w:left="20"/>
              <w:spacing w:after="0"/>
              <w:rPr>
                <w:sz w:val="20"/>
                <w:szCs w:val="20"/>
                <w:color w:val="auto"/>
              </w:rPr>
            </w:pPr>
            <w:r>
              <w:rPr>
                <w:rFonts w:ascii="Arial" w:cs="Arial" w:eastAsia="Arial" w:hAnsi="Arial"/>
                <w:sz w:val="12"/>
                <w:szCs w:val="12"/>
                <w:color w:val="auto"/>
              </w:rPr>
              <w:t>per share.</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720" w:type="dxa"/>
            <w:vAlign w:val="bottom"/>
            <w:gridSpan w:val="11"/>
          </w:tcPr>
          <w:p>
            <w:pPr>
              <w:spacing w:after="0"/>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In their discretion, the proxies are authorized to vote on any other business properly brought before the annual meeting or any</w:t>
            </w: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3"/>
          </w:tcPr>
          <w:p>
            <w:pPr>
              <w:spacing w:after="0"/>
              <w:rPr>
                <w:sz w:val="20"/>
                <w:szCs w:val="20"/>
                <w:color w:val="auto"/>
              </w:rPr>
            </w:pPr>
            <w:r>
              <w:rPr>
                <w:rFonts w:ascii="Arial" w:cs="Arial" w:eastAsia="Arial" w:hAnsi="Arial"/>
                <w:sz w:val="12"/>
                <w:szCs w:val="12"/>
                <w:color w:val="auto"/>
              </w:rPr>
              <w:t>adjournment or postponement of the annual meeting.</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740" w:type="dxa"/>
            <w:vAlign w:val="bottom"/>
            <w:tcBorders>
              <w:right w:val="single" w:sz="8" w:color="auto"/>
            </w:tcBorders>
            <w:gridSpan w:val="16"/>
          </w:tcPr>
          <w:p>
            <w:pPr>
              <w:spacing w:after="0"/>
              <w:rPr>
                <w:sz w:val="20"/>
                <w:szCs w:val="20"/>
                <w:color w:val="auto"/>
              </w:rPr>
            </w:pPr>
            <w:r>
              <w:rPr>
                <w:rFonts w:ascii="Arial" w:cs="Arial" w:eastAsia="Arial" w:hAnsi="Arial"/>
                <w:sz w:val="12"/>
                <w:szCs w:val="12"/>
                <w:color w:val="auto"/>
              </w:rPr>
              <w:t>Please sign exactly as your name(s) appear(s) on this proxy. If held in joint tenancy, all persons must sign. Trustees, administrators, etc., should include title and authority. Corporations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720" w:type="dxa"/>
            <w:vAlign w:val="bottom"/>
            <w:gridSpan w:val="11"/>
          </w:tcPr>
          <w:p>
            <w:pPr>
              <w:spacing w:after="0"/>
              <w:rPr>
                <w:sz w:val="20"/>
                <w:szCs w:val="20"/>
                <w:color w:val="auto"/>
              </w:rPr>
            </w:pPr>
            <w:r>
              <w:rPr>
                <w:rFonts w:ascii="Arial" w:cs="Arial" w:eastAsia="Arial" w:hAnsi="Arial"/>
                <w:sz w:val="12"/>
                <w:szCs w:val="12"/>
                <w:color w:val="auto"/>
              </w:rPr>
              <w:t>should provide full name of corporation and title of authorized officer signing the proxy.</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2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50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760" w:type="dxa"/>
            <w:vAlign w:val="bottom"/>
            <w:gridSpan w:val="4"/>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0"/>
        </w:trPr>
        <w:tc>
          <w:tcPr>
            <w:tcW w:w="22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198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right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right w:val="single" w:sz="8" w:color="auto"/>
            </w:tcBorders>
          </w:tcPr>
          <w:p>
            <w:pPr>
              <w:spacing w:after="0"/>
              <w:rPr>
                <w:sz w:val="24"/>
                <w:szCs w:val="24"/>
                <w:color w:val="auto"/>
              </w:rPr>
            </w:pPr>
          </w:p>
        </w:tc>
        <w:tc>
          <w:tcPr>
            <w:tcW w:w="240" w:type="dxa"/>
            <w:vAlign w:val="bottom"/>
            <w:tcBorders>
              <w:top w:val="single" w:sz="8" w:color="auto"/>
              <w:right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right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20" w:type="dxa"/>
            <w:vAlign w:val="bottom"/>
            <w:tcBorders>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Signature [PLEASE SIGN WITHIN BOX]</w:t>
            </w: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Date</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spacing w:after="0"/>
              <w:rPr>
                <w:sz w:val="20"/>
                <w:szCs w:val="20"/>
                <w:color w:val="auto"/>
              </w:rPr>
            </w:pPr>
            <w:r>
              <w:rPr>
                <w:rFonts w:ascii="Arial" w:cs="Arial" w:eastAsia="Arial" w:hAnsi="Arial"/>
                <w:sz w:val="12"/>
                <w:szCs w:val="12"/>
                <w:color w:val="auto"/>
              </w:rPr>
              <w:t>Signature (Joint Owners)</w:t>
            </w:r>
          </w:p>
        </w:tc>
        <w:tc>
          <w:tcPr>
            <w:tcW w:w="6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540" w:type="dxa"/>
            <w:vAlign w:val="bottom"/>
            <w:tcBorders>
              <w:bottom w:val="single" w:sz="8" w:color="auto"/>
              <w:right w:val="single" w:sz="8" w:color="auto"/>
            </w:tcBorders>
            <w:gridSpan w:val="3"/>
          </w:tcPr>
          <w:p>
            <w:pPr>
              <w:jc w:val="center"/>
              <w:ind w:right="1280"/>
              <w:spacing w:after="0"/>
              <w:rPr>
                <w:sz w:val="20"/>
                <w:szCs w:val="20"/>
                <w:color w:val="auto"/>
              </w:rPr>
            </w:pPr>
            <w:r>
              <w:rPr>
                <w:rFonts w:ascii="Arial" w:cs="Arial" w:eastAsia="Arial" w:hAnsi="Arial"/>
                <w:sz w:val="12"/>
                <w:szCs w:val="12"/>
                <w:color w:val="auto"/>
              </w:rPr>
              <w:t>Date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8"/>
        </w:trPr>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-5188585</wp:posOffset>
            </wp:positionV>
            <wp:extent cx="6990080" cy="336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0080" cy="336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TORO COMPANY</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ANNUAL MEETING OF STOCKHOLDERS</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Tuesday, March 17, 2026</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2:00 p.m. CDT</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www.virtualshareholdermeeting.com/TTC2026</w:t>
      </w: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363435"/>
        </w:rPr>
        <w:t>Important Notice Regarding the Availability of Proxy Materials for the Annual Meeting:</w:t>
      </w:r>
    </w:p>
    <w:p>
      <w:pPr>
        <w:spacing w:after="0" w:line="52"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The Notice &amp; Proxy Statement for the Annual Meeting of Stockholders on March 17, 2026, and</w:t>
      </w:r>
    </w:p>
    <w:p>
      <w:pPr>
        <w:spacing w:after="0" w:line="13"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our 2025 Annual Report are available at www.thetorocompany.com/proxy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356235</wp:posOffset>
            </wp:positionV>
            <wp:extent cx="7095490" cy="26308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095490" cy="2630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ind w:left="20"/>
              <w:spacing w:after="0"/>
              <w:rPr>
                <w:sz w:val="20"/>
                <w:szCs w:val="20"/>
                <w:color w:val="auto"/>
              </w:rPr>
            </w:pPr>
            <w:r>
              <w:rPr>
                <w:rFonts w:ascii="Arial" w:cs="Arial" w:eastAsia="Arial" w:hAnsi="Arial"/>
                <w:sz w:val="14"/>
                <w:szCs w:val="14"/>
                <w:b w:val="1"/>
                <w:bCs w:val="1"/>
                <w:color w:val="auto"/>
              </w:rPr>
              <w:t>8111 Lyndale Avenue South</w:t>
            </w:r>
          </w:p>
        </w:tc>
        <w:tc>
          <w:tcPr>
            <w:tcW w:w="1880" w:type="dxa"/>
            <w:vAlign w:val="bottom"/>
          </w:tcPr>
          <w:p>
            <w:pPr>
              <w:spacing w:after="0"/>
              <w:rPr>
                <w:sz w:val="14"/>
                <w:szCs w:val="14"/>
                <w:color w:val="auto"/>
              </w:rPr>
            </w:pPr>
          </w:p>
        </w:tc>
      </w:tr>
      <w:tr>
        <w:trPr>
          <w:trHeight w:val="203"/>
        </w:trPr>
        <w:tc>
          <w:tcPr>
            <w:tcW w:w="8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Bloomington, MN 55420</w:t>
            </w:r>
          </w:p>
        </w:tc>
        <w:tc>
          <w:tcPr>
            <w:tcW w:w="188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Proxy</w:t>
            </w:r>
          </w:p>
        </w:tc>
      </w:tr>
      <w:tr>
        <w:trPr>
          <w:trHeight w:val="199"/>
        </w:trPr>
        <w:tc>
          <w:tcPr>
            <w:tcW w:w="8700" w:type="dxa"/>
            <w:vAlign w:val="bottom"/>
          </w:tcPr>
          <w:p>
            <w:pPr>
              <w:ind w:left="20"/>
              <w:spacing w:after="0"/>
              <w:rPr>
                <w:sz w:val="20"/>
                <w:szCs w:val="20"/>
                <w:color w:val="auto"/>
              </w:rPr>
            </w:pPr>
            <w:r>
              <w:rPr>
                <w:rFonts w:ascii="Arial" w:cs="Arial" w:eastAsia="Arial" w:hAnsi="Arial"/>
                <w:sz w:val="14"/>
                <w:szCs w:val="14"/>
                <w:b w:val="1"/>
                <w:bCs w:val="1"/>
                <w:color w:val="231F20"/>
              </w:rPr>
              <w:t>This proxy is solicited on behalf of the Board of Directors for use at the Annual Meeting on March 17, 2026.</w:t>
            </w:r>
          </w:p>
        </w:tc>
        <w:tc>
          <w:tcPr>
            <w:tcW w:w="1880" w:type="dxa"/>
            <w:vAlign w:val="bottom"/>
          </w:tcPr>
          <w:p>
            <w:pPr>
              <w:spacing w:after="0"/>
              <w:rPr>
                <w:sz w:val="17"/>
                <w:szCs w:val="17"/>
                <w:color w:val="auto"/>
              </w:rPr>
            </w:pPr>
          </w:p>
        </w:tc>
      </w:tr>
    </w:tbl>
    <w:p>
      <w:pPr>
        <w:spacing w:after="0" w:line="259" w:lineRule="exact"/>
        <w:rPr>
          <w:sz w:val="20"/>
          <w:szCs w:val="20"/>
          <w:color w:val="auto"/>
        </w:rPr>
      </w:pPr>
    </w:p>
    <w:p>
      <w:pPr>
        <w:jc w:val="both"/>
        <w:ind w:left="20" w:right="20"/>
        <w:spacing w:after="0" w:line="258" w:lineRule="auto"/>
        <w:rPr>
          <w:sz w:val="20"/>
          <w:szCs w:val="20"/>
          <w:color w:val="auto"/>
        </w:rPr>
      </w:pPr>
      <w:r>
        <w:rPr>
          <w:rFonts w:ascii="Arial" w:cs="Arial" w:eastAsia="Arial" w:hAnsi="Arial"/>
          <w:sz w:val="14"/>
          <w:szCs w:val="14"/>
          <w:color w:val="231F20"/>
        </w:rPr>
        <w:t>The shares of stock held in this account will be voted as you specify on the reverse side or by telephone or Internet. Shares held in employee benefit plans for which a proxy is not received will be voted by the trustee in the same proportion as votes actually cast by plan participants.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31F20"/>
        </w:rPr>
        <w:t>If no choice is specified, the proxy will be voted "For" all nominees for Director and "For" Proposals 2, 3, 4, 5 and 6.</w:t>
      </w:r>
    </w:p>
    <w:p>
      <w:pPr>
        <w:spacing w:after="0" w:line="52" w:lineRule="exact"/>
        <w:rPr>
          <w:sz w:val="20"/>
          <w:szCs w:val="20"/>
          <w:color w:val="auto"/>
        </w:rPr>
      </w:pPr>
    </w:p>
    <w:p>
      <w:pPr>
        <w:jc w:val="both"/>
        <w:ind w:left="20" w:right="20"/>
        <w:spacing w:after="0" w:line="239" w:lineRule="auto"/>
        <w:rPr>
          <w:sz w:val="20"/>
          <w:szCs w:val="20"/>
          <w:color w:val="auto"/>
        </w:rPr>
      </w:pPr>
      <w:r>
        <w:rPr>
          <w:rFonts w:ascii="Arial" w:cs="Arial" w:eastAsia="Arial" w:hAnsi="Arial"/>
          <w:sz w:val="14"/>
          <w:szCs w:val="14"/>
          <w:color w:val="231F20"/>
        </w:rPr>
        <w:t>By signing, dating and returning this proxy card, you revoke all prior proxies, including any proxy previously given by telephone or Internet, and appoint R. M. Olson and J. M. Totsky, or either of them, with full power of substitution, to vote these shares on the matters shown on the reverse side and on any other business properly brought before the annual meeting or any adjournment or postponement of the annual meeting.</w:t>
      </w: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Continued and to be signed on reverse side</w:t>
      </w:r>
    </w:p>
    <w:sectPr>
      <w:pgSz w:w="11900" w:h="16838" w:orient="portrait"/>
      <w:cols w:equalWidth="0" w:num="1">
        <w:col w:w="10580"/>
      </w:cols>
      <w:pgMar w:left="600" w:top="144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1"/>
      <w:numFmt w:val="bullet"/>
      <w:start w:val="1"/>
    </w:lvl>
  </w:abstractNum>
  <w:abstractNum w:abstractNumId="7">
    <w:nsid w:val="7E0C57B1"/>
    <w:multiLevelType w:val="hybridMultilevel"/>
    <w:lvl w:ilvl="0">
      <w:lvlJc w:val="left"/>
      <w:lvlText w:val="✓"/>
      <w:numFmt w:val="bullet"/>
      <w:start w:val="1"/>
    </w:lvl>
  </w:abstractNum>
  <w:abstractNum w:abstractNumId="8">
    <w:nsid w:val="77AE35EB"/>
    <w:multiLevelType w:val="hybridMultilevel"/>
    <w:lvl w:ilvl="0">
      <w:lvlJc w:val="left"/>
      <w:lvlText w:val="✓"/>
      <w:numFmt w:val="bullet"/>
      <w:start w:val="1"/>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
      <w:numFmt w:val="bullet"/>
      <w:start w:val="1"/>
    </w:lvl>
  </w:abstractNum>
  <w:abstractNum w:abstractNumId="13">
    <w:nsid w:val="25A70BF7"/>
    <w:multiLevelType w:val="hybridMultilevel"/>
    <w:lvl w:ilvl="0">
      <w:lvlJc w:val="left"/>
      <w:lvlText w:val="•"/>
      <w:numFmt w:val="bullet"/>
      <w:start w:val="1"/>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
      <w:numFmt w:val="bullet"/>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
      <w:numFmt w:val="bullet"/>
      <w:start w:val="1"/>
    </w:lvl>
  </w:abstractNum>
  <w:abstractNum w:abstractNumId="21">
    <w:nsid w:val="15014ACB"/>
    <w:multiLevelType w:val="hybridMultilevel"/>
    <w:lvl w:ilvl="0">
      <w:lvlJc w:val="left"/>
      <w:lvlText w:val="•"/>
      <w:numFmt w:val="bullet"/>
      <w:start w:val="1"/>
    </w:lvl>
  </w:abstractNum>
  <w:abstractNum w:abstractNumId="22">
    <w:nsid w:val="5F5E7FD0"/>
    <w:multiLevelType w:val="hybridMultilevel"/>
    <w:lvl w:ilvl="0">
      <w:lvlJc w:val="left"/>
      <w:lvlText w:val="•"/>
      <w:numFmt w:val="bullet"/>
      <w:start w:val="1"/>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
      <w:numFmt w:val="bullet"/>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
      <w:numFmt w:val="bullet"/>
      <w:start w:val="1"/>
    </w:lvl>
  </w:abstractNum>
  <w:abstractNum w:abstractNumId="28">
    <w:nsid w:val="1EBA5D23"/>
    <w:multiLevelType w:val="hybridMultilevel"/>
    <w:lvl w:ilvl="0">
      <w:lvlJc w:val="left"/>
      <w:lvlText w:val="•"/>
      <w:numFmt w:val="bullet"/>
      <w:start w:val="1"/>
    </w:lvl>
  </w:abstractNum>
  <w:abstractNum w:abstractNumId="29">
    <w:nsid w:val="661E3F1E"/>
    <w:multiLevelType w:val="hybridMultilevel"/>
    <w:lvl w:ilvl="0">
      <w:lvlJc w:val="left"/>
      <w:lvlText w:val="ü"/>
      <w:numFmt w:val="bullet"/>
      <w:start w:val="1"/>
    </w:lvl>
  </w:abstractNum>
  <w:abstractNum w:abstractNumId="30">
    <w:nsid w:val="5DC79EA8"/>
    <w:multiLevelType w:val="hybridMultilevel"/>
    <w:lvl w:ilvl="0">
      <w:lvlJc w:val="left"/>
      <w:lvlText w:val="%1."/>
      <w:numFmt w:val="decimal"/>
      <w:start w:val="1"/>
    </w:lvl>
  </w:abstractNum>
  <w:abstractNum w:abstractNumId="31">
    <w:nsid w:val="540A471C"/>
    <w:multiLevelType w:val="hybridMultilevel"/>
    <w:lvl w:ilvl="0">
      <w:lvlJc w:val="left"/>
      <w:lvlText w:val="%1."/>
      <w:numFmt w:val="decimal"/>
      <w:start w:val="4"/>
    </w:lvl>
  </w:abstractNum>
  <w:abstractNum w:abstractNumId="32">
    <w:nsid w:val="7BD3EE7B"/>
    <w:multiLevelType w:val="hybridMultilevel"/>
    <w:lvl w:ilvl="0">
      <w:lvlJc w:val="left"/>
      <w:lvlText w:val="%1."/>
      <w:numFmt w:val="decimal"/>
      <w:start w:val="5"/>
    </w:lvl>
  </w:abstractNum>
  <w:abstractNum w:abstractNumId="33">
    <w:nsid w:val="51D9C564"/>
    <w:multiLevelType w:val="hybridMultilevel"/>
    <w:lvl w:ilvl="0">
      <w:lvlJc w:val="left"/>
      <w:lvlText w:val="•"/>
      <w:numFmt w:val="bullet"/>
      <w:start w:val="1"/>
    </w:lvl>
  </w:abstractNum>
  <w:abstractNum w:abstractNumId="34">
    <w:nsid w:val="613EFDC5"/>
    <w:multiLevelType w:val="hybridMultilevel"/>
    <w:lvl w:ilvl="0">
      <w:lvlJc w:val="left"/>
      <w:lvlText w:val="•"/>
      <w:numFmt w:val="bullet"/>
      <w:start w:val="1"/>
    </w:lvl>
  </w:abstractNum>
  <w:abstractNum w:abstractNumId="35">
    <w:nsid w:val="BF72B14"/>
    <w:multiLevelType w:val="hybridMultilevel"/>
    <w:lvl w:ilvl="0">
      <w:lvlJc w:val="left"/>
      <w:lvlText w:val="•"/>
      <w:numFmt w:val="bullet"/>
      <w:start w:val="1"/>
    </w:lvl>
  </w:abstractNum>
  <w:abstractNum w:abstractNumId="36">
    <w:nsid w:val="11447B73"/>
    <w:multiLevelType w:val="hybridMultilevel"/>
    <w:lvl w:ilvl="0">
      <w:lvlJc w:val="left"/>
      <w:lvlText w:val="•"/>
      <w:numFmt w:val="bullet"/>
      <w:start w:val="1"/>
    </w:lvl>
  </w:abstractNum>
  <w:abstractNum w:abstractNumId="37">
    <w:nsid w:val="42963E5A"/>
    <w:multiLevelType w:val="hybridMultilevel"/>
    <w:lvl w:ilvl="0">
      <w:lvlJc w:val="left"/>
      <w:lvlText w:val="•"/>
      <w:numFmt w:val="bullet"/>
      <w:start w:val="1"/>
    </w:lvl>
  </w:abstractNum>
  <w:abstractNum w:abstractNumId="38">
    <w:nsid w:val="A0382C5"/>
    <w:multiLevelType w:val="hybridMultilevel"/>
    <w:lvl w:ilvl="0">
      <w:lvlJc w:val="left"/>
      <w:lvlText w:val="•"/>
      <w:numFmt w:val="bullet"/>
      <w:start w:val="1"/>
    </w:lvl>
  </w:abstractNum>
  <w:abstractNum w:abstractNumId="39">
    <w:nsid w:val="8F2B15E"/>
    <w:multiLevelType w:val="hybridMultilevel"/>
    <w:lvl w:ilvl="0">
      <w:lvlJc w:val="left"/>
      <w:lvlText w:val="&amp;"/>
      <w:numFmt w:val="bullet"/>
      <w:start w:val="1"/>
    </w:lvl>
  </w:abstractNum>
  <w:abstractNum w:abstractNumId="40">
    <w:nsid w:val="1A32234B"/>
    <w:multiLevelType w:val="hybridMultilevel"/>
    <w:lvl w:ilvl="0">
      <w:lvlJc w:val="left"/>
      <w:lvlText w:val="•"/>
      <w:numFmt w:val="bullet"/>
      <w:start w:val="1"/>
    </w:lvl>
  </w:abstractNum>
  <w:abstractNum w:abstractNumId="41">
    <w:nsid w:val="3B0FD379"/>
    <w:multiLevelType w:val="hybridMultilevel"/>
    <w:lvl w:ilvl="0">
      <w:lvlJc w:val="left"/>
      <w:lvlText w:val="•"/>
      <w:numFmt w:val="bullet"/>
      <w:start w:val="1"/>
    </w:lvl>
  </w:abstractNum>
  <w:abstractNum w:abstractNumId="42">
    <w:nsid w:val="68EB2F63"/>
    <w:multiLevelType w:val="hybridMultilevel"/>
    <w:lvl w:ilvl="0">
      <w:lvlJc w:val="left"/>
      <w:lvlText w:val="•"/>
      <w:numFmt w:val="bullet"/>
      <w:start w:val="1"/>
    </w:lvl>
  </w:abstractNum>
  <w:abstractNum w:abstractNumId="43">
    <w:nsid w:val="4962813B"/>
    <w:multiLevelType w:val="hybridMultilevel"/>
    <w:lvl w:ilvl="0">
      <w:lvlJc w:val="left"/>
      <w:lvlText w:val="•"/>
      <w:numFmt w:val="bullet"/>
      <w:start w:val="1"/>
    </w:lvl>
  </w:abstractNum>
  <w:abstractNum w:abstractNumId="44">
    <w:nsid w:val="60B6DF70"/>
    <w:multiLevelType w:val="hybridMultilevel"/>
    <w:lvl w:ilvl="0">
      <w:lvlJc w:val="left"/>
      <w:lvlText w:val="•"/>
      <w:numFmt w:val="bullet"/>
      <w:start w:val="1"/>
    </w:lvl>
  </w:abstractNum>
  <w:abstractNum w:abstractNumId="45">
    <w:nsid w:val="6A5EE64"/>
    <w:multiLevelType w:val="hybridMultilevel"/>
    <w:lvl w:ilvl="0">
      <w:lvlJc w:val="left"/>
      <w:lvlText w:val="•"/>
      <w:numFmt w:val="bullet"/>
      <w:start w:val="1"/>
    </w:lvl>
  </w:abstractNum>
  <w:abstractNum w:abstractNumId="46">
    <w:nsid w:val="14330624"/>
    <w:multiLevelType w:val="hybridMultilevel"/>
    <w:lvl w:ilvl="0">
      <w:lvlJc w:val="left"/>
      <w:lvlText w:val="•"/>
      <w:numFmt w:val="bullet"/>
      <w:start w:val="1"/>
    </w:lvl>
  </w:abstractNum>
  <w:abstractNum w:abstractNumId="47">
    <w:nsid w:val="7FFFCA11"/>
    <w:multiLevelType w:val="hybridMultilevel"/>
    <w:lvl w:ilvl="0">
      <w:lvlJc w:val="left"/>
      <w:lvlText w:val="•"/>
      <w:numFmt w:val="bullet"/>
      <w:start w:val="1"/>
    </w:lvl>
  </w:abstractNum>
  <w:abstractNum w:abstractNumId="48">
    <w:nsid w:val="1A27709E"/>
    <w:multiLevelType w:val="hybridMultilevel"/>
    <w:lvl w:ilvl="0">
      <w:lvlJc w:val="left"/>
      <w:lvlText w:val="•"/>
      <w:numFmt w:val="bullet"/>
      <w:start w:val="1"/>
    </w:lvl>
  </w:abstractNum>
  <w:abstractNum w:abstractNumId="49">
    <w:nsid w:val="71EA1109"/>
    <w:multiLevelType w:val="hybridMultilevel"/>
    <w:lvl w:ilvl="0">
      <w:lvlJc w:val="left"/>
      <w:lvlText w:val="%1."/>
      <w:numFmt w:val="decimal"/>
      <w:start w:val="1"/>
    </w:lvl>
  </w:abstractNum>
  <w:abstractNum w:abstractNumId="50">
    <w:nsid w:val="100F59DC"/>
    <w:multiLevelType w:val="hybridMultilevel"/>
    <w:lvl w:ilvl="0">
      <w:lvlJc w:val="left"/>
      <w:lvlText w:val="•"/>
      <w:numFmt w:val="bullet"/>
      <w:start w:val="1"/>
    </w:lvl>
  </w:abstractNum>
  <w:abstractNum w:abstractNumId="51">
    <w:nsid w:val="7FB7E0AA"/>
    <w:multiLevelType w:val="hybridMultilevel"/>
    <w:lvl w:ilvl="0">
      <w:lvlJc w:val="left"/>
      <w:lvlText w:val="•"/>
      <w:numFmt w:val="bullet"/>
      <w:start w:val="1"/>
    </w:lvl>
  </w:abstractNum>
  <w:abstractNum w:abstractNumId="52">
    <w:nsid w:val="6EB5BD4"/>
    <w:multiLevelType w:val="hybridMultilevel"/>
    <w:lvl w:ilvl="0">
      <w:lvlJc w:val="left"/>
      <w:lvlText w:val="•"/>
      <w:numFmt w:val="bullet"/>
      <w:start w:val="1"/>
    </w:lvl>
  </w:abstractNum>
  <w:abstractNum w:abstractNumId="53">
    <w:nsid w:val="6F6DD9AC"/>
    <w:multiLevelType w:val="hybridMultilevel"/>
    <w:lvl w:ilvl="0">
      <w:lvlJc w:val="left"/>
      <w:lvlText w:val="•"/>
      <w:numFmt w:val="bullet"/>
      <w:start w:val="1"/>
    </w:lvl>
  </w:abstractNum>
  <w:abstractNum w:abstractNumId="54">
    <w:nsid w:val="94211F2"/>
    <w:multiLevelType w:val="hybridMultilevel"/>
    <w:lvl w:ilvl="0">
      <w:lvlJc w:val="left"/>
      <w:lvlText w:val="✓"/>
      <w:numFmt w:val="bullet"/>
      <w:start w:val="1"/>
    </w:lvl>
  </w:abstractNum>
  <w:abstractNum w:abstractNumId="55">
    <w:nsid w:val="885E1B"/>
    <w:multiLevelType w:val="hybridMultilevel"/>
    <w:lvl w:ilvl="0">
      <w:lvlJc w:val="left"/>
      <w:lvlText w:val="Х"/>
      <w:numFmt w:val="bullet"/>
      <w:start w:val="1"/>
    </w:lvl>
  </w:abstractNum>
  <w:abstractNum w:abstractNumId="56">
    <w:nsid w:val="76272110"/>
    <w:multiLevelType w:val="hybridMultilevel"/>
    <w:lvl w:ilvl="0">
      <w:lvlJc w:val="left"/>
      <w:lvlText w:val="•"/>
      <w:numFmt w:val="bullet"/>
      <w:start w:val="1"/>
    </w:lvl>
  </w:abstractNum>
  <w:abstractNum w:abstractNumId="57">
    <w:nsid w:val="4C04A8AF"/>
    <w:multiLevelType w:val="hybridMultilevel"/>
    <w:lvl w:ilvl="0">
      <w:lvlJc w:val="left"/>
      <w:lvlText w:val="%1."/>
      <w:numFmt w:val="decimal"/>
      <w:start w:val="1"/>
    </w:lvl>
  </w:abstractNum>
  <w:abstractNum w:abstractNumId="58">
    <w:nsid w:val="1716703B"/>
    <w:multiLevelType w:val="hybridMultilevel"/>
    <w:lvl w:ilvl="0">
      <w:lvlJc w:val="left"/>
      <w:lvlText w:val="%1."/>
      <w:numFmt w:val="decimal"/>
      <w:start w:val="4"/>
    </w:lvl>
  </w:abstractNum>
  <w:abstractNum w:abstractNumId="59">
    <w:nsid w:val="14E17E33"/>
    <w:multiLevelType w:val="hybridMultilevel"/>
    <w:lvl w:ilvl="0">
      <w:lvlJc w:val="left"/>
      <w:lvlText w:val="%1."/>
      <w:numFmt w:val="decimal"/>
      <w:start w:val="5"/>
    </w:lvl>
  </w:abstractNum>
  <w:abstractNum w:abstractNumId="60">
    <w:nsid w:val="3222E7CD"/>
    <w:multiLevelType w:val="hybridMultilevel"/>
    <w:lvl w:ilvl="0">
      <w:lvlJc w:val="left"/>
      <w:lvlText w:val="•"/>
      <w:numFmt w:val="bullet"/>
      <w:start w:val="1"/>
    </w:lvl>
  </w:abstractNum>
  <w:abstractNum w:abstractNumId="61">
    <w:nsid w:val="74DE0EE3"/>
    <w:multiLevelType w:val="hybridMultilevel"/>
    <w:lvl w:ilvl="0">
      <w:lvlJc w:val="left"/>
      <w:lvlText w:val="%1."/>
      <w:numFmt w:val="decimal"/>
      <w:start w:val="1"/>
    </w:lvl>
  </w:abstractNum>
  <w:abstractNum w:abstractNumId="62">
    <w:nsid w:val="68EBC550"/>
    <w:multiLevelType w:val="hybridMultilevel"/>
    <w:lvl w:ilvl="0">
      <w:lvlJc w:val="left"/>
      <w:lvlText w:val="%1."/>
      <w:numFmt w:val="decimal"/>
      <w:start w:val="1"/>
    </w:lvl>
  </w:abstractNum>
  <w:abstractNum w:abstractNumId="63">
    <w:nsid w:val="2DF6D648"/>
    <w:multiLevelType w:val="hybridMultilevel"/>
    <w:lvl w:ilvl="0">
      <w:lvlJc w:val="left"/>
      <w:lvlText w:val="%1."/>
      <w:numFmt w:val="decimal"/>
      <w:start w:val="1"/>
    </w:lvl>
  </w:abstractNum>
  <w:abstractNum w:abstractNumId="64">
    <w:nsid w:val="46B7D447"/>
    <w:multiLevelType w:val="hybridMultilevel"/>
    <w:lvl w:ilvl="0">
      <w:lvlJc w:val="left"/>
      <w:lvlText w:val="%1."/>
      <w:numFmt w:val="decimal"/>
      <w:start w:val="2"/>
    </w:lvl>
  </w:abstractNum>
  <w:abstractNum w:abstractNumId="65">
    <w:nsid w:val="4A2AC315"/>
    <w:multiLevelType w:val="hybridMultilevel"/>
    <w:lvl w:ilvl="0">
      <w:lvlJc w:val="left"/>
      <w:lvlText w:val="%1."/>
      <w:numFmt w:val="decimal"/>
      <w:start w:val="1"/>
    </w:lvl>
  </w:abstractNum>
  <w:abstractNum w:abstractNumId="66">
    <w:nsid w:val="39EE015C"/>
    <w:multiLevelType w:val="hybridMultilevel"/>
    <w:lvl w:ilvl="0">
      <w:lvlJc w:val="left"/>
      <w:lvlText w:val="%1."/>
      <w:numFmt w:val="decimal"/>
      <w:start w:val="1"/>
    </w:lvl>
  </w:abstractNum>
  <w:abstractNum w:abstractNumId="67">
    <w:nsid w:val="57FC4FBB"/>
    <w:multiLevelType w:val="hybridMultilevel"/>
    <w:lvl w:ilvl="0">
      <w:lvlJc w:val="left"/>
      <w:lvlText w:val="%1."/>
      <w:numFmt w:val="decimal"/>
      <w:start w:val="2"/>
    </w:lvl>
  </w:abstractNum>
  <w:abstractNum w:abstractNumId="68">
    <w:nsid w:val="CC1016F"/>
    <w:multiLevelType w:val="hybridMultilevel"/>
    <w:lvl w:ilvl="0">
      <w:lvlJc w:val="left"/>
      <w:lvlText w:val="%1."/>
      <w:numFmt w:val="decimal"/>
      <w:start w:val="4"/>
    </w:lvl>
  </w:abstractNum>
  <w:abstractNum w:abstractNumId="69">
    <w:nsid w:val="43F18422"/>
    <w:multiLevelType w:val="hybridMultilevel"/>
    <w:lvl w:ilvl="0">
      <w:lvlJc w:val="left"/>
      <w:lvlText w:val="%1."/>
      <w:numFmt w:val="decimal"/>
      <w:start w:val="1"/>
    </w:lvl>
  </w:abstractNum>
  <w:abstractNum w:abstractNumId="70">
    <w:nsid w:val="60EF0119"/>
    <w:multiLevelType w:val="hybridMultilevel"/>
    <w:lvl w:ilvl="0">
      <w:lvlJc w:val="left"/>
      <w:lvlText w:val="%1."/>
      <w:numFmt w:val="decimal"/>
      <w:start w:val="1"/>
    </w:lvl>
  </w:abstractNum>
  <w:abstractNum w:abstractNumId="71">
    <w:nsid w:val="26F324BA"/>
    <w:multiLevelType w:val="hybridMultilevel"/>
    <w:lvl w:ilvl="0">
      <w:lvlJc w:val="left"/>
      <w:lvlText w:val="•"/>
      <w:numFmt w:val="bullet"/>
      <w:start w:val="1"/>
    </w:lvl>
  </w:abstractNum>
  <w:abstractNum w:abstractNumId="72">
    <w:nsid w:val="7F01579B"/>
    <w:multiLevelType w:val="hybridMultilevel"/>
    <w:lvl w:ilvl="0">
      <w:lvlJc w:val="left"/>
      <w:lvlText w:val="•"/>
      <w:numFmt w:val="bullet"/>
      <w:start w:val="1"/>
    </w:lvl>
    <w:lvl w:ilvl="1">
      <w:lvlJc w:val="left"/>
      <w:lvlText w:val="(%2)"/>
      <w:numFmt w:val="lowerRoman"/>
      <w:start w:val="2"/>
    </w:lvl>
  </w:abstractNum>
  <w:abstractNum w:abstractNumId="73">
    <w:nsid w:val="49DA307D"/>
    <w:multiLevelType w:val="hybridMultilevel"/>
    <w:lvl w:ilvl="0">
      <w:lvlJc w:val="left"/>
      <w:lvlText w:val="•"/>
      <w:numFmt w:val="bullet"/>
      <w:start w:val="1"/>
    </w:lvl>
  </w:abstractNum>
  <w:abstractNum w:abstractNumId="74">
    <w:nsid w:val="7055A5F5"/>
    <w:multiLevelType w:val="hybridMultilevel"/>
    <w:lvl w:ilvl="0">
      <w:lvlJc w:val="left"/>
      <w:lvlText w:val="•"/>
      <w:numFmt w:val="bullet"/>
      <w:start w:val="1"/>
    </w:lvl>
  </w:abstractNum>
  <w:abstractNum w:abstractNumId="75">
    <w:nsid w:val="5FB8370B"/>
    <w:multiLevelType w:val="hybridMultilevel"/>
    <w:lvl w:ilvl="0">
      <w:lvlJc w:val="left"/>
      <w:lvlText w:val="•"/>
      <w:numFmt w:val="bullet"/>
      <w:start w:val="1"/>
    </w:lvl>
  </w:abstractNum>
  <w:abstractNum w:abstractNumId="76">
    <w:nsid w:val="50801EE1"/>
    <w:multiLevelType w:val="hybridMultilevel"/>
    <w:lvl w:ilvl="0">
      <w:lvlJc w:val="left"/>
      <w:lvlText w:val="•"/>
      <w:numFmt w:val="bullet"/>
      <w:start w:val="1"/>
    </w:lvl>
  </w:abstractNum>
  <w:abstractNum w:abstractNumId="77">
    <w:nsid w:val="488AC1A"/>
    <w:multiLevelType w:val="hybridMultilevel"/>
    <w:lvl w:ilvl="0">
      <w:lvlJc w:val="left"/>
      <w:lvlText w:val="•"/>
      <w:numFmt w:val="bullet"/>
      <w:start w:val="1"/>
    </w:lvl>
  </w:abstractNum>
  <w:abstractNum w:abstractNumId="78">
    <w:nsid w:val="5FB8011C"/>
    <w:multiLevelType w:val="hybridMultilevel"/>
    <w:lvl w:ilvl="0">
      <w:lvlJc w:val="left"/>
      <w:lvlText w:val="•"/>
      <w:numFmt w:val="bullet"/>
      <w:start w:val="1"/>
    </w:lvl>
  </w:abstractNum>
  <w:abstractNum w:abstractNumId="79">
    <w:nsid w:val="6AA78F7F"/>
    <w:multiLevelType w:val="hybridMultilevel"/>
    <w:lvl w:ilvl="0">
      <w:lvlJc w:val="left"/>
      <w:lvlText w:val="(%1)"/>
      <w:numFmt w:val="lowerRoman"/>
      <w:start w:val="2"/>
    </w:lvl>
  </w:abstractNum>
  <w:abstractNum w:abstractNumId="80">
    <w:nsid w:val="7672BD23"/>
    <w:multiLevelType w:val="hybridMultilevel"/>
    <w:lvl w:ilvl="0">
      <w:lvlJc w:val="left"/>
      <w:lvlText w:val="%1."/>
      <w:numFmt w:val="decimal"/>
      <w:start w:val="2"/>
    </w:lvl>
  </w:abstractNum>
  <w:abstractNum w:abstractNumId="81">
    <w:nsid w:val="6FC75AF8"/>
    <w:multiLevelType w:val="hybridMultilevel"/>
    <w:lvl w:ilvl="0">
      <w:lvlJc w:val="left"/>
      <w:lvlText w:val="•"/>
      <w:numFmt w:val="bullet"/>
      <w:start w:val="1"/>
    </w:lvl>
  </w:abstractNum>
  <w:abstractNum w:abstractNumId="82">
    <w:nsid w:val="6A5F7029"/>
    <w:multiLevelType w:val="hybridMultilevel"/>
    <w:lvl w:ilvl="0">
      <w:lvlJc w:val="left"/>
      <w:lvlText w:val="•"/>
      <w:numFmt w:val="bullet"/>
      <w:start w:val="1"/>
    </w:lvl>
  </w:abstractNum>
  <w:abstractNum w:abstractNumId="83">
    <w:nsid w:val="7D5E18F8"/>
    <w:multiLevelType w:val="hybridMultilevel"/>
    <w:lvl w:ilvl="0">
      <w:lvlJc w:val="left"/>
      <w:lvlText w:val="(%1)"/>
      <w:numFmt w:val="lowerLetter"/>
      <w:start w:val="1"/>
    </w:lvl>
  </w:abstractNum>
  <w:abstractNum w:abstractNumId="84">
    <w:nsid w:val="5F3534A4"/>
    <w:multiLevelType w:val="hybridMultilevel"/>
    <w:lvl w:ilvl="0">
      <w:lvlJc w:val="left"/>
      <w:lvlText w:val="•"/>
      <w:numFmt w:val="bullet"/>
      <w:start w:val="1"/>
    </w:lvl>
  </w:abstractNum>
  <w:abstractNum w:abstractNumId="85">
    <w:nsid w:val="73A1821B"/>
    <w:multiLevelType w:val="hybridMultilevel"/>
    <w:lvl w:ilvl="0">
      <w:lvlJc w:val="left"/>
      <w:lvlText w:val="•"/>
      <w:numFmt w:val="bullet"/>
      <w:start w:val="1"/>
    </w:lvl>
  </w:abstractNum>
  <w:abstractNum w:abstractNumId="86">
    <w:nsid w:val="7DE67713"/>
    <w:multiLevelType w:val="hybridMultilevel"/>
    <w:lvl w:ilvl="0">
      <w:lvlJc w:val="left"/>
      <w:lvlText w:val="(%1)"/>
      <w:numFmt w:val="decimal"/>
      <w:start w:val="1"/>
    </w:lvl>
  </w:abstractNum>
  <w:abstractNum w:abstractNumId="87">
    <w:nsid w:val="555C55B5"/>
    <w:multiLevelType w:val="hybridMultilevel"/>
    <w:lvl w:ilvl="0">
      <w:lvlJc w:val="left"/>
      <w:lvlText w:val="•"/>
      <w:numFmt w:val="bullet"/>
      <w:start w:val="1"/>
    </w:lvl>
  </w:abstractNum>
  <w:abstractNum w:abstractNumId="88">
    <w:nsid w:val="3FA62ACA"/>
    <w:multiLevelType w:val="hybridMultilevel"/>
    <w:lvl w:ilvl="0">
      <w:lvlJc w:val="left"/>
      <w:lvlText w:val="•"/>
      <w:numFmt w:val="bullet"/>
      <w:start w:val="1"/>
    </w:lvl>
  </w:abstractNum>
  <w:abstractNum w:abstractNumId="89">
    <w:nsid w:val="14FCE74E"/>
    <w:multiLevelType w:val="hybridMultilevel"/>
    <w:lvl w:ilvl="0">
      <w:lvlJc w:val="left"/>
      <w:lvlText w:val="•"/>
      <w:numFmt w:val="bullet"/>
      <w:start w:val="1"/>
    </w:lvl>
  </w:abstractNum>
  <w:abstractNum w:abstractNumId="90">
    <w:nsid w:val="6A3DD3E8"/>
    <w:multiLevelType w:val="hybridMultilevel"/>
    <w:lvl w:ilvl="0">
      <w:lvlJc w:val="left"/>
      <w:lvlText w:val="%1."/>
      <w:numFmt w:val="decimal"/>
      <w:start w:val="1"/>
    </w:lvl>
  </w:abstractNum>
  <w:abstractNum w:abstractNumId="91">
    <w:nsid w:val="71C91298"/>
    <w:multiLevelType w:val="hybridMultilevel"/>
    <w:lvl w:ilvl="0">
      <w:lvlJc w:val="left"/>
      <w:lvlText w:val="%1."/>
      <w:numFmt w:val="decimal"/>
      <w:start w:val="1"/>
    </w:lvl>
  </w:abstractNum>
  <w:abstractNum w:abstractNumId="92">
    <w:nsid w:val="9DAF632"/>
    <w:multiLevelType w:val="hybridMultilevel"/>
    <w:lvl w:ilvl="0">
      <w:lvlJc w:val="left"/>
      <w:lvlText w:val="%1."/>
      <w:numFmt w:val="decimal"/>
      <w:start w:val="3"/>
    </w:lvl>
  </w:abstractNum>
  <w:abstractNum w:abstractNumId="93">
    <w:nsid w:val="53299938"/>
    <w:multiLevelType w:val="hybridMultilevel"/>
    <w:lvl w:ilvl="0">
      <w:lvlJc w:val="left"/>
      <w:lvlText w:val="•"/>
      <w:numFmt w:val="bullet"/>
      <w:start w:val="1"/>
    </w:lvl>
  </w:abstractNum>
  <w:abstractNum w:abstractNumId="94">
    <w:nsid w:val="1FBFE8E0"/>
    <w:multiLevelType w:val="hybridMultilevel"/>
    <w:lvl w:ilvl="0">
      <w:lvlJc w:val="left"/>
      <w:lvlText w:val="%1."/>
      <w:numFmt w:val="decimal"/>
      <w:start w:val="1"/>
    </w:lvl>
  </w:abstractNum>
  <w:abstractNum w:abstractNumId="95">
    <w:nsid w:val="5092CA79"/>
    <w:multiLevelType w:val="hybridMultilevel"/>
    <w:lvl w:ilvl="0">
      <w:lvlJc w:val="left"/>
      <w:lvlText w:val="%1."/>
      <w:numFmt w:val="decimal"/>
      <w:start w:val="2"/>
    </w:lvl>
  </w:abstractNum>
  <w:abstractNum w:abstractNumId="96">
    <w:nsid w:val="1D545C4D"/>
    <w:multiLevelType w:val="hybridMultilevel"/>
    <w:lvl w:ilvl="0">
      <w:lvlJc w:val="left"/>
      <w:lvlText w:val="%1."/>
      <w:numFmt w:val="decimal"/>
      <w:start w:val="1"/>
    </w:lvl>
  </w:abstractNum>
  <w:abstractNum w:abstractNumId="97">
    <w:nsid w:val="59ADEA3D"/>
    <w:multiLevelType w:val="hybridMultilevel"/>
    <w:lvl w:ilvl="0">
      <w:lvlJc w:val="left"/>
      <w:lvlText w:val="%1."/>
      <w:numFmt w:val="decimal"/>
      <w:start w:val="1"/>
    </w:lvl>
  </w:abstractNum>
  <w:abstractNum w:abstractNumId="98">
    <w:nsid w:val="288F1A34"/>
    <w:multiLevelType w:val="hybridMultilevel"/>
    <w:lvl w:ilvl="0">
      <w:lvlJc w:val="left"/>
      <w:lvlText w:val="(%1)"/>
      <w:numFmt w:val="lowerLetter"/>
      <w:start w:val="1"/>
    </w:lvl>
  </w:abstractNum>
  <w:abstractNum w:abstractNumId="99">
    <w:nsid w:val="2A155DBC"/>
    <w:multiLevelType w:val="hybridMultilevel"/>
    <w:lvl w:ilvl="0">
      <w:lvlJc w:val="left"/>
      <w:lvlText w:val="(%1)"/>
      <w:numFmt w:val="lowerLetter"/>
      <w:start w:val="4"/>
    </w:lvl>
  </w:abstractNum>
  <w:abstractNum w:abstractNumId="100">
    <w:nsid w:val="1D9F6E5F"/>
    <w:multiLevelType w:val="hybridMultilevel"/>
    <w:lvl w:ilvl="0">
      <w:lvlJc w:val="left"/>
      <w:lvlText w:val="(%1)"/>
      <w:numFmt w:val="lowerLetter"/>
      <w:start w:val="1"/>
    </w:lvl>
  </w:abstractNum>
  <w:abstractNum w:abstractNumId="101">
    <w:nsid w:val="97E1B4E"/>
    <w:multiLevelType w:val="hybridMultilevel"/>
    <w:lvl w:ilvl="0">
      <w:lvlJc w:val="left"/>
      <w:lvlText w:val="(%1)"/>
      <w:numFmt w:val="lowerLetter"/>
      <w:start w:val="1"/>
    </w:lvl>
  </w:abstractNum>
  <w:abstractNum w:abstractNumId="102">
    <w:nsid w:val="51088277"/>
    <w:multiLevelType w:val="hybridMultilevel"/>
    <w:lvl w:ilvl="0">
      <w:lvlJc w:val="left"/>
      <w:lvlText w:val="(%1)"/>
      <w:numFmt w:val="lowerLetter"/>
      <w:start w:val="1"/>
    </w:lvl>
  </w:abstractNum>
  <w:abstractNum w:abstractNumId="103">
    <w:nsid w:val="1CA0C5FA"/>
    <w:multiLevelType w:val="hybridMultilevel"/>
    <w:lvl w:ilvl="0">
      <w:lvlJc w:val="left"/>
      <w:lvlText w:val="(%1)"/>
      <w:numFmt w:val="lowerLetter"/>
      <w:start w:val="1"/>
    </w:lvl>
  </w:abstractNum>
  <w:abstractNum w:abstractNumId="104">
    <w:nsid w:val="53584BCB"/>
    <w:multiLevelType w:val="hybridMultilevel"/>
    <w:lvl w:ilvl="0">
      <w:lvlJc w:val="left"/>
      <w:lvlText w:val="(%1)"/>
      <w:numFmt w:val="lowerLetter"/>
      <w:start w:val="3"/>
    </w:lvl>
  </w:abstractNum>
  <w:abstractNum w:abstractNumId="105">
    <w:nsid w:val="415E286C"/>
    <w:multiLevelType w:val="hybridMultilevel"/>
    <w:lvl w:ilvl="0">
      <w:lvlJc w:val="left"/>
      <w:lvlText w:val="(%1)"/>
      <w:numFmt w:val="lowerLetter"/>
      <w:start w:val="1"/>
    </w:lvl>
  </w:abstractNum>
  <w:abstractNum w:abstractNumId="106">
    <w:nsid w:val="7C58FD05"/>
    <w:multiLevelType w:val="hybridMultilevel"/>
    <w:lvl w:ilvl="0">
      <w:lvlJc w:val="left"/>
      <w:lvlText w:val="(%1)"/>
      <w:numFmt w:val="lowerLetter"/>
      <w:start w:val="1"/>
    </w:lvl>
  </w:abstractNum>
  <w:abstractNum w:abstractNumId="107">
    <w:nsid w:val="23D86AAC"/>
    <w:multiLevelType w:val="hybridMultilevel"/>
    <w:lvl w:ilvl="0">
      <w:lvlJc w:val="left"/>
      <w:lvlText w:val="(%1)"/>
      <w:numFmt w:val="lowerLetter"/>
      <w:start w:val="1"/>
    </w:lvl>
  </w:abstractNum>
  <w:abstractNum w:abstractNumId="108">
    <w:nsid w:val="45E6D486"/>
    <w:multiLevelType w:val="hybridMultilevel"/>
    <w:lvl w:ilvl="0">
      <w:lvlJc w:val="left"/>
      <w:lvlText w:val="(%1)"/>
      <w:numFmt w:val="lowerLetter"/>
      <w:start w:val="1"/>
    </w:lvl>
  </w:abstractNum>
  <w:abstractNum w:abstractNumId="109">
    <w:nsid w:val="5C10FE21"/>
    <w:multiLevelType w:val="hybridMultilevel"/>
    <w:lvl w:ilvl="0">
      <w:lvlJc w:val="left"/>
      <w:lvlText w:val="(%1)"/>
      <w:numFmt w:val="lowerRoman"/>
      <w:start w:val="4"/>
    </w:lvl>
    <w:lvl w:ilvl="1">
      <w:lvlJc w:val="left"/>
      <w:lvlText w:val="(%2)"/>
      <w:numFmt w:val="lowerLetter"/>
      <w:start w:val="1"/>
    </w:lvl>
  </w:abstractNum>
  <w:abstractNum w:abstractNumId="110">
    <w:nsid w:val="E7FFA2B"/>
    <w:multiLevelType w:val="hybridMultilevel"/>
    <w:lvl w:ilvl="0">
      <w:lvlJc w:val="left"/>
      <w:lvlText w:val="(%1)"/>
      <w:numFmt w:val="lowerLetter"/>
      <w:start w:val="1"/>
    </w:lvl>
  </w:abstractNum>
  <w:abstractNum w:abstractNumId="111">
    <w:nsid w:val="3C5991AA"/>
    <w:multiLevelType w:val="hybridMultilevel"/>
    <w:lvl w:ilvl="0">
      <w:lvlJc w:val="left"/>
      <w:lvlText w:val="(%1)"/>
      <w:numFmt w:val="lowerLetter"/>
      <w:start w:val="2"/>
    </w:lvl>
  </w:abstractNum>
  <w:abstractNum w:abstractNumId="112">
    <w:nsid w:val="4BD8591A"/>
    <w:multiLevelType w:val="hybridMultilevel"/>
    <w:lvl w:ilvl="0">
      <w:lvlJc w:val="left"/>
      <w:lvlText w:val="(%1)"/>
      <w:numFmt w:val="lowerLetter"/>
      <w:start w:val="1"/>
    </w:lvl>
  </w:abstractNum>
  <w:abstractNum w:abstractNumId="113">
    <w:nsid w:val="78DF6A55"/>
    <w:multiLevelType w:val="hybridMultilevel"/>
    <w:lvl w:ilvl="0">
      <w:lvlJc w:val="left"/>
      <w:lvlText w:val="(%1)"/>
      <w:numFmt w:val="lowerLetter"/>
      <w:start w:val="1"/>
    </w:lvl>
  </w:abstractNum>
  <w:abstractNum w:abstractNumId="114">
    <w:nsid w:val="39B7AAA2"/>
    <w:multiLevelType w:val="hybridMultilevel"/>
    <w:lvl w:ilvl="0">
      <w:lvlJc w:val="left"/>
      <w:lvlText w:val="(%1)"/>
      <w:numFmt w:val="lowerLetter"/>
      <w:start w:val="1"/>
    </w:lvl>
  </w:abstractNum>
  <w:abstractNum w:abstractNumId="115">
    <w:nsid w:val="2B0D8DBE"/>
    <w:multiLevelType w:val="hybridMultilevel"/>
    <w:lvl w:ilvl="0">
      <w:lvlJc w:val="left"/>
      <w:lvlText w:val="(%1)"/>
      <w:numFmt w:val="lowerLetter"/>
      <w:start w:val="1"/>
    </w:lvl>
  </w:abstractNum>
  <w:abstractNum w:abstractNumId="116">
    <w:nsid w:val="6C80EC70"/>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2026-02-03T15:21:38Z</dcterms:created>
  <dcterms:modified xsi:type="dcterms:W3CDTF">2026-02-03T15:21:38Z</dcterms:modified>
</cp:coreProperties>
</file>