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56"/>
        <w:spacing w:after="0"/>
        <w:rPr>
          <w:sz w:val="20"/>
          <w:szCs w:val="20"/>
          <w:color w:val="auto"/>
        </w:rPr>
      </w:pPr>
      <w:r>
        <w:rPr>
          <w:rFonts w:ascii="Courier New" w:cs="Courier New" w:eastAsia="Courier New" w:hAnsi="Courier New"/>
          <w:sz w:val="16"/>
          <w:szCs w:val="16"/>
          <w:color w:val="auto"/>
        </w:rPr>
        <w:t>FORM 11-K</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FOR ANNUAL REPORTS OF EMPLOYEE STOCK PURCHASE, SAVINGS AND SIMILAR PLANS</w:t>
      </w:r>
    </w:p>
    <w:p>
      <w:pPr>
        <w:spacing w:after="0" w:line="29"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PURSUANT TO SECTION 15(d) OF THE SECURITIES EXCHANGE ACT OF 1934</w:t>
      </w:r>
    </w:p>
    <w:p>
      <w:pPr>
        <w:spacing w:after="0" w:line="155"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(Mark One)</w:t>
      </w:r>
    </w:p>
    <w:p>
      <w:pPr>
        <w:spacing w:after="0" w:line="29" w:lineRule="exact"/>
        <w:rPr>
          <w:sz w:val="24"/>
          <w:szCs w:val="24"/>
          <w:color w:val="auto"/>
        </w:rPr>
      </w:pPr>
    </w:p>
    <w:p>
      <w:pPr>
        <w:ind w:left="383" w:hanging="383"/>
        <w:spacing w:after="0"/>
        <w:tabs>
          <w:tab w:leader="none" w:pos="38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15(d) OF THE SECURITIES EXCHANGE ACT OF</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1934</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the fiscal year ended DECEMBER 31, 1999.</w:t>
      </w:r>
    </w:p>
    <w:p>
      <w:pPr>
        <w:spacing w:after="0" w:line="155" w:lineRule="exact"/>
        <w:rPr>
          <w:sz w:val="24"/>
          <w:szCs w:val="24"/>
          <w:color w:val="auto"/>
        </w:rPr>
      </w:pPr>
    </w:p>
    <w:p>
      <w:pPr>
        <w:ind w:left="3" w:right="2839" w:hanging="3"/>
        <w:spacing w:after="0" w:line="259" w:lineRule="auto"/>
        <w:tabs>
          <w:tab w:leader="none" w:pos="19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15(d) OF THE SECURITIES EXCHANGE ACT OF 1934</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the transition period from _______________ to _______________.</w:t>
      </w:r>
    </w:p>
    <w:p>
      <w:pPr>
        <w:spacing w:after="0" w:line="155"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Commission file number 1-8649.</w:t>
      </w:r>
    </w:p>
    <w:p>
      <w:pPr>
        <w:spacing w:after="0" w:line="183" w:lineRule="exact"/>
        <w:rPr>
          <w:sz w:val="24"/>
          <w:szCs w:val="24"/>
          <w:color w:val="auto"/>
        </w:rPr>
      </w:pPr>
    </w:p>
    <w:p>
      <w:pPr>
        <w:ind w:left="1323" w:hanging="850"/>
        <w:spacing w:after="0"/>
        <w:tabs>
          <w:tab w:leader="none" w:pos="132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Toro Company Investment and Savings Plan</w:t>
      </w:r>
    </w:p>
    <w:p>
      <w:pPr>
        <w:spacing w:after="0" w:line="28" w:lineRule="exact"/>
        <w:rPr>
          <w:rFonts w:ascii="Courier New" w:cs="Courier New" w:eastAsia="Courier New" w:hAnsi="Courier New"/>
          <w:sz w:val="16"/>
          <w:szCs w:val="16"/>
          <w:color w:val="auto"/>
        </w:rPr>
      </w:pPr>
    </w:p>
    <w:p>
      <w:pPr>
        <w:ind w:left="1323" w:hanging="850"/>
        <w:spacing w:after="0"/>
        <w:tabs>
          <w:tab w:leader="none" w:pos="132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Toro Company</w:t>
      </w:r>
    </w:p>
    <w:p>
      <w:pPr>
        <w:ind w:left="1323" w:right="6539"/>
        <w:spacing w:after="0" w:line="35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8111 Lyndale Avenue South Minneapolis, MN 55420</w:t>
      </w:r>
    </w:p>
    <w:p>
      <w:pPr>
        <w:spacing w:after="0" w:line="19" w:lineRule="exact"/>
        <w:rPr>
          <w:sz w:val="24"/>
          <w:szCs w:val="24"/>
          <w:color w:val="auto"/>
        </w:rPr>
      </w:pPr>
    </w:p>
    <w:p>
      <w:pPr>
        <w:ind w:left="2843"/>
        <w:spacing w:after="0"/>
        <w:rPr>
          <w:sz w:val="20"/>
          <w:szCs w:val="20"/>
          <w:color w:val="auto"/>
        </w:rPr>
      </w:pPr>
      <w:r>
        <w:rPr>
          <w:rFonts w:ascii="Courier New" w:cs="Courier New" w:eastAsia="Courier New" w:hAnsi="Courier New"/>
          <w:sz w:val="16"/>
          <w:szCs w:val="16"/>
          <w:color w:val="auto"/>
        </w:rPr>
        <w:t>REQUIRED INFORMATION</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The following financial statements shall be furnished for the plan:</w:t>
      </w:r>
    </w:p>
    <w:p>
      <w:pPr>
        <w:spacing w:after="0" w:line="29" w:lineRule="exact"/>
        <w:rPr>
          <w:sz w:val="24"/>
          <w:szCs w:val="24"/>
          <w:color w:val="auto"/>
        </w:rPr>
      </w:pPr>
    </w:p>
    <w:p>
      <w:pPr>
        <w:ind w:left="463" w:right="2659" w:hanging="463"/>
        <w:spacing w:after="0"/>
        <w:tabs>
          <w:tab w:leader="none" w:pos="4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audited statement of financial condition as of the end of the latest two fiscal years of the plan (or such lesser period as the plan has been in existence).</w:t>
      </w:r>
    </w:p>
    <w:p>
      <w:pPr>
        <w:spacing w:after="0" w:line="1" w:lineRule="exact"/>
        <w:rPr>
          <w:rFonts w:ascii="Courier New" w:cs="Courier New" w:eastAsia="Courier New" w:hAnsi="Courier New"/>
          <w:sz w:val="16"/>
          <w:szCs w:val="16"/>
          <w:color w:val="auto"/>
        </w:rPr>
      </w:pPr>
    </w:p>
    <w:p>
      <w:pPr>
        <w:ind w:left="463" w:right="2839" w:hanging="463"/>
        <w:spacing w:after="0"/>
        <w:tabs>
          <w:tab w:leader="none" w:pos="4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audited statement of income and changes in plan equity for each of the latest three fiscal years of the plan (or such lesser period as the plan has been in existence).</w:t>
      </w:r>
    </w:p>
    <w:p>
      <w:pPr>
        <w:spacing w:after="0" w:line="1" w:lineRule="exact"/>
        <w:rPr>
          <w:rFonts w:ascii="Courier New" w:cs="Courier New" w:eastAsia="Courier New" w:hAnsi="Courier New"/>
          <w:sz w:val="16"/>
          <w:szCs w:val="16"/>
          <w:color w:val="auto"/>
        </w:rPr>
      </w:pPr>
    </w:p>
    <w:p>
      <w:pPr>
        <w:ind w:left="463" w:right="2939" w:hanging="463"/>
        <w:spacing w:after="0" w:line="256" w:lineRule="auto"/>
        <w:tabs>
          <w:tab w:leader="none" w:pos="46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required by Items 1 and 2 shall be prepared in accordance with the applicable provisions of Article 6A of Regulation S-X.</w:t>
      </w:r>
    </w:p>
    <w:p>
      <w:pPr>
        <w:spacing w:after="0" w:line="1" w:lineRule="exact"/>
        <w:rPr>
          <w:rFonts w:ascii="Courier New" w:cs="Courier New" w:eastAsia="Courier New" w:hAnsi="Courier New"/>
          <w:sz w:val="15"/>
          <w:szCs w:val="15"/>
          <w:color w:val="auto"/>
        </w:rPr>
      </w:pPr>
    </w:p>
    <w:p>
      <w:pPr>
        <w:ind w:left="463" w:right="2759" w:hanging="463"/>
        <w:spacing w:after="0" w:line="255" w:lineRule="auto"/>
        <w:tabs>
          <w:tab w:leader="none" w:pos="4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lieu of the requirements of Items 1-3 above, plans subject to ERISA may file plan financial statements and schedules prepared in accordance with the financial reporting requirements of ERISA. To the extent required by ERISA, the plan financial statements shall be examined by an independent accountant, except that the "limited scope of exemption" contained in Section 103(a)(3)(C) of ERISA shall not be available.</w:t>
      </w:r>
    </w:p>
    <w:p>
      <w:pPr>
        <w:spacing w:after="0" w:line="90" w:lineRule="exact"/>
        <w:rPr>
          <w:sz w:val="24"/>
          <w:szCs w:val="24"/>
          <w:color w:val="auto"/>
        </w:rPr>
      </w:pPr>
    </w:p>
    <w:p>
      <w:pPr>
        <w:ind w:left="3" w:right="2659"/>
        <w:spacing w:after="0" w:line="268" w:lineRule="auto"/>
        <w:rPr>
          <w:sz w:val="20"/>
          <w:szCs w:val="20"/>
          <w:color w:val="auto"/>
        </w:rPr>
      </w:pPr>
      <w:r>
        <w:rPr>
          <w:rFonts w:ascii="Courier New" w:cs="Courier New" w:eastAsia="Courier New" w:hAnsi="Courier New"/>
          <w:sz w:val="16"/>
          <w:szCs w:val="16"/>
          <w:color w:val="auto"/>
        </w:rPr>
        <w:t>Note: A written consent of the accountant is required with respect to the plan annual financial statements which have been incorporated by reference in a registration statement on Form S-8 under the Securities Act of 1933. The consent should be filed as an exhibit to this annual report. Such consent shall be currently dated and manually signed.</w:t>
      </w:r>
    </w:p>
    <w:p>
      <w:pPr>
        <w:spacing w:after="0" w:line="79"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4"/>
          <w:szCs w:val="24"/>
          <w:color w:val="auto"/>
        </w:rPr>
      </w:pPr>
    </w:p>
    <w:p>
      <w:pPr>
        <w:ind w:left="3" w:right="2839"/>
        <w:spacing w:after="0" w:line="277" w:lineRule="auto"/>
        <w:rPr>
          <w:sz w:val="20"/>
          <w:szCs w:val="20"/>
          <w:color w:val="auto"/>
        </w:rPr>
      </w:pPr>
      <w:r>
        <w:rPr>
          <w:rFonts w:ascii="Courier New" w:cs="Courier New" w:eastAsia="Courier New" w:hAnsi="Courier New"/>
          <w:sz w:val="16"/>
          <w:szCs w:val="16"/>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73"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THE TORO COMPANY SAVINGS AND INVESTMENT PLAN</w:t>
      </w:r>
    </w:p>
    <w:p>
      <w:pPr>
        <w:spacing w:after="0" w:line="29"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ind w:left="4343"/>
        <w:spacing w:after="0"/>
        <w:rPr>
          <w:sz w:val="20"/>
          <w:szCs w:val="20"/>
          <w:color w:val="auto"/>
        </w:rPr>
      </w:pPr>
      <w:r>
        <w:rPr>
          <w:rFonts w:ascii="Courier New" w:cs="Courier New" w:eastAsia="Courier New" w:hAnsi="Courier New"/>
          <w:sz w:val="16"/>
          <w:szCs w:val="16"/>
          <w:color w:val="auto"/>
        </w:rPr>
        <w:t>(Name of Plan)</w:t>
      </w:r>
    </w:p>
    <w:p>
      <w:pPr>
        <w:sectPr>
          <w:pgSz w:w="11900" w:h="16838" w:orient="portrait"/>
          <w:cols w:equalWidth="0" w:num="1">
            <w:col w:w="10222"/>
          </w:cols>
          <w:pgMar w:left="237" w:top="574" w:right="1440" w:bottom="1440" w:gutter="0" w:footer="0" w:header="0"/>
        </w:sectPr>
      </w:pPr>
    </w:p>
    <w:p>
      <w:pPr>
        <w:spacing w:after="0" w:line="155" w:lineRule="exact"/>
        <w:rPr>
          <w:sz w:val="24"/>
          <w:szCs w:val="24"/>
          <w:color w:val="auto"/>
        </w:rPr>
      </w:pPr>
    </w:p>
    <w:p>
      <w:pPr>
        <w:jc w:val="both"/>
        <w:ind w:left="563" w:right="980" w:hanging="559"/>
        <w:spacing w:after="0" w:line="391" w:lineRule="auto"/>
        <w:tabs>
          <w:tab w:leader="none" w:pos="543" w:val="left"/>
        </w:tabs>
        <w:rPr>
          <w:sz w:val="20"/>
          <w:szCs w:val="20"/>
          <w:color w:val="auto"/>
        </w:rPr>
      </w:pPr>
      <w:r>
        <w:rPr>
          <w:rFonts w:ascii="Courier New" w:cs="Courier New" w:eastAsia="Courier New" w:hAnsi="Courier New"/>
          <w:sz w:val="15"/>
          <w:szCs w:val="15"/>
          <w:color w:val="auto"/>
        </w:rPr>
        <w:t>Dated</w:t>
        <w:tab/>
        <w:t>June 28, 2000 -------------</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 Stephen P. Wolfe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Stephen P. Wolfe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Vice President - Finance</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Chief Financial Officer</w:t>
      </w:r>
    </w:p>
    <w:p>
      <w:pPr>
        <w:sectPr>
          <w:pgSz w:w="11900" w:h="16838" w:orient="portrait"/>
          <w:cols w:equalWidth="0" w:num="2">
            <w:col w:w="2783" w:space="720"/>
            <w:col w:w="6719"/>
          </w:cols>
          <w:pgMar w:left="237" w:top="574" w:right="1440" w:bottom="1440" w:gutter="0" w:footer="0" w:header="0"/>
          <w:type w:val="continuous"/>
        </w:sectPr>
      </w:pPr>
    </w:p>
    <w:bookmarkStart w:id="1" w:name="page2"/>
    <w:bookmarkEnd w:id="1"/>
    <w:p>
      <w:pPr>
        <w:ind w:left="1820"/>
        <w:spacing w:after="0"/>
        <w:rPr>
          <w:sz w:val="20"/>
          <w:szCs w:val="20"/>
          <w:color w:val="auto"/>
        </w:rPr>
      </w:pPr>
      <w:r>
        <w:rPr>
          <w:rFonts w:ascii="Courier New" w:cs="Courier New" w:eastAsia="Courier New" w:hAnsi="Courier New"/>
          <w:sz w:val="16"/>
          <w:szCs w:val="16"/>
          <w:color w:val="auto"/>
        </w:rPr>
        <w:t>THE TORO COMPANY</w:t>
      </w:r>
    </w:p>
    <w:p>
      <w:pPr>
        <w:spacing w:after="0" w:line="29"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INVESTMENT AND SAVINGS PLAN</w:t>
      </w:r>
    </w:p>
    <w:p>
      <w:pPr>
        <w:spacing w:after="0" w:line="15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Financial Statements and Schedule</w:t>
      </w:r>
    </w:p>
    <w:p>
      <w:pPr>
        <w:spacing w:after="0" w:line="194"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December 31, 1999 and 1998</w:t>
      </w:r>
    </w:p>
    <w:p>
      <w:pPr>
        <w:sectPr>
          <w:pgSz w:w="11900" w:h="16838" w:orient="portrait"/>
          <w:cols w:equalWidth="0" w:num="1">
            <w:col w:w="9019"/>
          </w:cols>
          <w:pgMar w:left="1440" w:top="635" w:right="1440" w:bottom="1440" w:gutter="0" w:footer="0" w:header="0"/>
        </w:sectPr>
      </w:pPr>
    </w:p>
    <w:bookmarkStart w:id="2" w:name="page3"/>
    <w:bookmarkEnd w:id="2"/>
    <w:p>
      <w:pPr>
        <w:ind w:left="3020"/>
        <w:spacing w:after="0"/>
        <w:rPr>
          <w:sz w:val="20"/>
          <w:szCs w:val="20"/>
          <w:color w:val="auto"/>
        </w:rPr>
      </w:pPr>
      <w:r>
        <w:rPr>
          <w:rFonts w:ascii="Courier New" w:cs="Courier New" w:eastAsia="Courier New" w:hAnsi="Courier New"/>
          <w:sz w:val="16"/>
          <w:szCs w:val="16"/>
          <w:color w:val="auto"/>
        </w:rPr>
        <w:t>THE TORO COMPANY</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80" w:type="dxa"/>
            <w:vAlign w:val="bottom"/>
          </w:tcPr>
          <w:p>
            <w:pPr>
              <w:spacing w:after="0"/>
              <w:rPr>
                <w:sz w:val="23"/>
                <w:szCs w:val="23"/>
                <w:color w:val="auto"/>
              </w:rPr>
            </w:pPr>
          </w:p>
        </w:tc>
        <w:tc>
          <w:tcPr>
            <w:tcW w:w="8140" w:type="dxa"/>
            <w:vAlign w:val="bottom"/>
          </w:tcPr>
          <w:p>
            <w:pPr>
              <w:jc w:val="center"/>
              <w:ind w:right="961"/>
              <w:spacing w:after="0"/>
              <w:rPr>
                <w:sz w:val="20"/>
                <w:szCs w:val="20"/>
                <w:color w:val="auto"/>
              </w:rPr>
            </w:pPr>
            <w:r>
              <w:rPr>
                <w:rFonts w:ascii="Courier New" w:cs="Courier New" w:eastAsia="Courier New" w:hAnsi="Courier New"/>
                <w:sz w:val="16"/>
                <w:szCs w:val="16"/>
                <w:color w:val="auto"/>
                <w:w w:val="97"/>
              </w:rPr>
              <w:t>INVESTMENT AND SAVINGS PLAN</w:t>
            </w:r>
          </w:p>
        </w:tc>
        <w:tc>
          <w:tcPr>
            <w:tcW w:w="2920" w:type="dxa"/>
            <w:vAlign w:val="bottom"/>
          </w:tcPr>
          <w:p>
            <w:pPr>
              <w:spacing w:after="0"/>
              <w:rPr>
                <w:sz w:val="23"/>
                <w:szCs w:val="23"/>
                <w:color w:val="auto"/>
              </w:rPr>
            </w:pPr>
          </w:p>
        </w:tc>
      </w:tr>
      <w:tr>
        <w:trPr>
          <w:trHeight w:val="700"/>
        </w:trPr>
        <w:tc>
          <w:tcPr>
            <w:tcW w:w="280" w:type="dxa"/>
            <w:vAlign w:val="bottom"/>
          </w:tcPr>
          <w:p>
            <w:pPr>
              <w:spacing w:after="0"/>
              <w:rPr>
                <w:sz w:val="24"/>
                <w:szCs w:val="24"/>
                <w:color w:val="auto"/>
              </w:rPr>
            </w:pPr>
          </w:p>
        </w:tc>
        <w:tc>
          <w:tcPr>
            <w:tcW w:w="8140" w:type="dxa"/>
            <w:vAlign w:val="bottom"/>
          </w:tcPr>
          <w:p>
            <w:pPr>
              <w:jc w:val="center"/>
              <w:ind w:right="961"/>
              <w:spacing w:after="0"/>
              <w:rPr>
                <w:sz w:val="20"/>
                <w:szCs w:val="20"/>
                <w:color w:val="auto"/>
              </w:rPr>
            </w:pPr>
            <w:r>
              <w:rPr>
                <w:rFonts w:ascii="Courier New" w:cs="Courier New" w:eastAsia="Courier New" w:hAnsi="Courier New"/>
                <w:sz w:val="16"/>
                <w:szCs w:val="16"/>
                <w:color w:val="auto"/>
                <w:w w:val="99"/>
              </w:rPr>
              <w:t>TABLE OF CONTENTS</w:t>
            </w:r>
          </w:p>
        </w:tc>
        <w:tc>
          <w:tcPr>
            <w:tcW w:w="2920" w:type="dxa"/>
            <w:vAlign w:val="bottom"/>
          </w:tcPr>
          <w:p>
            <w:pPr>
              <w:spacing w:after="0"/>
              <w:rPr>
                <w:sz w:val="24"/>
                <w:szCs w:val="24"/>
                <w:color w:val="auto"/>
              </w:rPr>
            </w:pPr>
          </w:p>
        </w:tc>
      </w:tr>
      <w:tr>
        <w:trPr>
          <w:trHeight w:val="909"/>
        </w:trPr>
        <w:tc>
          <w:tcPr>
            <w:tcW w:w="28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920" w:type="dxa"/>
            <w:vAlign w:val="bottom"/>
          </w:tcPr>
          <w:p>
            <w:pPr>
              <w:jc w:val="right"/>
              <w:spacing w:after="0"/>
              <w:rPr>
                <w:sz w:val="20"/>
                <w:szCs w:val="20"/>
                <w:color w:val="auto"/>
              </w:rPr>
            </w:pPr>
            <w:r>
              <w:rPr>
                <w:rFonts w:ascii="Courier New" w:cs="Courier New" w:eastAsia="Courier New" w:hAnsi="Courier New"/>
                <w:sz w:val="16"/>
                <w:szCs w:val="16"/>
                <w:color w:val="auto"/>
              </w:rPr>
              <w:t>PAGES</w:t>
            </w:r>
          </w:p>
        </w:tc>
      </w:tr>
      <w:tr>
        <w:trPr>
          <w:trHeight w:val="546"/>
        </w:trPr>
        <w:tc>
          <w:tcPr>
            <w:tcW w:w="8420" w:type="dxa"/>
            <w:vAlign w:val="bottom"/>
            <w:gridSpan w:val="2"/>
          </w:tcPr>
          <w:p>
            <w:pPr>
              <w:spacing w:after="0"/>
              <w:rPr>
                <w:sz w:val="20"/>
                <w:szCs w:val="20"/>
                <w:color w:val="auto"/>
              </w:rPr>
            </w:pPr>
            <w:r>
              <w:rPr>
                <w:rFonts w:ascii="Courier New" w:cs="Courier New" w:eastAsia="Courier New" w:hAnsi="Courier New"/>
                <w:sz w:val="16"/>
                <w:szCs w:val="16"/>
                <w:color w:val="auto"/>
              </w:rPr>
              <w:t>Independent Auditors' Report</w:t>
            </w:r>
          </w:p>
        </w:tc>
        <w:tc>
          <w:tcPr>
            <w:tcW w:w="2920" w:type="dxa"/>
            <w:vAlign w:val="bottom"/>
          </w:tcPr>
          <w:p>
            <w:pPr>
              <w:jc w:val="center"/>
              <w:ind w:left="2381"/>
              <w:spacing w:after="0"/>
              <w:rPr>
                <w:sz w:val="20"/>
                <w:szCs w:val="20"/>
                <w:color w:val="auto"/>
              </w:rPr>
            </w:pPr>
            <w:r>
              <w:rPr>
                <w:rFonts w:ascii="Courier New" w:cs="Courier New" w:eastAsia="Courier New" w:hAnsi="Courier New"/>
                <w:sz w:val="16"/>
                <w:szCs w:val="16"/>
                <w:color w:val="auto"/>
              </w:rPr>
              <w:t>1</w:t>
            </w:r>
          </w:p>
        </w:tc>
      </w:tr>
      <w:tr>
        <w:trPr>
          <w:trHeight w:val="364"/>
        </w:trPr>
        <w:tc>
          <w:tcPr>
            <w:tcW w:w="8420" w:type="dxa"/>
            <w:vAlign w:val="bottom"/>
            <w:gridSpan w:val="2"/>
          </w:tcPr>
          <w:p>
            <w:pPr>
              <w:spacing w:after="0"/>
              <w:rPr>
                <w:sz w:val="20"/>
                <w:szCs w:val="20"/>
                <w:color w:val="auto"/>
              </w:rPr>
            </w:pPr>
            <w:r>
              <w:rPr>
                <w:rFonts w:ascii="Courier New" w:cs="Courier New" w:eastAsia="Courier New" w:hAnsi="Courier New"/>
                <w:sz w:val="16"/>
                <w:szCs w:val="16"/>
                <w:color w:val="auto"/>
              </w:rPr>
              <w:t>Statements of Net Assets Available for Plan Benefits</w:t>
            </w:r>
          </w:p>
        </w:tc>
        <w:tc>
          <w:tcPr>
            <w:tcW w:w="2920" w:type="dxa"/>
            <w:vAlign w:val="bottom"/>
          </w:tcPr>
          <w:p>
            <w:pPr>
              <w:jc w:val="center"/>
              <w:ind w:left="2381"/>
              <w:spacing w:after="0"/>
              <w:rPr>
                <w:sz w:val="20"/>
                <w:szCs w:val="20"/>
                <w:color w:val="auto"/>
              </w:rPr>
            </w:pPr>
            <w:r>
              <w:rPr>
                <w:rFonts w:ascii="Courier New" w:cs="Courier New" w:eastAsia="Courier New" w:hAnsi="Courier New"/>
                <w:sz w:val="16"/>
                <w:szCs w:val="16"/>
                <w:color w:val="auto"/>
              </w:rPr>
              <w:t>2</w:t>
            </w:r>
          </w:p>
        </w:tc>
      </w:tr>
      <w:tr>
        <w:trPr>
          <w:trHeight w:val="364"/>
        </w:trPr>
        <w:tc>
          <w:tcPr>
            <w:tcW w:w="8420" w:type="dxa"/>
            <w:vAlign w:val="bottom"/>
            <w:gridSpan w:val="2"/>
          </w:tcPr>
          <w:p>
            <w:pPr>
              <w:spacing w:after="0"/>
              <w:rPr>
                <w:sz w:val="20"/>
                <w:szCs w:val="20"/>
                <w:color w:val="auto"/>
              </w:rPr>
            </w:pPr>
            <w:r>
              <w:rPr>
                <w:rFonts w:ascii="Courier New" w:cs="Courier New" w:eastAsia="Courier New" w:hAnsi="Courier New"/>
                <w:sz w:val="16"/>
                <w:szCs w:val="16"/>
                <w:color w:val="auto"/>
              </w:rPr>
              <w:t>Statements of Changes in Net Assets Available for Plan Benefits</w:t>
            </w:r>
          </w:p>
        </w:tc>
        <w:tc>
          <w:tcPr>
            <w:tcW w:w="2920" w:type="dxa"/>
            <w:vAlign w:val="bottom"/>
          </w:tcPr>
          <w:p>
            <w:pPr>
              <w:jc w:val="center"/>
              <w:ind w:left="2381"/>
              <w:spacing w:after="0"/>
              <w:rPr>
                <w:sz w:val="20"/>
                <w:szCs w:val="20"/>
                <w:color w:val="auto"/>
              </w:rPr>
            </w:pPr>
            <w:r>
              <w:rPr>
                <w:rFonts w:ascii="Courier New" w:cs="Courier New" w:eastAsia="Courier New" w:hAnsi="Courier New"/>
                <w:sz w:val="16"/>
                <w:szCs w:val="16"/>
                <w:color w:val="auto"/>
              </w:rPr>
              <w:t>3</w:t>
            </w:r>
          </w:p>
        </w:tc>
      </w:tr>
      <w:tr>
        <w:trPr>
          <w:trHeight w:val="364"/>
        </w:trPr>
        <w:tc>
          <w:tcPr>
            <w:tcW w:w="8420" w:type="dxa"/>
            <w:vAlign w:val="bottom"/>
            <w:gridSpan w:val="2"/>
          </w:tcPr>
          <w:p>
            <w:pPr>
              <w:spacing w:after="0"/>
              <w:rPr>
                <w:sz w:val="20"/>
                <w:szCs w:val="20"/>
                <w:color w:val="auto"/>
              </w:rPr>
            </w:pPr>
            <w:r>
              <w:rPr>
                <w:rFonts w:ascii="Courier New" w:cs="Courier New" w:eastAsia="Courier New" w:hAnsi="Courier New"/>
                <w:sz w:val="16"/>
                <w:szCs w:val="16"/>
                <w:color w:val="auto"/>
              </w:rPr>
              <w:t>Notes to Financial Statements</w:t>
            </w:r>
          </w:p>
        </w:tc>
        <w:tc>
          <w:tcPr>
            <w:tcW w:w="2920" w:type="dxa"/>
            <w:vAlign w:val="bottom"/>
          </w:tcPr>
          <w:p>
            <w:pPr>
              <w:jc w:val="center"/>
              <w:ind w:left="2381"/>
              <w:spacing w:after="0"/>
              <w:rPr>
                <w:sz w:val="20"/>
                <w:szCs w:val="20"/>
                <w:color w:val="auto"/>
              </w:rPr>
            </w:pPr>
            <w:r>
              <w:rPr>
                <w:rFonts w:ascii="Courier New" w:cs="Courier New" w:eastAsia="Courier New" w:hAnsi="Courier New"/>
                <w:sz w:val="16"/>
                <w:szCs w:val="16"/>
                <w:color w:val="auto"/>
                <w:w w:val="95"/>
              </w:rPr>
              <w:t>4 - 8</w:t>
            </w:r>
          </w:p>
        </w:tc>
      </w:tr>
      <w:tr>
        <w:trPr>
          <w:trHeight w:val="364"/>
        </w:trPr>
        <w:tc>
          <w:tcPr>
            <w:tcW w:w="8420" w:type="dxa"/>
            <w:vAlign w:val="bottom"/>
            <w:gridSpan w:val="2"/>
          </w:tcPr>
          <w:p>
            <w:pPr>
              <w:spacing w:after="0"/>
              <w:rPr>
                <w:sz w:val="20"/>
                <w:szCs w:val="20"/>
                <w:color w:val="auto"/>
              </w:rPr>
            </w:pPr>
            <w:r>
              <w:rPr>
                <w:rFonts w:ascii="Courier New" w:cs="Courier New" w:eastAsia="Courier New" w:hAnsi="Courier New"/>
                <w:sz w:val="16"/>
                <w:szCs w:val="16"/>
                <w:color w:val="auto"/>
              </w:rPr>
              <w:t>SCHEDULE</w:t>
            </w:r>
          </w:p>
        </w:tc>
        <w:tc>
          <w:tcPr>
            <w:tcW w:w="2920" w:type="dxa"/>
            <w:vAlign w:val="bottom"/>
          </w:tcPr>
          <w:p>
            <w:pPr>
              <w:spacing w:after="0"/>
              <w:rPr>
                <w:sz w:val="24"/>
                <w:szCs w:val="24"/>
                <w:color w:val="auto"/>
              </w:rPr>
            </w:pPr>
          </w:p>
        </w:tc>
      </w:tr>
      <w:tr>
        <w:trPr>
          <w:trHeight w:val="364"/>
        </w:trPr>
        <w:tc>
          <w:tcPr>
            <w:tcW w:w="28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8140" w:type="dxa"/>
            <w:vAlign w:val="bottom"/>
          </w:tcPr>
          <w:p>
            <w:pPr>
              <w:ind w:left="180"/>
              <w:spacing w:after="0"/>
              <w:rPr>
                <w:sz w:val="20"/>
                <w:szCs w:val="20"/>
                <w:color w:val="auto"/>
              </w:rPr>
            </w:pPr>
            <w:r>
              <w:rPr>
                <w:rFonts w:ascii="Courier New" w:cs="Courier New" w:eastAsia="Courier New" w:hAnsi="Courier New"/>
                <w:sz w:val="16"/>
                <w:szCs w:val="16"/>
                <w:color w:val="auto"/>
              </w:rPr>
              <w:t>Item 27a--Schedule of Assets Held for Investment Purposes</w:t>
            </w:r>
          </w:p>
        </w:tc>
        <w:tc>
          <w:tcPr>
            <w:tcW w:w="2920" w:type="dxa"/>
            <w:vAlign w:val="bottom"/>
          </w:tcPr>
          <w:p>
            <w:pPr>
              <w:jc w:val="right"/>
              <w:ind w:right="1"/>
              <w:spacing w:after="0"/>
              <w:rPr>
                <w:sz w:val="20"/>
                <w:szCs w:val="20"/>
                <w:color w:val="auto"/>
              </w:rPr>
            </w:pPr>
            <w:r>
              <w:rPr>
                <w:rFonts w:ascii="Courier New" w:cs="Courier New" w:eastAsia="Courier New" w:hAnsi="Courier New"/>
                <w:sz w:val="16"/>
                <w:szCs w:val="16"/>
                <w:color w:val="auto"/>
              </w:rPr>
              <w:t>9</w:t>
            </w:r>
          </w:p>
        </w:tc>
      </w:tr>
    </w:tbl>
    <w:p>
      <w:pPr>
        <w:sectPr>
          <w:pgSz w:w="11900" w:h="16838" w:orient="portrait"/>
          <w:cols w:equalWidth="0" w:num="1">
            <w:col w:w="11340"/>
          </w:cols>
          <w:pgMar w:left="240" w:top="635" w:right="319" w:bottom="1440" w:gutter="0" w:footer="0" w:header="0"/>
        </w:sectPr>
      </w:pPr>
    </w:p>
    <w:bookmarkStart w:id="3" w:name="page4"/>
    <w:bookmarkEnd w:id="3"/>
    <w:p>
      <w:pPr>
        <w:ind w:left="2000"/>
        <w:spacing w:after="0"/>
        <w:rPr>
          <w:sz w:val="20"/>
          <w:szCs w:val="20"/>
          <w:color w:val="auto"/>
        </w:rPr>
      </w:pPr>
      <w:r>
        <w:rPr>
          <w:rFonts w:ascii="Courier New" w:cs="Courier New" w:eastAsia="Courier New" w:hAnsi="Courier New"/>
          <w:sz w:val="16"/>
          <w:szCs w:val="16"/>
          <w:color w:val="auto"/>
        </w:rPr>
        <w:t>INDEPENDENT AUDITORS' REPORT</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Plan Administrator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Toro Company Investment and Savings Plan:</w:t>
      </w:r>
    </w:p>
    <w:p>
      <w:pPr>
        <w:spacing w:after="0" w:line="336" w:lineRule="exact"/>
        <w:rPr>
          <w:sz w:val="20"/>
          <w:szCs w:val="20"/>
          <w:color w:val="auto"/>
        </w:rPr>
      </w:pPr>
    </w:p>
    <w:p>
      <w:pPr>
        <w:ind w:right="2659"/>
        <w:spacing w:after="0" w:line="259" w:lineRule="auto"/>
        <w:rPr>
          <w:sz w:val="20"/>
          <w:szCs w:val="20"/>
          <w:color w:val="auto"/>
        </w:rPr>
      </w:pPr>
      <w:r>
        <w:rPr>
          <w:rFonts w:ascii="Courier New" w:cs="Courier New" w:eastAsia="Courier New" w:hAnsi="Courier New"/>
          <w:sz w:val="16"/>
          <w:szCs w:val="16"/>
          <w:color w:val="auto"/>
        </w:rPr>
        <w:t>We have audited the accompanying statements of net assets available for plan benefits of The Toro Company Investment and Savings Plan (the Plan) as of December 31, 1999 and 1998, and the related statements of changes in net assets available for plan benefits for the years then ended. These financial statements are the responsibility of the Plan's management. Our responsibility is to express an opinion on these financial statements based on our audits.</w:t>
      </w:r>
    </w:p>
    <w:p>
      <w:pPr>
        <w:spacing w:after="0" w:line="86" w:lineRule="exact"/>
        <w:rPr>
          <w:sz w:val="20"/>
          <w:szCs w:val="20"/>
          <w:color w:val="auto"/>
        </w:rPr>
      </w:pPr>
    </w:p>
    <w:p>
      <w:pPr>
        <w:ind w:right="2659"/>
        <w:spacing w:after="0" w:line="254"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2" w:lineRule="exact"/>
        <w:rPr>
          <w:sz w:val="20"/>
          <w:szCs w:val="20"/>
          <w:color w:val="auto"/>
        </w:rPr>
      </w:pPr>
    </w:p>
    <w:p>
      <w:pPr>
        <w:ind w:right="2759"/>
        <w:spacing w:after="0" w:line="268"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net assets available for plan benefits as of December 31, 1999 and 1998, and the changes in net assets available for plan benefits for the years then ended, in conformity with generally accepted accounting principles.</w:t>
      </w:r>
    </w:p>
    <w:p>
      <w:pPr>
        <w:spacing w:after="0" w:line="79" w:lineRule="exact"/>
        <w:rPr>
          <w:sz w:val="20"/>
          <w:szCs w:val="20"/>
          <w:color w:val="auto"/>
        </w:rPr>
      </w:pPr>
    </w:p>
    <w:p>
      <w:pPr>
        <w:ind w:right="2759"/>
        <w:spacing w:after="0" w:line="251" w:lineRule="auto"/>
        <w:rPr>
          <w:sz w:val="20"/>
          <w:szCs w:val="20"/>
          <w:color w:val="auto"/>
        </w:rPr>
      </w:pPr>
      <w:r>
        <w:rPr>
          <w:rFonts w:ascii="Courier New" w:cs="Courier New" w:eastAsia="Courier New" w:hAnsi="Courier New"/>
          <w:sz w:val="16"/>
          <w:szCs w:val="16"/>
          <w:color w:val="auto"/>
        </w:rPr>
        <w:t>Our audits were performed for the purpose of forming an opinion on the basic financial statements taken as a whole. The supplemental schedule of assets held for investment purposes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200" w:lineRule="exact"/>
        <w:rPr>
          <w:sz w:val="20"/>
          <w:szCs w:val="20"/>
          <w:color w:val="auto"/>
        </w:rPr>
      </w:pPr>
    </w:p>
    <w:p>
      <w:pPr>
        <w:spacing w:after="0" w:line="261" w:lineRule="exact"/>
        <w:rPr>
          <w:sz w:val="20"/>
          <w:szCs w:val="20"/>
          <w:color w:val="auto"/>
        </w:rPr>
      </w:pPr>
    </w:p>
    <w:p>
      <w:pPr>
        <w:ind w:left="5220"/>
        <w:spacing w:after="0"/>
        <w:rPr>
          <w:sz w:val="20"/>
          <w:szCs w:val="20"/>
          <w:color w:val="auto"/>
        </w:rPr>
      </w:pPr>
      <w:r>
        <w:rPr>
          <w:rFonts w:ascii="Courier New" w:cs="Courier New" w:eastAsia="Courier New" w:hAnsi="Courier New"/>
          <w:sz w:val="16"/>
          <w:szCs w:val="16"/>
          <w:color w:val="auto"/>
        </w:rPr>
        <w:t>KPMG LLP</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Minneapolis, Minnesota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19, 2000</w:t>
      </w:r>
    </w:p>
    <w:p>
      <w:pPr>
        <w:sectPr>
          <w:pgSz w:w="11900" w:h="16838" w:orient="portrait"/>
          <w:cols w:equalWidth="0" w:num="1">
            <w:col w:w="9759"/>
          </w:cols>
          <w:pgMar w:left="700" w:top="635" w:right="1440" w:bottom="1440" w:gutter="0" w:footer="0" w:header="0"/>
        </w:sectPr>
      </w:pPr>
    </w:p>
    <w:bookmarkStart w:id="4" w:name="page5"/>
    <w:bookmarkEnd w:id="4"/>
    <w:p>
      <w:pPr>
        <w:jc w:val="center"/>
        <w:ind w:right="3700"/>
        <w:spacing w:after="0"/>
        <w:rPr>
          <w:sz w:val="20"/>
          <w:szCs w:val="20"/>
          <w:color w:val="auto"/>
        </w:rPr>
      </w:pPr>
      <w:r>
        <w:rPr>
          <w:rFonts w:ascii="Courier New" w:cs="Courier New" w:eastAsia="Courier New" w:hAnsi="Courier New"/>
          <w:sz w:val="16"/>
          <w:szCs w:val="16"/>
          <w:color w:val="auto"/>
        </w:rPr>
        <w:t>THE TORO COMPANY INVESTMENT AND SAVINGS PLAN</w:t>
      </w:r>
    </w:p>
    <w:p>
      <w:pPr>
        <w:spacing w:after="0" w:line="183"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Statements of Net Assets Available for Plan Benefits</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December 31, 1999 and 1998</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1999</w:t>
            </w:r>
          </w:p>
        </w:tc>
        <w:tc>
          <w:tcPr>
            <w:tcW w:w="160" w:type="dxa"/>
            <w:vAlign w:val="bottom"/>
          </w:tcPr>
          <w:p>
            <w:pPr>
              <w:spacing w:after="0"/>
              <w:rPr>
                <w:sz w:val="15"/>
                <w:szCs w:val="15"/>
                <w:color w:val="auto"/>
              </w:rPr>
            </w:pPr>
          </w:p>
        </w:tc>
        <w:tc>
          <w:tcPr>
            <w:tcW w:w="156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5"/>
        </w:trPr>
        <w:tc>
          <w:tcPr>
            <w:tcW w:w="63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6340" w:type="dxa"/>
            <w:vAlign w:val="bottom"/>
          </w:tcPr>
          <w:p>
            <w:pPr>
              <w:spacing w:after="0"/>
              <w:rPr>
                <w:sz w:val="20"/>
                <w:szCs w:val="20"/>
                <w:color w:val="auto"/>
              </w:rPr>
            </w:pPr>
            <w:r>
              <w:rPr>
                <w:rFonts w:ascii="Courier New" w:cs="Courier New" w:eastAsia="Courier New" w:hAnsi="Courier New"/>
                <w:sz w:val="16"/>
                <w:szCs w:val="16"/>
                <w:color w:val="auto"/>
              </w:rPr>
              <w:t>Assets held by Trustee:</w:t>
            </w:r>
          </w:p>
        </w:tc>
        <w:tc>
          <w:tcPr>
            <w:tcW w:w="16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248,987,475</w:t>
            </w:r>
          </w:p>
        </w:tc>
        <w:tc>
          <w:tcPr>
            <w:tcW w:w="1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2"/>
              </w:rPr>
              <w:t>$</w:t>
            </w:r>
          </w:p>
        </w:tc>
        <w:tc>
          <w:tcPr>
            <w:tcW w:w="15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191,027,850</w:t>
            </w:r>
          </w:p>
        </w:tc>
        <w:tc>
          <w:tcPr>
            <w:tcW w:w="0" w:type="dxa"/>
            <w:vAlign w:val="bottom"/>
          </w:tcPr>
          <w:p>
            <w:pPr>
              <w:spacing w:after="0"/>
              <w:rPr>
                <w:sz w:val="1"/>
                <w:szCs w:val="1"/>
                <w:color w:val="auto"/>
              </w:rPr>
            </w:pPr>
          </w:p>
        </w:tc>
      </w:tr>
      <w:tr>
        <w:trPr>
          <w:trHeight w:val="182"/>
        </w:trPr>
        <w:tc>
          <w:tcPr>
            <w:tcW w:w="6340" w:type="dxa"/>
            <w:vAlign w:val="bottom"/>
          </w:tcPr>
          <w:p>
            <w:pPr>
              <w:ind w:left="380"/>
              <w:spacing w:after="0"/>
              <w:rPr>
                <w:sz w:val="20"/>
                <w:szCs w:val="20"/>
                <w:color w:val="auto"/>
              </w:rPr>
            </w:pPr>
            <w:r>
              <w:rPr>
                <w:rFonts w:ascii="Courier New" w:cs="Courier New" w:eastAsia="Courier New" w:hAnsi="Courier New"/>
                <w:sz w:val="16"/>
                <w:szCs w:val="16"/>
                <w:color w:val="auto"/>
              </w:rPr>
              <w:t>Investments</w:t>
            </w:r>
          </w:p>
        </w:tc>
        <w:tc>
          <w:tcPr>
            <w:tcW w:w="164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340" w:type="dxa"/>
            <w:vAlign w:val="bottom"/>
          </w:tcPr>
          <w:p>
            <w:pPr>
              <w:ind w:left="380"/>
              <w:spacing w:after="0"/>
              <w:rPr>
                <w:sz w:val="20"/>
                <w:szCs w:val="20"/>
                <w:color w:val="auto"/>
              </w:rPr>
            </w:pPr>
            <w:r>
              <w:rPr>
                <w:rFonts w:ascii="Courier New" w:cs="Courier New" w:eastAsia="Courier New" w:hAnsi="Courier New"/>
                <w:sz w:val="16"/>
                <w:szCs w:val="16"/>
                <w:color w:val="auto"/>
              </w:rPr>
              <w:t>Employer contribution receivable</w:t>
            </w:r>
          </w:p>
        </w:tc>
        <w:tc>
          <w:tcPr>
            <w:tcW w:w="1640" w:type="dxa"/>
            <w:vAlign w:val="bottom"/>
          </w:tcPr>
          <w:p>
            <w:pPr>
              <w:spacing w:after="0"/>
              <w:rPr>
                <w:sz w:val="15"/>
                <w:szCs w:val="15"/>
                <w:color w:val="auto"/>
              </w:rPr>
            </w:pPr>
          </w:p>
        </w:tc>
        <w:tc>
          <w:tcPr>
            <w:tcW w:w="1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7,286,018</w:t>
            </w:r>
          </w:p>
        </w:tc>
        <w:tc>
          <w:tcPr>
            <w:tcW w:w="160" w:type="dxa"/>
            <w:vAlign w:val="bottom"/>
          </w:tcPr>
          <w:p>
            <w:pPr>
              <w:spacing w:after="0"/>
              <w:rPr>
                <w:sz w:val="15"/>
                <w:szCs w:val="15"/>
                <w:color w:val="auto"/>
              </w:rPr>
            </w:pP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6,786,968</w:t>
            </w:r>
          </w:p>
        </w:tc>
        <w:tc>
          <w:tcPr>
            <w:tcW w:w="0" w:type="dxa"/>
            <w:vAlign w:val="bottom"/>
          </w:tcPr>
          <w:p>
            <w:pPr>
              <w:spacing w:after="0"/>
              <w:rPr>
                <w:sz w:val="1"/>
                <w:szCs w:val="1"/>
                <w:color w:val="auto"/>
              </w:rPr>
            </w:pPr>
          </w:p>
        </w:tc>
      </w:tr>
      <w:tr>
        <w:trPr>
          <w:trHeight w:val="182"/>
        </w:trPr>
        <w:tc>
          <w:tcPr>
            <w:tcW w:w="6340" w:type="dxa"/>
            <w:vAlign w:val="bottom"/>
          </w:tcPr>
          <w:p>
            <w:pPr>
              <w:ind w:left="380"/>
              <w:spacing w:after="0"/>
              <w:rPr>
                <w:sz w:val="20"/>
                <w:szCs w:val="20"/>
                <w:color w:val="auto"/>
              </w:rPr>
            </w:pPr>
            <w:r>
              <w:rPr>
                <w:rFonts w:ascii="Courier New" w:cs="Courier New" w:eastAsia="Courier New" w:hAnsi="Courier New"/>
                <w:sz w:val="16"/>
                <w:szCs w:val="16"/>
                <w:color w:val="auto"/>
              </w:rPr>
              <w:t>Employee contribution receivable</w:t>
            </w:r>
          </w:p>
        </w:tc>
        <w:tc>
          <w:tcPr>
            <w:tcW w:w="1640" w:type="dxa"/>
            <w:vAlign w:val="bottom"/>
          </w:tcPr>
          <w:p>
            <w:pPr>
              <w:spacing w:after="0"/>
              <w:rPr>
                <w:sz w:val="15"/>
                <w:szCs w:val="15"/>
                <w:color w:val="auto"/>
              </w:rPr>
            </w:pPr>
          </w:p>
        </w:tc>
        <w:tc>
          <w:tcPr>
            <w:tcW w:w="1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37,770</w:t>
            </w:r>
          </w:p>
        </w:tc>
        <w:tc>
          <w:tcPr>
            <w:tcW w:w="160" w:type="dxa"/>
            <w:vAlign w:val="bottom"/>
          </w:tcPr>
          <w:p>
            <w:pPr>
              <w:spacing w:after="0"/>
              <w:rPr>
                <w:sz w:val="15"/>
                <w:szCs w:val="15"/>
                <w:color w:val="auto"/>
              </w:rPr>
            </w:pP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29,533</w:t>
            </w:r>
          </w:p>
        </w:tc>
        <w:tc>
          <w:tcPr>
            <w:tcW w:w="0" w:type="dxa"/>
            <w:vAlign w:val="bottom"/>
          </w:tcPr>
          <w:p>
            <w:pPr>
              <w:spacing w:after="0"/>
              <w:rPr>
                <w:sz w:val="1"/>
                <w:szCs w:val="1"/>
                <w:color w:val="auto"/>
              </w:rPr>
            </w:pPr>
          </w:p>
        </w:tc>
      </w:tr>
      <w:tr>
        <w:trPr>
          <w:trHeight w:val="265"/>
        </w:trPr>
        <w:tc>
          <w:tcPr>
            <w:tcW w:w="63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6340" w:type="dxa"/>
            <w:vAlign w:val="bottom"/>
          </w:tcPr>
          <w:p>
            <w:pPr>
              <w:ind w:left="1220"/>
              <w:spacing w:after="0"/>
              <w:rPr>
                <w:sz w:val="20"/>
                <w:szCs w:val="20"/>
                <w:color w:val="auto"/>
              </w:rPr>
            </w:pPr>
            <w:r>
              <w:rPr>
                <w:rFonts w:ascii="Courier New" w:cs="Courier New" w:eastAsia="Courier New" w:hAnsi="Courier New"/>
                <w:sz w:val="16"/>
                <w:szCs w:val="16"/>
                <w:color w:val="auto"/>
              </w:rPr>
              <w:t>Net assets available for plan benefits</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256,311,263</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197,844,351</w:t>
            </w:r>
          </w:p>
        </w:tc>
        <w:tc>
          <w:tcPr>
            <w:tcW w:w="0" w:type="dxa"/>
            <w:vAlign w:val="bottom"/>
          </w:tcPr>
          <w:p>
            <w:pPr>
              <w:spacing w:after="0"/>
              <w:rPr>
                <w:sz w:val="1"/>
                <w:szCs w:val="1"/>
                <w:color w:val="auto"/>
              </w:rPr>
            </w:pPr>
          </w:p>
        </w:tc>
      </w:tr>
      <w:tr>
        <w:trPr>
          <w:trHeight w:val="265"/>
        </w:trPr>
        <w:tc>
          <w:tcPr>
            <w:tcW w:w="63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financial statements.</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260"/>
          </w:cols>
          <w:pgMar w:left="240" w:top="635" w:right="399" w:bottom="1440" w:gutter="0" w:footer="0" w:header="0"/>
        </w:sectPr>
      </w:pPr>
    </w:p>
    <w:bookmarkStart w:id="5" w:name="page6"/>
    <w:bookmarkEnd w:id="5"/>
    <w:p>
      <w:pPr>
        <w:jc w:val="center"/>
        <w:ind w:right="3700"/>
        <w:spacing w:after="0"/>
        <w:rPr>
          <w:sz w:val="20"/>
          <w:szCs w:val="20"/>
          <w:color w:val="auto"/>
        </w:rPr>
      </w:pPr>
      <w:r>
        <w:rPr>
          <w:rFonts w:ascii="Courier New" w:cs="Courier New" w:eastAsia="Courier New" w:hAnsi="Courier New"/>
          <w:sz w:val="16"/>
          <w:szCs w:val="16"/>
          <w:color w:val="auto"/>
        </w:rPr>
        <w:t>THE TORO COMPANY INVESTMENT AND SAVINGS PLAN</w:t>
      </w:r>
    </w:p>
    <w:p>
      <w:pPr>
        <w:spacing w:after="0" w:line="183"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Statements of Changes in Net Assets Available for Plan Benefits</w:t>
      </w:r>
    </w:p>
    <w:p>
      <w:pPr>
        <w:spacing w:after="0" w:line="183"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Years ended December 31, 1999 and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1999</w:t>
            </w:r>
          </w:p>
        </w:tc>
        <w:tc>
          <w:tcPr>
            <w:tcW w:w="16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5"/>
        </w:trPr>
        <w:tc>
          <w:tcPr>
            <w:tcW w:w="64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6420" w:type="dxa"/>
            <w:vAlign w:val="bottom"/>
          </w:tcPr>
          <w:p>
            <w:pPr>
              <w:spacing w:after="0"/>
              <w:rPr>
                <w:sz w:val="20"/>
                <w:szCs w:val="20"/>
                <w:color w:val="auto"/>
              </w:rPr>
            </w:pPr>
            <w:r>
              <w:rPr>
                <w:rFonts w:ascii="Courier New" w:cs="Courier New" w:eastAsia="Courier New" w:hAnsi="Courier New"/>
                <w:sz w:val="16"/>
                <w:szCs w:val="16"/>
                <w:color w:val="auto"/>
              </w:rPr>
              <w:t>Investment income:</w:t>
            </w:r>
          </w:p>
        </w:tc>
        <w:tc>
          <w:tcPr>
            <w:tcW w:w="15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16,178,496</w:t>
            </w:r>
          </w:p>
        </w:tc>
        <w:tc>
          <w:tcPr>
            <w:tcW w:w="16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11,307,733</w:t>
            </w:r>
          </w:p>
        </w:tc>
        <w:tc>
          <w:tcPr>
            <w:tcW w:w="0" w:type="dxa"/>
            <w:vAlign w:val="bottom"/>
          </w:tcPr>
          <w:p>
            <w:pPr>
              <w:spacing w:after="0"/>
              <w:rPr>
                <w:sz w:val="1"/>
                <w:szCs w:val="1"/>
                <w:color w:val="auto"/>
              </w:rPr>
            </w:pPr>
          </w:p>
        </w:tc>
      </w:tr>
      <w:tr>
        <w:trPr>
          <w:trHeight w:val="182"/>
        </w:trPr>
        <w:tc>
          <w:tcPr>
            <w:tcW w:w="6420" w:type="dxa"/>
            <w:vAlign w:val="bottom"/>
          </w:tcPr>
          <w:p>
            <w:pPr>
              <w:ind w:left="380"/>
              <w:spacing w:after="0"/>
              <w:rPr>
                <w:sz w:val="20"/>
                <w:szCs w:val="20"/>
                <w:color w:val="auto"/>
              </w:rPr>
            </w:pPr>
            <w:r>
              <w:rPr>
                <w:rFonts w:ascii="Courier New" w:cs="Courier New" w:eastAsia="Courier New" w:hAnsi="Courier New"/>
                <w:sz w:val="16"/>
                <w:szCs w:val="16"/>
                <w:color w:val="auto"/>
              </w:rPr>
              <w:t>Interest, dividends, and cash earnings</w:t>
            </w: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20" w:type="dxa"/>
            <w:vAlign w:val="bottom"/>
          </w:tcPr>
          <w:p>
            <w:pPr>
              <w:ind w:left="380"/>
              <w:spacing w:after="0"/>
              <w:rPr>
                <w:sz w:val="20"/>
                <w:szCs w:val="20"/>
                <w:color w:val="auto"/>
              </w:rPr>
            </w:pPr>
            <w:r>
              <w:rPr>
                <w:rFonts w:ascii="Courier New" w:cs="Courier New" w:eastAsia="Courier New" w:hAnsi="Courier New"/>
                <w:sz w:val="16"/>
                <w:szCs w:val="16"/>
                <w:color w:val="auto"/>
              </w:rPr>
              <w:t>Net appreciation in the fair value of investments</w:t>
            </w:r>
          </w:p>
        </w:tc>
        <w:tc>
          <w:tcPr>
            <w:tcW w:w="1560" w:type="dxa"/>
            <w:vAlign w:val="bottom"/>
          </w:tcPr>
          <w:p>
            <w:pPr>
              <w:spacing w:after="0"/>
              <w:rPr>
                <w:sz w:val="15"/>
                <w:szCs w:val="15"/>
                <w:color w:val="auto"/>
              </w:rPr>
            </w:pP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34,268,115</w:t>
            </w:r>
          </w:p>
        </w:tc>
        <w:tc>
          <w:tcPr>
            <w:tcW w:w="1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5,239,691</w:t>
            </w:r>
          </w:p>
        </w:tc>
        <w:tc>
          <w:tcPr>
            <w:tcW w:w="0" w:type="dxa"/>
            <w:vAlign w:val="bottom"/>
          </w:tcPr>
          <w:p>
            <w:pPr>
              <w:spacing w:after="0"/>
              <w:rPr>
                <w:sz w:val="1"/>
                <w:szCs w:val="1"/>
                <w:color w:val="auto"/>
              </w:rPr>
            </w:pPr>
          </w:p>
        </w:tc>
      </w:tr>
      <w:tr>
        <w:trPr>
          <w:trHeight w:val="265"/>
        </w:trPr>
        <w:tc>
          <w:tcPr>
            <w:tcW w:w="64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6420" w:type="dxa"/>
            <w:vAlign w:val="bottom"/>
          </w:tcPr>
          <w:p>
            <w:pPr>
              <w:ind w:left="1520"/>
              <w:spacing w:after="0"/>
              <w:rPr>
                <w:sz w:val="20"/>
                <w:szCs w:val="20"/>
                <w:color w:val="auto"/>
              </w:rPr>
            </w:pPr>
            <w:r>
              <w:rPr>
                <w:rFonts w:ascii="Courier New" w:cs="Courier New" w:eastAsia="Courier New" w:hAnsi="Courier New"/>
                <w:sz w:val="16"/>
                <w:szCs w:val="16"/>
                <w:color w:val="auto"/>
              </w:rPr>
              <w:t>Net investment income</w:t>
            </w:r>
          </w:p>
        </w:tc>
        <w:tc>
          <w:tcPr>
            <w:tcW w:w="1560" w:type="dxa"/>
            <w:vAlign w:val="bottom"/>
          </w:tcPr>
          <w:p>
            <w:pPr>
              <w:spacing w:after="0"/>
              <w:rPr>
                <w:sz w:val="24"/>
                <w:szCs w:val="24"/>
                <w:color w:val="auto"/>
              </w:rPr>
            </w:pP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50,446,611</w:t>
            </w:r>
          </w:p>
        </w:tc>
        <w:tc>
          <w:tcPr>
            <w:tcW w:w="1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16,547,424</w:t>
            </w:r>
          </w:p>
        </w:tc>
        <w:tc>
          <w:tcPr>
            <w:tcW w:w="0" w:type="dxa"/>
            <w:vAlign w:val="bottom"/>
          </w:tcPr>
          <w:p>
            <w:pPr>
              <w:spacing w:after="0"/>
              <w:rPr>
                <w:sz w:val="1"/>
                <w:szCs w:val="1"/>
                <w:color w:val="auto"/>
              </w:rPr>
            </w:pPr>
          </w:p>
        </w:tc>
      </w:tr>
      <w:tr>
        <w:trPr>
          <w:trHeight w:val="280"/>
        </w:trPr>
        <w:tc>
          <w:tcPr>
            <w:tcW w:w="6420" w:type="dxa"/>
            <w:vAlign w:val="bottom"/>
          </w:tcPr>
          <w:p>
            <w:pPr>
              <w:spacing w:after="0"/>
              <w:rPr>
                <w:sz w:val="20"/>
                <w:szCs w:val="20"/>
                <w:color w:val="auto"/>
              </w:rPr>
            </w:pPr>
            <w:r>
              <w:rPr>
                <w:rFonts w:ascii="Courier New" w:cs="Courier New" w:eastAsia="Courier New" w:hAnsi="Courier New"/>
                <w:sz w:val="16"/>
                <w:szCs w:val="16"/>
                <w:color w:val="auto"/>
              </w:rPr>
              <w:t>Employer contributions</w:t>
            </w:r>
          </w:p>
        </w:tc>
        <w:tc>
          <w:tcPr>
            <w:tcW w:w="1560" w:type="dxa"/>
            <w:vAlign w:val="bottom"/>
          </w:tcPr>
          <w:p>
            <w:pPr>
              <w:spacing w:after="0"/>
              <w:rPr>
                <w:sz w:val="24"/>
                <w:szCs w:val="24"/>
                <w:color w:val="auto"/>
              </w:rPr>
            </w:pP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9,386,976</w:t>
            </w:r>
          </w:p>
        </w:tc>
        <w:tc>
          <w:tcPr>
            <w:tcW w:w="1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8,823,345</w:t>
            </w:r>
          </w:p>
        </w:tc>
        <w:tc>
          <w:tcPr>
            <w:tcW w:w="0" w:type="dxa"/>
            <w:vAlign w:val="bottom"/>
          </w:tcPr>
          <w:p>
            <w:pPr>
              <w:spacing w:after="0"/>
              <w:rPr>
                <w:sz w:val="1"/>
                <w:szCs w:val="1"/>
                <w:color w:val="auto"/>
              </w:rPr>
            </w:pPr>
          </w:p>
        </w:tc>
      </w:tr>
      <w:tr>
        <w:trPr>
          <w:trHeight w:val="182"/>
        </w:trPr>
        <w:tc>
          <w:tcPr>
            <w:tcW w:w="6420" w:type="dxa"/>
            <w:vAlign w:val="bottom"/>
          </w:tcPr>
          <w:p>
            <w:pPr>
              <w:spacing w:after="0"/>
              <w:rPr>
                <w:sz w:val="20"/>
                <w:szCs w:val="20"/>
                <w:color w:val="auto"/>
              </w:rPr>
            </w:pPr>
            <w:r>
              <w:rPr>
                <w:rFonts w:ascii="Courier New" w:cs="Courier New" w:eastAsia="Courier New" w:hAnsi="Courier New"/>
                <w:sz w:val="16"/>
                <w:szCs w:val="16"/>
                <w:color w:val="auto"/>
              </w:rPr>
              <w:t>Employee contributions</w:t>
            </w:r>
          </w:p>
        </w:tc>
        <w:tc>
          <w:tcPr>
            <w:tcW w:w="1560" w:type="dxa"/>
            <w:vAlign w:val="bottom"/>
          </w:tcPr>
          <w:p>
            <w:pPr>
              <w:spacing w:after="0"/>
              <w:rPr>
                <w:sz w:val="15"/>
                <w:szCs w:val="15"/>
                <w:color w:val="auto"/>
              </w:rPr>
            </w:pP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8,228,068</w:t>
            </w:r>
          </w:p>
        </w:tc>
        <w:tc>
          <w:tcPr>
            <w:tcW w:w="1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7,332,967</w:t>
            </w:r>
          </w:p>
        </w:tc>
        <w:tc>
          <w:tcPr>
            <w:tcW w:w="0" w:type="dxa"/>
            <w:vAlign w:val="bottom"/>
          </w:tcPr>
          <w:p>
            <w:pPr>
              <w:spacing w:after="0"/>
              <w:rPr>
                <w:sz w:val="1"/>
                <w:szCs w:val="1"/>
                <w:color w:val="auto"/>
              </w:rPr>
            </w:pPr>
          </w:p>
        </w:tc>
      </w:tr>
      <w:tr>
        <w:trPr>
          <w:trHeight w:val="182"/>
        </w:trPr>
        <w:tc>
          <w:tcPr>
            <w:tcW w:w="6420" w:type="dxa"/>
            <w:vAlign w:val="bottom"/>
          </w:tcPr>
          <w:p>
            <w:pPr>
              <w:spacing w:after="0"/>
              <w:rPr>
                <w:sz w:val="20"/>
                <w:szCs w:val="20"/>
                <w:color w:val="auto"/>
              </w:rPr>
            </w:pPr>
            <w:r>
              <w:rPr>
                <w:rFonts w:ascii="Courier New" w:cs="Courier New" w:eastAsia="Courier New" w:hAnsi="Courier New"/>
                <w:sz w:val="16"/>
                <w:szCs w:val="16"/>
                <w:color w:val="auto"/>
              </w:rPr>
              <w:t>Rollover contributions</w:t>
            </w:r>
          </w:p>
        </w:tc>
        <w:tc>
          <w:tcPr>
            <w:tcW w:w="1560" w:type="dxa"/>
            <w:vAlign w:val="bottom"/>
          </w:tcPr>
          <w:p>
            <w:pPr>
              <w:spacing w:after="0"/>
              <w:rPr>
                <w:sz w:val="15"/>
                <w:szCs w:val="15"/>
                <w:color w:val="auto"/>
              </w:rPr>
            </w:pP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569,477</w:t>
            </w:r>
          </w:p>
        </w:tc>
        <w:tc>
          <w:tcPr>
            <w:tcW w:w="1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672,693</w:t>
            </w:r>
          </w:p>
        </w:tc>
        <w:tc>
          <w:tcPr>
            <w:tcW w:w="0" w:type="dxa"/>
            <w:vAlign w:val="bottom"/>
          </w:tcPr>
          <w:p>
            <w:pPr>
              <w:spacing w:after="0"/>
              <w:rPr>
                <w:sz w:val="1"/>
                <w:szCs w:val="1"/>
                <w:color w:val="auto"/>
              </w:rPr>
            </w:pPr>
          </w:p>
        </w:tc>
      </w:tr>
      <w:tr>
        <w:trPr>
          <w:trHeight w:val="265"/>
        </w:trPr>
        <w:tc>
          <w:tcPr>
            <w:tcW w:w="64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6420" w:type="dxa"/>
            <w:vAlign w:val="bottom"/>
          </w:tcPr>
          <w:p>
            <w:pPr>
              <w:ind w:left="1520"/>
              <w:spacing w:after="0"/>
              <w:rPr>
                <w:sz w:val="20"/>
                <w:szCs w:val="20"/>
                <w:color w:val="auto"/>
              </w:rPr>
            </w:pPr>
            <w:r>
              <w:rPr>
                <w:rFonts w:ascii="Courier New" w:cs="Courier New" w:eastAsia="Courier New" w:hAnsi="Courier New"/>
                <w:sz w:val="16"/>
                <w:szCs w:val="16"/>
                <w:color w:val="auto"/>
              </w:rPr>
              <w:t>Total contributions</w:t>
            </w:r>
          </w:p>
        </w:tc>
        <w:tc>
          <w:tcPr>
            <w:tcW w:w="1560" w:type="dxa"/>
            <w:vAlign w:val="bottom"/>
          </w:tcPr>
          <w:p>
            <w:pPr>
              <w:spacing w:after="0"/>
              <w:rPr>
                <w:sz w:val="24"/>
                <w:szCs w:val="24"/>
                <w:color w:val="auto"/>
              </w:rPr>
            </w:pP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18,184,521</w:t>
            </w:r>
          </w:p>
        </w:tc>
        <w:tc>
          <w:tcPr>
            <w:tcW w:w="1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16,829,005</w:t>
            </w:r>
          </w:p>
        </w:tc>
        <w:tc>
          <w:tcPr>
            <w:tcW w:w="0" w:type="dxa"/>
            <w:vAlign w:val="bottom"/>
          </w:tcPr>
          <w:p>
            <w:pPr>
              <w:spacing w:after="0"/>
              <w:rPr>
                <w:sz w:val="1"/>
                <w:szCs w:val="1"/>
                <w:color w:val="auto"/>
              </w:rPr>
            </w:pPr>
          </w:p>
        </w:tc>
      </w:tr>
      <w:tr>
        <w:trPr>
          <w:trHeight w:val="280"/>
        </w:trPr>
        <w:tc>
          <w:tcPr>
            <w:tcW w:w="6420" w:type="dxa"/>
            <w:vAlign w:val="bottom"/>
          </w:tcPr>
          <w:p>
            <w:pPr>
              <w:spacing w:after="0"/>
              <w:rPr>
                <w:sz w:val="20"/>
                <w:szCs w:val="20"/>
                <w:color w:val="auto"/>
              </w:rPr>
            </w:pPr>
            <w:r>
              <w:rPr>
                <w:rFonts w:ascii="Courier New" w:cs="Courier New" w:eastAsia="Courier New" w:hAnsi="Courier New"/>
                <w:sz w:val="16"/>
                <w:szCs w:val="16"/>
                <w:color w:val="auto"/>
              </w:rPr>
              <w:t>Benefit payments</w:t>
            </w:r>
          </w:p>
        </w:tc>
        <w:tc>
          <w:tcPr>
            <w:tcW w:w="1560" w:type="dxa"/>
            <w:vAlign w:val="bottom"/>
          </w:tcPr>
          <w:p>
            <w:pPr>
              <w:spacing w:after="0"/>
              <w:rPr>
                <w:sz w:val="24"/>
                <w:szCs w:val="24"/>
                <w:color w:val="auto"/>
              </w:rPr>
            </w:pPr>
          </w:p>
        </w:tc>
        <w:tc>
          <w:tcPr>
            <w:tcW w:w="1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(10,164,210)</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(9,806,833)</w:t>
            </w:r>
          </w:p>
        </w:tc>
        <w:tc>
          <w:tcPr>
            <w:tcW w:w="0" w:type="dxa"/>
            <w:vAlign w:val="bottom"/>
          </w:tcPr>
          <w:p>
            <w:pPr>
              <w:spacing w:after="0"/>
              <w:rPr>
                <w:sz w:val="1"/>
                <w:szCs w:val="1"/>
                <w:color w:val="auto"/>
              </w:rPr>
            </w:pPr>
          </w:p>
        </w:tc>
      </w:tr>
      <w:tr>
        <w:trPr>
          <w:trHeight w:val="182"/>
        </w:trPr>
        <w:tc>
          <w:tcPr>
            <w:tcW w:w="6420" w:type="dxa"/>
            <w:vAlign w:val="bottom"/>
          </w:tcPr>
          <w:p>
            <w:pPr>
              <w:spacing w:after="0"/>
              <w:rPr>
                <w:sz w:val="20"/>
                <w:szCs w:val="20"/>
                <w:color w:val="auto"/>
              </w:rPr>
            </w:pPr>
            <w:r>
              <w:rPr>
                <w:rFonts w:ascii="Courier New" w:cs="Courier New" w:eastAsia="Courier New" w:hAnsi="Courier New"/>
                <w:sz w:val="16"/>
                <w:szCs w:val="16"/>
                <w:color w:val="auto"/>
              </w:rPr>
              <w:t>Transfers to other plans</w:t>
            </w:r>
          </w:p>
        </w:tc>
        <w:tc>
          <w:tcPr>
            <w:tcW w:w="1560" w:type="dxa"/>
            <w:vAlign w:val="bottom"/>
          </w:tcPr>
          <w:p>
            <w:pPr>
              <w:spacing w:after="0"/>
              <w:rPr>
                <w:sz w:val="15"/>
                <w:szCs w:val="15"/>
                <w:color w:val="auto"/>
              </w:rPr>
            </w:pPr>
          </w:p>
        </w:tc>
        <w:tc>
          <w:tcPr>
            <w:tcW w:w="1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(7,052)</w:t>
            </w:r>
          </w:p>
        </w:tc>
        <w:tc>
          <w:tcPr>
            <w:tcW w:w="0" w:type="dxa"/>
            <w:vAlign w:val="bottom"/>
          </w:tcPr>
          <w:p>
            <w:pPr>
              <w:spacing w:after="0"/>
              <w:rPr>
                <w:sz w:val="1"/>
                <w:szCs w:val="1"/>
                <w:color w:val="auto"/>
              </w:rPr>
            </w:pPr>
          </w:p>
        </w:tc>
      </w:tr>
      <w:tr>
        <w:trPr>
          <w:trHeight w:val="265"/>
        </w:trPr>
        <w:tc>
          <w:tcPr>
            <w:tcW w:w="64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6420" w:type="dxa"/>
            <w:vAlign w:val="bottom"/>
          </w:tcPr>
          <w:p>
            <w:pPr>
              <w:ind w:left="1520"/>
              <w:spacing w:after="0"/>
              <w:rPr>
                <w:sz w:val="20"/>
                <w:szCs w:val="20"/>
                <w:color w:val="auto"/>
              </w:rPr>
            </w:pPr>
            <w:r>
              <w:rPr>
                <w:rFonts w:ascii="Courier New" w:cs="Courier New" w:eastAsia="Courier New" w:hAnsi="Courier New"/>
                <w:sz w:val="16"/>
                <w:szCs w:val="16"/>
                <w:color w:val="auto"/>
              </w:rPr>
              <w:t>Increase in net assets</w:t>
            </w:r>
          </w:p>
        </w:tc>
        <w:tc>
          <w:tcPr>
            <w:tcW w:w="1560" w:type="dxa"/>
            <w:vAlign w:val="bottom"/>
          </w:tcPr>
          <w:p>
            <w:pPr>
              <w:spacing w:after="0"/>
              <w:rPr>
                <w:sz w:val="24"/>
                <w:szCs w:val="24"/>
                <w:color w:val="auto"/>
              </w:rPr>
            </w:pPr>
          </w:p>
        </w:tc>
        <w:tc>
          <w:tcPr>
            <w:tcW w:w="166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58,466,912</w:t>
            </w:r>
          </w:p>
        </w:tc>
        <w:tc>
          <w:tcPr>
            <w:tcW w:w="16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23,562,544</w:t>
            </w:r>
          </w:p>
        </w:tc>
        <w:tc>
          <w:tcPr>
            <w:tcW w:w="0" w:type="dxa"/>
            <w:vAlign w:val="bottom"/>
          </w:tcPr>
          <w:p>
            <w:pPr>
              <w:spacing w:after="0"/>
              <w:rPr>
                <w:sz w:val="1"/>
                <w:szCs w:val="1"/>
                <w:color w:val="auto"/>
              </w:rPr>
            </w:pPr>
          </w:p>
        </w:tc>
      </w:tr>
      <w:tr>
        <w:trPr>
          <w:trHeight w:val="265"/>
        </w:trPr>
        <w:tc>
          <w:tcPr>
            <w:tcW w:w="6420" w:type="dxa"/>
            <w:vAlign w:val="bottom"/>
          </w:tcPr>
          <w:p>
            <w:pPr>
              <w:ind w:left="1700"/>
              <w:spacing w:after="0"/>
              <w:rPr>
                <w:sz w:val="20"/>
                <w:szCs w:val="20"/>
                <w:color w:val="auto"/>
              </w:rPr>
            </w:pPr>
            <w:r>
              <w:rPr>
                <w:rFonts w:ascii="Courier New" w:cs="Courier New" w:eastAsia="Courier New" w:hAnsi="Courier New"/>
                <w:sz w:val="16"/>
                <w:szCs w:val="16"/>
                <w:color w:val="auto"/>
              </w:rPr>
              <w:t>available for plan benefits</w:t>
            </w:r>
          </w:p>
        </w:tc>
        <w:tc>
          <w:tcPr>
            <w:tcW w:w="1560" w:type="dxa"/>
            <w:vAlign w:val="bottom"/>
          </w:tcPr>
          <w:p>
            <w:pPr>
              <w:spacing w:after="0"/>
              <w:rPr>
                <w:sz w:val="23"/>
                <w:szCs w:val="23"/>
                <w:color w:val="auto"/>
              </w:rPr>
            </w:pPr>
          </w:p>
        </w:tc>
        <w:tc>
          <w:tcPr>
            <w:tcW w:w="1660" w:type="dxa"/>
            <w:vAlign w:val="bottom"/>
            <w:vMerge w:val="continue"/>
          </w:tcPr>
          <w:p>
            <w:pPr>
              <w:spacing w:after="0"/>
              <w:rPr>
                <w:sz w:val="23"/>
                <w:szCs w:val="23"/>
                <w:color w:val="auto"/>
              </w:rPr>
            </w:pPr>
          </w:p>
        </w:tc>
        <w:tc>
          <w:tcPr>
            <w:tcW w:w="16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6420" w:type="dxa"/>
            <w:vAlign w:val="bottom"/>
          </w:tcPr>
          <w:p>
            <w:pPr>
              <w:spacing w:after="0"/>
              <w:rPr>
                <w:sz w:val="20"/>
                <w:szCs w:val="20"/>
                <w:color w:val="auto"/>
              </w:rPr>
            </w:pPr>
            <w:r>
              <w:rPr>
                <w:rFonts w:ascii="Courier New" w:cs="Courier New" w:eastAsia="Courier New" w:hAnsi="Courier New"/>
                <w:sz w:val="16"/>
                <w:szCs w:val="16"/>
                <w:color w:val="auto"/>
              </w:rPr>
              <w:t>Net assets available for plan benefits:</w:t>
            </w:r>
          </w:p>
        </w:tc>
        <w:tc>
          <w:tcPr>
            <w:tcW w:w="1560" w:type="dxa"/>
            <w:vAlign w:val="bottom"/>
          </w:tcPr>
          <w:p>
            <w:pPr>
              <w:spacing w:after="0"/>
              <w:rPr>
                <w:sz w:val="24"/>
                <w:szCs w:val="24"/>
                <w:color w:val="auto"/>
              </w:rPr>
            </w:pPr>
          </w:p>
        </w:tc>
        <w:tc>
          <w:tcPr>
            <w:tcW w:w="166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197,844,351</w:t>
            </w:r>
          </w:p>
        </w:tc>
        <w:tc>
          <w:tcPr>
            <w:tcW w:w="16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174,281,807</w:t>
            </w:r>
          </w:p>
        </w:tc>
        <w:tc>
          <w:tcPr>
            <w:tcW w:w="0" w:type="dxa"/>
            <w:vAlign w:val="bottom"/>
          </w:tcPr>
          <w:p>
            <w:pPr>
              <w:spacing w:after="0"/>
              <w:rPr>
                <w:sz w:val="1"/>
                <w:szCs w:val="1"/>
                <w:color w:val="auto"/>
              </w:rPr>
            </w:pPr>
          </w:p>
        </w:tc>
      </w:tr>
      <w:tr>
        <w:trPr>
          <w:trHeight w:val="182"/>
        </w:trPr>
        <w:tc>
          <w:tcPr>
            <w:tcW w:w="6420" w:type="dxa"/>
            <w:vAlign w:val="bottom"/>
          </w:tcPr>
          <w:p>
            <w:pPr>
              <w:ind w:left="380"/>
              <w:spacing w:after="0"/>
              <w:rPr>
                <w:sz w:val="20"/>
                <w:szCs w:val="20"/>
                <w:color w:val="auto"/>
              </w:rPr>
            </w:pPr>
            <w:r>
              <w:rPr>
                <w:rFonts w:ascii="Courier New" w:cs="Courier New" w:eastAsia="Courier New" w:hAnsi="Courier New"/>
                <w:sz w:val="16"/>
                <w:szCs w:val="16"/>
                <w:color w:val="auto"/>
              </w:rPr>
              <w:t>Beginning of year</w:t>
            </w:r>
          </w:p>
        </w:tc>
        <w:tc>
          <w:tcPr>
            <w:tcW w:w="156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64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6420" w:type="dxa"/>
            <w:vAlign w:val="bottom"/>
          </w:tcPr>
          <w:p>
            <w:pPr>
              <w:ind w:left="380"/>
              <w:spacing w:after="0"/>
              <w:rPr>
                <w:sz w:val="20"/>
                <w:szCs w:val="20"/>
                <w:color w:val="auto"/>
              </w:rPr>
            </w:pPr>
            <w:r>
              <w:rPr>
                <w:rFonts w:ascii="Courier New" w:cs="Courier New" w:eastAsia="Courier New" w:hAnsi="Courier New"/>
                <w:sz w:val="16"/>
                <w:szCs w:val="16"/>
                <w:color w:val="auto"/>
              </w:rPr>
              <w:t>End of year</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256,311,263</w:t>
            </w:r>
          </w:p>
        </w:tc>
        <w:tc>
          <w:tcPr>
            <w:tcW w:w="1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197,844,351</w:t>
            </w:r>
          </w:p>
        </w:tc>
        <w:tc>
          <w:tcPr>
            <w:tcW w:w="0" w:type="dxa"/>
            <w:vAlign w:val="bottom"/>
          </w:tcPr>
          <w:p>
            <w:pPr>
              <w:spacing w:after="0"/>
              <w:rPr>
                <w:sz w:val="1"/>
                <w:szCs w:val="1"/>
                <w:color w:val="auto"/>
              </w:rPr>
            </w:pPr>
          </w:p>
        </w:tc>
      </w:tr>
      <w:tr>
        <w:trPr>
          <w:trHeight w:val="265"/>
        </w:trPr>
        <w:tc>
          <w:tcPr>
            <w:tcW w:w="64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financial statements.</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260"/>
          </w:cols>
          <w:pgMar w:left="240" w:top="635" w:right="399" w:bottom="1440" w:gutter="0" w:footer="0" w:header="0"/>
        </w:sectPr>
      </w:pPr>
    </w:p>
    <w:bookmarkStart w:id="6" w:name="page7"/>
    <w:bookmarkEnd w:id="6"/>
    <w:p>
      <w:pPr>
        <w:ind w:left="3023"/>
        <w:spacing w:after="0"/>
        <w:rPr>
          <w:sz w:val="20"/>
          <w:szCs w:val="20"/>
          <w:color w:val="auto"/>
        </w:rPr>
      </w:pPr>
      <w:r>
        <w:rPr>
          <w:rFonts w:ascii="Courier New" w:cs="Courier New" w:eastAsia="Courier New" w:hAnsi="Courier New"/>
          <w:sz w:val="16"/>
          <w:szCs w:val="16"/>
          <w:color w:val="auto"/>
        </w:rPr>
        <w:t>THE TORO COMPANY</w:t>
      </w:r>
    </w:p>
    <w:p>
      <w:pPr>
        <w:spacing w:after="0" w:line="29" w:lineRule="exact"/>
        <w:rPr>
          <w:sz w:val="20"/>
          <w:szCs w:val="20"/>
          <w:color w:val="auto"/>
        </w:rPr>
      </w:pPr>
    </w:p>
    <w:p>
      <w:pPr>
        <w:ind w:left="2563"/>
        <w:spacing w:after="0"/>
        <w:rPr>
          <w:sz w:val="20"/>
          <w:szCs w:val="20"/>
          <w:color w:val="auto"/>
        </w:rPr>
      </w:pPr>
      <w:r>
        <w:rPr>
          <w:rFonts w:ascii="Courier New" w:cs="Courier New" w:eastAsia="Courier New" w:hAnsi="Courier New"/>
          <w:sz w:val="16"/>
          <w:szCs w:val="16"/>
          <w:color w:val="auto"/>
        </w:rPr>
        <w:t>INVESTMENT AND SAVINGS PLAN</w:t>
      </w:r>
    </w:p>
    <w:p>
      <w:pPr>
        <w:spacing w:after="0" w:line="155"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Notes to Financial Statements</w:t>
      </w:r>
    </w:p>
    <w:p>
      <w:pPr>
        <w:spacing w:after="0" w:line="183" w:lineRule="exact"/>
        <w:rPr>
          <w:sz w:val="20"/>
          <w:szCs w:val="20"/>
          <w:color w:val="auto"/>
        </w:rPr>
      </w:pPr>
    </w:p>
    <w:p>
      <w:pPr>
        <w:ind w:left="2563"/>
        <w:spacing w:after="0"/>
        <w:rPr>
          <w:sz w:val="20"/>
          <w:szCs w:val="20"/>
          <w:color w:val="auto"/>
        </w:rPr>
      </w:pPr>
      <w:r>
        <w:rPr>
          <w:rFonts w:ascii="Courier New" w:cs="Courier New" w:eastAsia="Courier New" w:hAnsi="Courier New"/>
          <w:sz w:val="16"/>
          <w:szCs w:val="16"/>
          <w:color w:val="auto"/>
        </w:rPr>
        <w:t>December 31, 1999 and 1998</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63" w:hanging="463"/>
        <w:spacing w:after="0"/>
        <w:tabs>
          <w:tab w:leader="none" w:pos="46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82" w:lineRule="exact"/>
        <w:rPr>
          <w:rFonts w:ascii="Courier New" w:cs="Courier New" w:eastAsia="Courier New" w:hAnsi="Courier New"/>
          <w:sz w:val="16"/>
          <w:szCs w:val="16"/>
          <w:color w:val="auto"/>
        </w:rPr>
      </w:pPr>
    </w:p>
    <w:p>
      <w:pPr>
        <w:ind w:left="943" w:hanging="470"/>
        <w:spacing w:after="0"/>
        <w:tabs>
          <w:tab w:leader="none" w:pos="943"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FINANCIAL STATEMENT PRESENTATION</w:t>
      </w:r>
    </w:p>
    <w:p>
      <w:pPr>
        <w:spacing w:after="0" w:line="182" w:lineRule="exact"/>
        <w:rPr>
          <w:rFonts w:ascii="Courier New" w:cs="Courier New" w:eastAsia="Courier New" w:hAnsi="Courier New"/>
          <w:sz w:val="16"/>
          <w:szCs w:val="16"/>
          <w:color w:val="auto"/>
        </w:rPr>
      </w:pPr>
    </w:p>
    <w:p>
      <w:pPr>
        <w:ind w:left="943" w:right="2659"/>
        <w:spacing w:after="0" w:line="2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accompanying financial statements of The Toro Company Investment and Savings Plan (the Plan) are presented in accordance with generally accepted accounting principles. The accounting records of the Plan are maintained on an accrual basis.</w:t>
      </w:r>
    </w:p>
    <w:p>
      <w:pPr>
        <w:spacing w:after="0" w:line="72" w:lineRule="exact"/>
        <w:rPr>
          <w:rFonts w:ascii="Courier New" w:cs="Courier New" w:eastAsia="Courier New" w:hAnsi="Courier New"/>
          <w:sz w:val="16"/>
          <w:szCs w:val="16"/>
          <w:color w:val="auto"/>
        </w:rPr>
      </w:pPr>
    </w:p>
    <w:p>
      <w:pPr>
        <w:ind w:left="943" w:hanging="470"/>
        <w:spacing w:after="0"/>
        <w:tabs>
          <w:tab w:leader="none" w:pos="943"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182" w:lineRule="exact"/>
        <w:rPr>
          <w:rFonts w:ascii="Courier New" w:cs="Courier New" w:eastAsia="Courier New" w:hAnsi="Courier New"/>
          <w:sz w:val="16"/>
          <w:szCs w:val="16"/>
          <w:color w:val="auto"/>
        </w:rPr>
      </w:pPr>
    </w:p>
    <w:p>
      <w:pPr>
        <w:ind w:left="943" w:right="26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Plan's investments are held by Putnam Fiduciary Trust Company (the Trustee). The investment securities are stated at fair values based upon published quotations or, in the absence of available quotations, at fair values determined by the Trustee. Purchases and sales of securities are recorded on a trade-date basis.</w:t>
      </w:r>
    </w:p>
    <w:p>
      <w:pPr>
        <w:spacing w:after="0" w:line="79" w:lineRule="exact"/>
        <w:rPr>
          <w:rFonts w:ascii="Courier New" w:cs="Courier New" w:eastAsia="Courier New" w:hAnsi="Courier New"/>
          <w:sz w:val="16"/>
          <w:szCs w:val="16"/>
          <w:color w:val="auto"/>
        </w:rPr>
      </w:pPr>
    </w:p>
    <w:p>
      <w:pPr>
        <w:ind w:left="943" w:right="265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Currently, The Toro Company (the Company) maintains one master trust, the Toro Stable Value Fund (master trust) for three profit sharing and retirement plans that are sponsored by the Company. The three plans are The Toro Company Profit Sharing Plan for Plymouth Union Employees, The Toro Company Investment and Savings Plan, and The Toro Company Employee Stock Ownership Plan. The purpose of the master trust is to pool investment transactions and achieve uniform rates of return on comparable funds under all plans.</w:t>
      </w:r>
    </w:p>
    <w:p>
      <w:pPr>
        <w:spacing w:after="0" w:line="90" w:lineRule="exact"/>
        <w:rPr>
          <w:rFonts w:ascii="Courier New" w:cs="Courier New" w:eastAsia="Courier New" w:hAnsi="Courier New"/>
          <w:sz w:val="16"/>
          <w:szCs w:val="16"/>
          <w:color w:val="auto"/>
        </w:rPr>
      </w:pPr>
    </w:p>
    <w:p>
      <w:pPr>
        <w:ind w:left="943" w:right="2759"/>
        <w:spacing w:after="0" w:line="2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Plan's share of net investment income from the master trust is determined by the Trustee based on the ratio of the fair value of the Plan's equity in the investment fund to the total net assets of the investment fund at the beginning of the plan year.</w:t>
      </w:r>
    </w:p>
    <w:p>
      <w:pPr>
        <w:spacing w:after="0" w:line="72" w:lineRule="exact"/>
        <w:rPr>
          <w:rFonts w:ascii="Courier New" w:cs="Courier New" w:eastAsia="Courier New" w:hAnsi="Courier New"/>
          <w:sz w:val="16"/>
          <w:szCs w:val="16"/>
          <w:color w:val="auto"/>
        </w:rPr>
      </w:pPr>
    </w:p>
    <w:p>
      <w:pPr>
        <w:ind w:left="943" w:right="2659"/>
        <w:spacing w:after="0" w:line="25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short term securities of the Toro Stable Value Fund are stated at cost, which approximates fair value. The Toro Stable Value Fund includes various fully benefit responsive investment contracts. These contracts are valued in the Plan at contract value, which includes cost plus accrued interest. These contracts have stated interest rates ranging from 5.41% to 7.41%. These investments have maturities ranging from the year 2000 to the year 2003.</w:t>
      </w:r>
    </w:p>
    <w:p>
      <w:pPr>
        <w:spacing w:after="0" w:line="85" w:lineRule="exact"/>
        <w:rPr>
          <w:rFonts w:ascii="Courier New" w:cs="Courier New" w:eastAsia="Courier New" w:hAnsi="Courier New"/>
          <w:sz w:val="16"/>
          <w:szCs w:val="16"/>
          <w:color w:val="auto"/>
        </w:rPr>
      </w:pPr>
    </w:p>
    <w:p>
      <w:pPr>
        <w:ind w:left="943" w:hanging="470"/>
        <w:spacing w:after="0"/>
        <w:tabs>
          <w:tab w:leader="none" w:pos="943"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ESTIMATES</w:t>
      </w:r>
    </w:p>
    <w:p>
      <w:pPr>
        <w:spacing w:after="0" w:line="182" w:lineRule="exact"/>
        <w:rPr>
          <w:rFonts w:ascii="Courier New" w:cs="Courier New" w:eastAsia="Courier New" w:hAnsi="Courier New"/>
          <w:sz w:val="16"/>
          <w:szCs w:val="16"/>
          <w:color w:val="auto"/>
        </w:rPr>
      </w:pPr>
    </w:p>
    <w:p>
      <w:pPr>
        <w:ind w:left="943" w:right="2659"/>
        <w:spacing w:after="0" w:line="25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of financial statements in conformity with generally accepted accounting principles requires the plan administrator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68"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2"/>
          </w:cols>
          <w:pgMar w:left="237" w:top="635" w:right="1440" w:bottom="1440" w:gutter="0" w:footer="0" w:header="0"/>
        </w:sectPr>
      </w:pPr>
    </w:p>
    <w:bookmarkStart w:id="7" w:name="page8"/>
    <w:bookmarkEnd w:id="7"/>
    <w:p>
      <w:pPr>
        <w:ind w:left="843" w:hanging="843"/>
        <w:spacing w:after="0"/>
        <w:tabs>
          <w:tab w:leader="none" w:pos="8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PLAN</w:t>
      </w:r>
    </w:p>
    <w:p>
      <w:pPr>
        <w:spacing w:after="0" w:line="182" w:lineRule="exact"/>
        <w:rPr>
          <w:rFonts w:ascii="Courier New" w:cs="Courier New" w:eastAsia="Courier New" w:hAnsi="Courier New"/>
          <w:sz w:val="16"/>
          <w:szCs w:val="16"/>
          <w:color w:val="auto"/>
        </w:rPr>
      </w:pPr>
    </w:p>
    <w:p>
      <w:pPr>
        <w:ind w:left="843" w:right="26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is a defined contribution profit sharing plan sponsored by the Company. The Company, as administrator of the Plan, absorbs all administrative costs and Trustee fees of the Plan, with the exception of investment management fees, which are netted against investment income.</w:t>
      </w:r>
    </w:p>
    <w:p>
      <w:pPr>
        <w:spacing w:after="0" w:line="79" w:lineRule="exact"/>
        <w:rPr>
          <w:rFonts w:ascii="Courier New" w:cs="Courier New" w:eastAsia="Courier New" w:hAnsi="Courier New"/>
          <w:sz w:val="16"/>
          <w:szCs w:val="16"/>
          <w:color w:val="auto"/>
        </w:rPr>
      </w:pPr>
    </w:p>
    <w:p>
      <w:pPr>
        <w:ind w:left="843" w:right="2759"/>
        <w:spacing w:after="0" w:line="29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general description of the Plan is contained in the Plan document amended as of December 21, 1998. Participants should refer to the Plan document for more complete information.</w:t>
      </w:r>
    </w:p>
    <w:p>
      <w:pPr>
        <w:spacing w:after="0" w:line="56" w:lineRule="exact"/>
        <w:rPr>
          <w:rFonts w:ascii="Courier New" w:cs="Courier New" w:eastAsia="Courier New" w:hAnsi="Courier New"/>
          <w:sz w:val="16"/>
          <w:szCs w:val="16"/>
          <w:color w:val="auto"/>
        </w:rPr>
      </w:pPr>
    </w:p>
    <w:p>
      <w:pPr>
        <w:ind w:left="843" w:right="3039"/>
        <w:spacing w:after="0" w:line="29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Contributions are made under control of the plan administrator. The allocation of the participants' and Company contributions to the investment funds is selected by the participants.</w:t>
      </w:r>
    </w:p>
    <w:p>
      <w:pPr>
        <w:spacing w:after="0" w:line="56" w:lineRule="exact"/>
        <w:rPr>
          <w:rFonts w:ascii="Courier New" w:cs="Courier New" w:eastAsia="Courier New" w:hAnsi="Courier New"/>
          <w:sz w:val="16"/>
          <w:szCs w:val="16"/>
          <w:color w:val="auto"/>
        </w:rPr>
      </w:pPr>
    </w:p>
    <w:p>
      <w:pPr>
        <w:ind w:left="843" w:right="2759"/>
        <w:spacing w:after="0" w:line="29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Benefit payments and transfers of participants' interests are made under control of the Trustee. Company matching contributions, together with income attributable thereto, vest at the rate of 20% after one year of vesting service, with an additional 20% being accumulated annually thereafter until the participant is 100% vested.</w:t>
      </w:r>
    </w:p>
    <w:p>
      <w:pPr>
        <w:spacing w:after="0" w:line="64" w:lineRule="exact"/>
        <w:rPr>
          <w:rFonts w:ascii="Courier New" w:cs="Courier New" w:eastAsia="Courier New" w:hAnsi="Courier New"/>
          <w:sz w:val="16"/>
          <w:szCs w:val="16"/>
          <w:color w:val="auto"/>
        </w:rPr>
      </w:pPr>
    </w:p>
    <w:p>
      <w:pPr>
        <w:ind w:left="843" w:hanging="843"/>
        <w:spacing w:after="0"/>
        <w:tabs>
          <w:tab w:leader="none" w:pos="8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CONTRIBUTIONS AND PLAN TRANSFERS</w:t>
      </w:r>
    </w:p>
    <w:p>
      <w:pPr>
        <w:spacing w:after="0" w:line="182" w:lineRule="exact"/>
        <w:rPr>
          <w:rFonts w:ascii="Courier New" w:cs="Courier New" w:eastAsia="Courier New" w:hAnsi="Courier New"/>
          <w:sz w:val="16"/>
          <w:szCs w:val="16"/>
          <w:color w:val="auto"/>
        </w:rPr>
      </w:pPr>
    </w:p>
    <w:p>
      <w:pPr>
        <w:ind w:left="843" w:right="265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funding policy is to make annual contributions to the Plan in amounts determined by a formula set forth in the Plan. The contribution formula is based on 5.5% of the participants' total compensation earned during the plan year plus 5.5% of the participants' compensation above the Social Security taxable wage base as of the beginning of the plan year. In addition, the Company is required to make a matching contribution equal to 50% of the participants' contributions to the Plan not to exceed two percent of the participant's total compensation. The contribution formula specifies a minimum annual contribution to the Plan. The Company contribution is allocated to participants based on compensation earned during the plan year. Investment income is allocated based on participants' account balances.</w:t>
      </w:r>
    </w:p>
    <w:p>
      <w:pPr>
        <w:spacing w:after="0" w:line="91" w:lineRule="exact"/>
        <w:rPr>
          <w:rFonts w:ascii="Courier New" w:cs="Courier New" w:eastAsia="Courier New" w:hAnsi="Courier New"/>
          <w:sz w:val="16"/>
          <w:szCs w:val="16"/>
          <w:color w:val="auto"/>
        </w:rPr>
      </w:pPr>
    </w:p>
    <w:p>
      <w:pPr>
        <w:ind w:left="843" w:right="2759"/>
        <w:spacing w:after="0" w:line="38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employee contributions consist of salary reduction elections under a 401(k) feature and rollover funds from other qualified plans.</w:t>
      </w:r>
    </w:p>
    <w:p>
      <w:pPr>
        <w:ind w:left="843" w:right="2839"/>
        <w:spacing w:after="0" w:line="3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Transfers to/from other plans represent participant elected transfers to/from other Company plans.</w:t>
      </w:r>
    </w:p>
    <w:p>
      <w:pPr>
        <w:spacing w:after="0" w:line="13" w:lineRule="exact"/>
        <w:rPr>
          <w:rFonts w:ascii="Courier New" w:cs="Courier New" w:eastAsia="Courier New" w:hAnsi="Courier New"/>
          <w:sz w:val="16"/>
          <w:szCs w:val="16"/>
          <w:color w:val="auto"/>
        </w:rPr>
      </w:pPr>
    </w:p>
    <w:p>
      <w:pPr>
        <w:ind w:left="843" w:hanging="843"/>
        <w:spacing w:after="0"/>
        <w:tabs>
          <w:tab w:leader="none" w:pos="8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PARTY-IN-INTEREST TRANSACTIONS</w:t>
      </w:r>
    </w:p>
    <w:p>
      <w:pPr>
        <w:spacing w:after="0" w:line="182" w:lineRule="exact"/>
        <w:rPr>
          <w:rFonts w:ascii="Courier New" w:cs="Courier New" w:eastAsia="Courier New" w:hAnsi="Courier New"/>
          <w:sz w:val="16"/>
          <w:szCs w:val="16"/>
          <w:color w:val="auto"/>
        </w:rPr>
      </w:pPr>
    </w:p>
    <w:p>
      <w:pPr>
        <w:ind w:left="843" w:right="2659"/>
        <w:spacing w:after="0" w:line="26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Putnam Fiduciary Trust Company and The Toro Company are parties-in-interest with respect to the Plan. In the opinion of the Plan's legal counsel, transactions between the Plan and the Trustee and the Company are exempt from being considered as `prohibited transactions' under the Employee Retirement Income Security Act of 1974 (ERISA) Section 408(b).</w:t>
      </w:r>
    </w:p>
    <w:p>
      <w:pPr>
        <w:spacing w:after="0" w:line="81" w:lineRule="exact"/>
        <w:rPr>
          <w:rFonts w:ascii="Courier New" w:cs="Courier New" w:eastAsia="Courier New" w:hAnsi="Courier New"/>
          <w:sz w:val="16"/>
          <w:szCs w:val="16"/>
          <w:color w:val="auto"/>
        </w:rPr>
      </w:pPr>
    </w:p>
    <w:p>
      <w:pPr>
        <w:ind w:left="843" w:hanging="843"/>
        <w:spacing w:after="0"/>
        <w:tabs>
          <w:tab w:leader="none" w:pos="8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TERMINATION</w:t>
      </w:r>
    </w:p>
    <w:p>
      <w:pPr>
        <w:spacing w:after="0" w:line="182" w:lineRule="exact"/>
        <w:rPr>
          <w:rFonts w:ascii="Courier New" w:cs="Courier New" w:eastAsia="Courier New" w:hAnsi="Courier New"/>
          <w:sz w:val="16"/>
          <w:szCs w:val="16"/>
          <w:color w:val="auto"/>
        </w:rPr>
      </w:pPr>
    </w:p>
    <w:p>
      <w:pPr>
        <w:ind w:left="843" w:right="28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voluntarily agreed to make contributions to the Plan. Although the Company has not expressed any intent to terminate the profit sharing plan agreement, it may do so at any time. Upon termination of the Plan, the interest of the participants in the Plan shall fully vest.</w:t>
      </w:r>
    </w:p>
    <w:p>
      <w:pPr>
        <w:spacing w:after="0" w:line="261"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2"/>
          </w:cols>
          <w:pgMar w:left="237" w:top="635" w:right="1440" w:bottom="1440" w:gutter="0" w:footer="0" w:header="0"/>
        </w:sectPr>
      </w:pPr>
    </w:p>
    <w:bookmarkStart w:id="8" w:name="page9"/>
    <w:bookmarkEnd w:id="8"/>
    <w:p>
      <w:pPr>
        <w:ind w:left="843" w:hanging="843"/>
        <w:spacing w:after="0"/>
        <w:tabs>
          <w:tab w:leader="none" w:pos="84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182" w:lineRule="exact"/>
        <w:rPr>
          <w:rFonts w:ascii="Courier New" w:cs="Courier New" w:eastAsia="Courier New" w:hAnsi="Courier New"/>
          <w:sz w:val="16"/>
          <w:szCs w:val="16"/>
          <w:color w:val="auto"/>
        </w:rPr>
      </w:pPr>
    </w:p>
    <w:p>
      <w:pPr>
        <w:ind w:left="843" w:right="2659"/>
        <w:spacing w:after="0" w:line="26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terms of the trust agreement, the Trustee manages investment funds on behalf of the Plan. The Trustee has been granted discretionary authority concerning the purchases and sales of the investments of the investment funds. In accordance with the trust agreement, certain assets of the Plan are held together with assets of other plans sponsored by the Company in the master trust.</w:t>
      </w:r>
    </w:p>
    <w:p>
      <w:pPr>
        <w:spacing w:after="0" w:line="81" w:lineRule="exact"/>
        <w:rPr>
          <w:rFonts w:ascii="Courier New" w:cs="Courier New" w:eastAsia="Courier New" w:hAnsi="Courier New"/>
          <w:sz w:val="16"/>
          <w:szCs w:val="16"/>
          <w:color w:val="auto"/>
        </w:rPr>
      </w:pPr>
    </w:p>
    <w:p>
      <w:pPr>
        <w:ind w:left="843" w:right="2659"/>
        <w:spacing w:after="0" w:line="26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On August 12, 1994, guaranteed investment contracts in the Toro Stable Value Fund of $2,132,761 issued by Confederation Life Insurance Company (CL) were placed under court supervised rehabilitation. Beginning August 1, 1995, payments from the CL annuity contracts were suspended pending further court action until such time as the fair value of the CL annuity contracts could be determined. The actions suspending distributions were consistent with procedures published by the Internal Revenue Service. Effective August 1, 1995, a loan agreement was established between the Company and the Plan providing the Company to fund payments to plan participants (or their beneficiaries) for 100% of the interests of plan participants in the CL annuity contracts based on the valuation of the CL annuity contracts as of August 11, 1994.</w:t>
      </w:r>
    </w:p>
    <w:p>
      <w:pPr>
        <w:spacing w:after="0" w:line="79" w:lineRule="exact"/>
        <w:rPr>
          <w:rFonts w:ascii="Courier New" w:cs="Courier New" w:eastAsia="Courier New" w:hAnsi="Courier New"/>
          <w:sz w:val="16"/>
          <w:szCs w:val="16"/>
          <w:color w:val="auto"/>
        </w:rPr>
      </w:pPr>
    </w:p>
    <w:p>
      <w:pPr>
        <w:ind w:left="843" w:right="26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1997, the Toro Stable Value Fund received payments of $2,147,799 related to the CL annuity contracts. The amount in excess of the $2,132,761 ($15,038) was recorded as investment income in 1997. Any further payments received upon final liquidation of these contracts will be recorded as investment income upon receipt.</w:t>
      </w:r>
    </w:p>
    <w:p>
      <w:pPr>
        <w:spacing w:after="0" w:line="79" w:lineRule="exact"/>
        <w:rPr>
          <w:rFonts w:ascii="Courier New" w:cs="Courier New" w:eastAsia="Courier New" w:hAnsi="Courier New"/>
          <w:sz w:val="16"/>
          <w:szCs w:val="16"/>
          <w:color w:val="auto"/>
        </w:rPr>
      </w:pPr>
    </w:p>
    <w:p>
      <w:pPr>
        <w:ind w:left="843" w:right="2839"/>
        <w:spacing w:after="0" w:line="3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net assets available for benefits of the master trust at December 31, 1999 were as follows:</w:t>
      </w:r>
    </w:p>
    <w:p>
      <w:pPr>
        <w:spacing w:after="0" w:line="200" w:lineRule="exact"/>
        <w:rPr>
          <w:sz w:val="20"/>
          <w:szCs w:val="20"/>
          <w:color w:val="auto"/>
        </w:rPr>
      </w:pPr>
    </w:p>
    <w:p>
      <w:pPr>
        <w:spacing w:after="0" w:line="360"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5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TORO STABLE</w:t>
            </w:r>
          </w:p>
        </w:tc>
        <w:tc>
          <w:tcPr>
            <w:tcW w:w="0" w:type="dxa"/>
            <w:vAlign w:val="bottom"/>
          </w:tcPr>
          <w:p>
            <w:pPr>
              <w:spacing w:after="0"/>
              <w:rPr>
                <w:sz w:val="1"/>
                <w:szCs w:val="1"/>
                <w:color w:val="auto"/>
              </w:rPr>
            </w:pPr>
          </w:p>
        </w:tc>
      </w:tr>
      <w:tr>
        <w:trPr>
          <w:trHeight w:val="182"/>
        </w:trPr>
        <w:tc>
          <w:tcPr>
            <w:tcW w:w="5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VALUE FUND</w:t>
            </w:r>
          </w:p>
        </w:tc>
        <w:tc>
          <w:tcPr>
            <w:tcW w:w="0" w:type="dxa"/>
            <w:vAlign w:val="bottom"/>
          </w:tcPr>
          <w:p>
            <w:pPr>
              <w:spacing w:after="0"/>
              <w:rPr>
                <w:sz w:val="1"/>
                <w:szCs w:val="1"/>
                <w:color w:val="auto"/>
              </w:rPr>
            </w:pPr>
          </w:p>
        </w:tc>
      </w:tr>
      <w:tr>
        <w:trPr>
          <w:trHeight w:val="265"/>
        </w:trPr>
        <w:tc>
          <w:tcPr>
            <w:tcW w:w="5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80"/>
        </w:trPr>
        <w:tc>
          <w:tcPr>
            <w:tcW w:w="510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6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34,690,962</w:t>
            </w:r>
          </w:p>
        </w:tc>
        <w:tc>
          <w:tcPr>
            <w:tcW w:w="0" w:type="dxa"/>
            <w:vAlign w:val="bottom"/>
          </w:tcPr>
          <w:p>
            <w:pPr>
              <w:spacing w:after="0"/>
              <w:rPr>
                <w:sz w:val="1"/>
                <w:szCs w:val="1"/>
                <w:color w:val="auto"/>
              </w:rPr>
            </w:pPr>
          </w:p>
        </w:tc>
      </w:tr>
      <w:tr>
        <w:trPr>
          <w:trHeight w:val="182"/>
        </w:trPr>
        <w:tc>
          <w:tcPr>
            <w:tcW w:w="5100" w:type="dxa"/>
            <w:vAlign w:val="bottom"/>
          </w:tcPr>
          <w:p>
            <w:pPr>
              <w:ind w:left="380"/>
              <w:spacing w:after="0"/>
              <w:rPr>
                <w:sz w:val="20"/>
                <w:szCs w:val="20"/>
                <w:color w:val="auto"/>
              </w:rPr>
            </w:pPr>
            <w:r>
              <w:rPr>
                <w:rFonts w:ascii="Courier New" w:cs="Courier New" w:eastAsia="Courier New" w:hAnsi="Courier New"/>
                <w:sz w:val="16"/>
                <w:szCs w:val="16"/>
                <w:color w:val="auto"/>
              </w:rPr>
              <w:t>Short-term investment funds</w:t>
            </w:r>
          </w:p>
        </w:tc>
        <w:tc>
          <w:tcPr>
            <w:tcW w:w="62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100" w:type="dxa"/>
            <w:vAlign w:val="bottom"/>
          </w:tcPr>
          <w:p>
            <w:pPr>
              <w:ind w:left="380"/>
              <w:spacing w:after="0"/>
              <w:rPr>
                <w:sz w:val="20"/>
                <w:szCs w:val="20"/>
                <w:color w:val="auto"/>
              </w:rPr>
            </w:pPr>
            <w:r>
              <w:rPr>
                <w:rFonts w:ascii="Courier New" w:cs="Courier New" w:eastAsia="Courier New" w:hAnsi="Courier New"/>
                <w:sz w:val="16"/>
                <w:szCs w:val="16"/>
                <w:color w:val="auto"/>
              </w:rPr>
              <w:t>Guaranteed investment contracts</w:t>
            </w:r>
          </w:p>
        </w:tc>
        <w:tc>
          <w:tcPr>
            <w:tcW w:w="620" w:type="dxa"/>
            <w:vAlign w:val="bottom"/>
          </w:tcPr>
          <w:p>
            <w:pPr>
              <w:spacing w:after="0"/>
              <w:rPr>
                <w:sz w:val="15"/>
                <w:szCs w:val="15"/>
                <w:color w:val="auto"/>
              </w:rPr>
            </w:pP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10,031,869</w:t>
            </w:r>
          </w:p>
        </w:tc>
        <w:tc>
          <w:tcPr>
            <w:tcW w:w="0" w:type="dxa"/>
            <w:vAlign w:val="bottom"/>
          </w:tcPr>
          <w:p>
            <w:pPr>
              <w:spacing w:after="0"/>
              <w:rPr>
                <w:sz w:val="1"/>
                <w:szCs w:val="1"/>
                <w:color w:val="auto"/>
              </w:rPr>
            </w:pPr>
          </w:p>
        </w:tc>
      </w:tr>
      <w:tr>
        <w:trPr>
          <w:trHeight w:val="265"/>
        </w:trPr>
        <w:tc>
          <w:tcPr>
            <w:tcW w:w="5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80"/>
        </w:trPr>
        <w:tc>
          <w:tcPr>
            <w:tcW w:w="5100" w:type="dxa"/>
            <w:vAlign w:val="bottom"/>
          </w:tcPr>
          <w:p>
            <w:pPr>
              <w:ind w:left="1320"/>
              <w:spacing w:after="0"/>
              <w:rPr>
                <w:sz w:val="20"/>
                <w:szCs w:val="20"/>
                <w:color w:val="auto"/>
              </w:rPr>
            </w:pPr>
            <w:r>
              <w:rPr>
                <w:rFonts w:ascii="Courier New" w:cs="Courier New" w:eastAsia="Courier New" w:hAnsi="Courier New"/>
                <w:sz w:val="16"/>
                <w:szCs w:val="16"/>
                <w:color w:val="auto"/>
              </w:rPr>
              <w:t>Total assets available for benefits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44,722,831</w:t>
            </w:r>
          </w:p>
        </w:tc>
        <w:tc>
          <w:tcPr>
            <w:tcW w:w="0" w:type="dxa"/>
            <w:vAlign w:val="bottom"/>
          </w:tcPr>
          <w:p>
            <w:pPr>
              <w:spacing w:after="0"/>
              <w:rPr>
                <w:sz w:val="1"/>
                <w:szCs w:val="1"/>
                <w:color w:val="auto"/>
              </w:rPr>
            </w:pPr>
          </w:p>
        </w:tc>
      </w:tr>
      <w:tr>
        <w:trPr>
          <w:trHeight w:val="265"/>
        </w:trPr>
        <w:tc>
          <w:tcPr>
            <w:tcW w:w="5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ind w:left="3" w:right="2939" w:firstLine="757"/>
        <w:spacing w:after="0" w:line="352" w:lineRule="auto"/>
        <w:rPr>
          <w:sz w:val="20"/>
          <w:szCs w:val="20"/>
          <w:color w:val="auto"/>
        </w:rPr>
      </w:pPr>
      <w:r>
        <w:rPr>
          <w:rFonts w:ascii="Courier New" w:cs="Courier New" w:eastAsia="Courier New" w:hAnsi="Courier New"/>
          <w:sz w:val="16"/>
          <w:szCs w:val="16"/>
          <w:color w:val="auto"/>
        </w:rPr>
        <w:t>The net assets available for benefits of the master trust at December 31, 1998 were as follows:</w:t>
      </w:r>
    </w:p>
    <w:p>
      <w:pPr>
        <w:spacing w:after="0" w:line="200" w:lineRule="exact"/>
        <w:rPr>
          <w:sz w:val="20"/>
          <w:szCs w:val="20"/>
          <w:color w:val="auto"/>
        </w:rPr>
      </w:pPr>
    </w:p>
    <w:p>
      <w:pPr>
        <w:spacing w:after="0" w:line="360"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5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TORO STABLE</w:t>
            </w:r>
          </w:p>
        </w:tc>
        <w:tc>
          <w:tcPr>
            <w:tcW w:w="0" w:type="dxa"/>
            <w:vAlign w:val="bottom"/>
          </w:tcPr>
          <w:p>
            <w:pPr>
              <w:spacing w:after="0"/>
              <w:rPr>
                <w:sz w:val="1"/>
                <w:szCs w:val="1"/>
                <w:color w:val="auto"/>
              </w:rPr>
            </w:pPr>
          </w:p>
        </w:tc>
      </w:tr>
      <w:tr>
        <w:trPr>
          <w:trHeight w:val="182"/>
        </w:trPr>
        <w:tc>
          <w:tcPr>
            <w:tcW w:w="5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VALUE FUND</w:t>
            </w:r>
          </w:p>
        </w:tc>
        <w:tc>
          <w:tcPr>
            <w:tcW w:w="0" w:type="dxa"/>
            <w:vAlign w:val="bottom"/>
          </w:tcPr>
          <w:p>
            <w:pPr>
              <w:spacing w:after="0"/>
              <w:rPr>
                <w:sz w:val="1"/>
                <w:szCs w:val="1"/>
                <w:color w:val="auto"/>
              </w:rPr>
            </w:pPr>
          </w:p>
        </w:tc>
      </w:tr>
      <w:tr>
        <w:trPr>
          <w:trHeight w:val="265"/>
        </w:trPr>
        <w:tc>
          <w:tcPr>
            <w:tcW w:w="5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80"/>
        </w:trPr>
        <w:tc>
          <w:tcPr>
            <w:tcW w:w="510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6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22,284,879</w:t>
            </w:r>
          </w:p>
        </w:tc>
        <w:tc>
          <w:tcPr>
            <w:tcW w:w="0" w:type="dxa"/>
            <w:vAlign w:val="bottom"/>
          </w:tcPr>
          <w:p>
            <w:pPr>
              <w:spacing w:after="0"/>
              <w:rPr>
                <w:sz w:val="1"/>
                <w:szCs w:val="1"/>
                <w:color w:val="auto"/>
              </w:rPr>
            </w:pPr>
          </w:p>
        </w:tc>
      </w:tr>
      <w:tr>
        <w:trPr>
          <w:trHeight w:val="182"/>
        </w:trPr>
        <w:tc>
          <w:tcPr>
            <w:tcW w:w="5100" w:type="dxa"/>
            <w:vAlign w:val="bottom"/>
          </w:tcPr>
          <w:p>
            <w:pPr>
              <w:ind w:left="380"/>
              <w:spacing w:after="0"/>
              <w:rPr>
                <w:sz w:val="20"/>
                <w:szCs w:val="20"/>
                <w:color w:val="auto"/>
              </w:rPr>
            </w:pPr>
            <w:r>
              <w:rPr>
                <w:rFonts w:ascii="Courier New" w:cs="Courier New" w:eastAsia="Courier New" w:hAnsi="Courier New"/>
                <w:sz w:val="16"/>
                <w:szCs w:val="16"/>
                <w:color w:val="auto"/>
              </w:rPr>
              <w:t>Short-term investment funds</w:t>
            </w:r>
          </w:p>
        </w:tc>
        <w:tc>
          <w:tcPr>
            <w:tcW w:w="62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100" w:type="dxa"/>
            <w:vAlign w:val="bottom"/>
          </w:tcPr>
          <w:p>
            <w:pPr>
              <w:ind w:left="380"/>
              <w:spacing w:after="0"/>
              <w:rPr>
                <w:sz w:val="20"/>
                <w:szCs w:val="20"/>
                <w:color w:val="auto"/>
              </w:rPr>
            </w:pPr>
            <w:r>
              <w:rPr>
                <w:rFonts w:ascii="Courier New" w:cs="Courier New" w:eastAsia="Courier New" w:hAnsi="Courier New"/>
                <w:sz w:val="16"/>
                <w:szCs w:val="16"/>
                <w:color w:val="auto"/>
              </w:rPr>
              <w:t>Guaranteed investment contracts</w:t>
            </w:r>
          </w:p>
        </w:tc>
        <w:tc>
          <w:tcPr>
            <w:tcW w:w="620" w:type="dxa"/>
            <w:vAlign w:val="bottom"/>
          </w:tcPr>
          <w:p>
            <w:pPr>
              <w:spacing w:after="0"/>
              <w:rPr>
                <w:sz w:val="15"/>
                <w:szCs w:val="15"/>
                <w:color w:val="auto"/>
              </w:rPr>
            </w:pP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17,451,245</w:t>
            </w:r>
          </w:p>
        </w:tc>
        <w:tc>
          <w:tcPr>
            <w:tcW w:w="0" w:type="dxa"/>
            <w:vAlign w:val="bottom"/>
          </w:tcPr>
          <w:p>
            <w:pPr>
              <w:spacing w:after="0"/>
              <w:rPr>
                <w:sz w:val="1"/>
                <w:szCs w:val="1"/>
                <w:color w:val="auto"/>
              </w:rPr>
            </w:pPr>
          </w:p>
        </w:tc>
      </w:tr>
      <w:tr>
        <w:trPr>
          <w:trHeight w:val="265"/>
        </w:trPr>
        <w:tc>
          <w:tcPr>
            <w:tcW w:w="5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80"/>
        </w:trPr>
        <w:tc>
          <w:tcPr>
            <w:tcW w:w="5100" w:type="dxa"/>
            <w:vAlign w:val="bottom"/>
          </w:tcPr>
          <w:p>
            <w:pPr>
              <w:ind w:left="1320"/>
              <w:spacing w:after="0"/>
              <w:rPr>
                <w:sz w:val="20"/>
                <w:szCs w:val="20"/>
                <w:color w:val="auto"/>
              </w:rPr>
            </w:pPr>
            <w:r>
              <w:rPr>
                <w:rFonts w:ascii="Courier New" w:cs="Courier New" w:eastAsia="Courier New" w:hAnsi="Courier New"/>
                <w:sz w:val="16"/>
                <w:szCs w:val="16"/>
                <w:color w:val="auto"/>
              </w:rPr>
              <w:t>Total assets available for benefits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39,736,124</w:t>
            </w:r>
          </w:p>
        </w:tc>
        <w:tc>
          <w:tcPr>
            <w:tcW w:w="0" w:type="dxa"/>
            <w:vAlign w:val="bottom"/>
          </w:tcPr>
          <w:p>
            <w:pPr>
              <w:spacing w:after="0"/>
              <w:rPr>
                <w:sz w:val="1"/>
                <w:szCs w:val="1"/>
                <w:color w:val="auto"/>
              </w:rPr>
            </w:pPr>
          </w:p>
        </w:tc>
      </w:tr>
      <w:tr>
        <w:trPr>
          <w:trHeight w:val="265"/>
        </w:trPr>
        <w:tc>
          <w:tcPr>
            <w:tcW w:w="5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728"/>
        </w:trPr>
        <w:tc>
          <w:tcPr>
            <w:tcW w:w="5100" w:type="dxa"/>
            <w:vAlign w:val="bottom"/>
          </w:tcPr>
          <w:p>
            <w:pPr>
              <w:ind w:left="3680"/>
              <w:spacing w:after="0"/>
              <w:rPr>
                <w:sz w:val="20"/>
                <w:szCs w:val="20"/>
                <w:color w:val="auto"/>
              </w:rPr>
            </w:pPr>
            <w:r>
              <w:rPr>
                <w:rFonts w:ascii="Courier New" w:cs="Courier New" w:eastAsia="Courier New" w:hAnsi="Courier New"/>
                <w:sz w:val="16"/>
                <w:szCs w:val="16"/>
                <w:color w:val="auto"/>
              </w:rPr>
              <w:t>6</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2"/>
          </w:cols>
          <w:pgMar w:left="237" w:top="635" w:right="1440" w:bottom="1440" w:gutter="0" w:footer="0" w:header="0"/>
        </w:sectPr>
      </w:pPr>
    </w:p>
    <w:bookmarkStart w:id="9" w:name="page10"/>
    <w:bookmarkEnd w:id="9"/>
    <w:p>
      <w:pPr>
        <w:ind w:left="760" w:right="2659"/>
        <w:spacing w:after="0" w:line="352" w:lineRule="auto"/>
        <w:rPr>
          <w:sz w:val="20"/>
          <w:szCs w:val="20"/>
          <w:color w:val="auto"/>
        </w:rPr>
      </w:pPr>
      <w:r>
        <w:rPr>
          <w:rFonts w:ascii="Courier New" w:cs="Courier New" w:eastAsia="Courier New" w:hAnsi="Courier New"/>
          <w:sz w:val="16"/>
          <w:szCs w:val="16"/>
          <w:color w:val="auto"/>
        </w:rPr>
        <w:t>The changes in net assets available for benefits of the master trust for the year ended December 31, 1999 were as follows:</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TORO STABLE</w:t>
            </w:r>
          </w:p>
        </w:tc>
        <w:tc>
          <w:tcPr>
            <w:tcW w:w="0" w:type="dxa"/>
            <w:vAlign w:val="bottom"/>
          </w:tcPr>
          <w:p>
            <w:pPr>
              <w:spacing w:after="0"/>
              <w:rPr>
                <w:sz w:val="1"/>
                <w:szCs w:val="1"/>
                <w:color w:val="auto"/>
              </w:rPr>
            </w:pPr>
          </w:p>
        </w:tc>
      </w:tr>
      <w:tr>
        <w:trPr>
          <w:trHeight w:val="182"/>
        </w:trPr>
        <w:tc>
          <w:tcPr>
            <w:tcW w:w="4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VALUE FUND</w:t>
            </w:r>
          </w:p>
        </w:tc>
        <w:tc>
          <w:tcPr>
            <w:tcW w:w="0" w:type="dxa"/>
            <w:vAlign w:val="bottom"/>
          </w:tcPr>
          <w:p>
            <w:pPr>
              <w:spacing w:after="0"/>
              <w:rPr>
                <w:sz w:val="1"/>
                <w:szCs w:val="1"/>
                <w:color w:val="auto"/>
              </w:rPr>
            </w:pPr>
          </w:p>
        </w:tc>
      </w:tr>
      <w:tr>
        <w:trPr>
          <w:trHeight w:val="265"/>
        </w:trPr>
        <w:tc>
          <w:tcPr>
            <w:tcW w:w="4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62"/>
        </w:trPr>
        <w:tc>
          <w:tcPr>
            <w:tcW w:w="4580" w:type="dxa"/>
            <w:vAlign w:val="bottom"/>
          </w:tcPr>
          <w:p>
            <w:pPr>
              <w:spacing w:after="0"/>
              <w:rPr>
                <w:sz w:val="20"/>
                <w:szCs w:val="20"/>
                <w:color w:val="auto"/>
              </w:rPr>
            </w:pPr>
            <w:r>
              <w:rPr>
                <w:rFonts w:ascii="Courier New" w:cs="Courier New" w:eastAsia="Courier New" w:hAnsi="Courier New"/>
                <w:sz w:val="16"/>
                <w:szCs w:val="16"/>
                <w:color w:val="auto"/>
              </w:rPr>
              <w:t>Investment income (interest and dividends)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2,385,233</w:t>
            </w:r>
          </w:p>
        </w:tc>
        <w:tc>
          <w:tcPr>
            <w:tcW w:w="0" w:type="dxa"/>
            <w:vAlign w:val="bottom"/>
          </w:tcPr>
          <w:p>
            <w:pPr>
              <w:spacing w:after="0"/>
              <w:rPr>
                <w:sz w:val="1"/>
                <w:szCs w:val="1"/>
                <w:color w:val="auto"/>
              </w:rPr>
            </w:pP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Deposits by participating plans</w:t>
            </w:r>
          </w:p>
        </w:tc>
        <w:tc>
          <w:tcPr>
            <w:tcW w:w="76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10,963,781</w:t>
            </w:r>
          </w:p>
        </w:tc>
        <w:tc>
          <w:tcPr>
            <w:tcW w:w="0" w:type="dxa"/>
            <w:vAlign w:val="bottom"/>
          </w:tcPr>
          <w:p>
            <w:pPr>
              <w:spacing w:after="0"/>
              <w:rPr>
                <w:sz w:val="1"/>
                <w:szCs w:val="1"/>
                <w:color w:val="auto"/>
              </w:rPr>
            </w:pP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Withdrawals by participating plans</w:t>
            </w:r>
          </w:p>
        </w:tc>
        <w:tc>
          <w:tcPr>
            <w:tcW w:w="7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(8,362,307)</w:t>
            </w:r>
          </w:p>
        </w:tc>
        <w:tc>
          <w:tcPr>
            <w:tcW w:w="0" w:type="dxa"/>
            <w:vAlign w:val="bottom"/>
          </w:tcPr>
          <w:p>
            <w:pPr>
              <w:spacing w:after="0"/>
              <w:rPr>
                <w:sz w:val="1"/>
                <w:szCs w:val="1"/>
                <w:color w:val="auto"/>
              </w:rPr>
            </w:pPr>
          </w:p>
        </w:tc>
      </w:tr>
      <w:tr>
        <w:trPr>
          <w:trHeight w:val="265"/>
        </w:trPr>
        <w:tc>
          <w:tcPr>
            <w:tcW w:w="4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4580" w:type="dxa"/>
            <w:vAlign w:val="bottom"/>
          </w:tcPr>
          <w:p>
            <w:pPr>
              <w:ind w:left="1320"/>
              <w:spacing w:after="0"/>
              <w:rPr>
                <w:sz w:val="20"/>
                <w:szCs w:val="20"/>
                <w:color w:val="auto"/>
              </w:rPr>
            </w:pPr>
            <w:r>
              <w:rPr>
                <w:rFonts w:ascii="Courier New" w:cs="Courier New" w:eastAsia="Courier New" w:hAnsi="Courier New"/>
                <w:sz w:val="16"/>
                <w:szCs w:val="16"/>
                <w:color w:val="auto"/>
              </w:rPr>
              <w:t>Increase in net assets</w:t>
            </w:r>
          </w:p>
        </w:tc>
        <w:tc>
          <w:tcPr>
            <w:tcW w:w="760" w:type="dxa"/>
            <w:vAlign w:val="bottom"/>
          </w:tcPr>
          <w:p>
            <w:pPr>
              <w:spacing w:after="0"/>
              <w:rPr>
                <w:sz w:val="24"/>
                <w:szCs w:val="24"/>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4,986,707</w:t>
            </w:r>
          </w:p>
        </w:tc>
        <w:tc>
          <w:tcPr>
            <w:tcW w:w="0" w:type="dxa"/>
            <w:vAlign w:val="bottom"/>
          </w:tcPr>
          <w:p>
            <w:pPr>
              <w:spacing w:after="0"/>
              <w:rPr>
                <w:sz w:val="1"/>
                <w:szCs w:val="1"/>
                <w:color w:val="auto"/>
              </w:rPr>
            </w:pPr>
          </w:p>
        </w:tc>
      </w:tr>
      <w:tr>
        <w:trPr>
          <w:trHeight w:val="280"/>
        </w:trPr>
        <w:tc>
          <w:tcPr>
            <w:tcW w:w="4580" w:type="dxa"/>
            <w:vAlign w:val="bottom"/>
          </w:tcPr>
          <w:p>
            <w:pPr>
              <w:spacing w:after="0"/>
              <w:rPr>
                <w:sz w:val="20"/>
                <w:szCs w:val="20"/>
                <w:color w:val="auto"/>
              </w:rPr>
            </w:pPr>
            <w:r>
              <w:rPr>
                <w:rFonts w:ascii="Courier New" w:cs="Courier New" w:eastAsia="Courier New" w:hAnsi="Courier New"/>
                <w:sz w:val="16"/>
                <w:szCs w:val="16"/>
                <w:color w:val="auto"/>
              </w:rPr>
              <w:t>Net assets available for benefits:</w:t>
            </w:r>
          </w:p>
        </w:tc>
        <w:tc>
          <w:tcPr>
            <w:tcW w:w="760" w:type="dxa"/>
            <w:vAlign w:val="bottom"/>
          </w:tcPr>
          <w:p>
            <w:pPr>
              <w:spacing w:after="0"/>
              <w:rPr>
                <w:sz w:val="24"/>
                <w:szCs w:val="24"/>
                <w:color w:val="auto"/>
              </w:rPr>
            </w:pPr>
          </w:p>
        </w:tc>
        <w:tc>
          <w:tcPr>
            <w:tcW w:w="13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39,736,124</w:t>
            </w:r>
          </w:p>
        </w:tc>
        <w:tc>
          <w:tcPr>
            <w:tcW w:w="0" w:type="dxa"/>
            <w:vAlign w:val="bottom"/>
          </w:tcPr>
          <w:p>
            <w:pPr>
              <w:spacing w:after="0"/>
              <w:rPr>
                <w:sz w:val="1"/>
                <w:szCs w:val="1"/>
                <w:color w:val="auto"/>
              </w:rPr>
            </w:pPr>
          </w:p>
        </w:tc>
      </w:tr>
      <w:tr>
        <w:trPr>
          <w:trHeight w:val="182"/>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Beginning of year</w:t>
            </w:r>
          </w:p>
        </w:tc>
        <w:tc>
          <w:tcPr>
            <w:tcW w:w="7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End of year</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44,722,831</w:t>
            </w:r>
          </w:p>
        </w:tc>
        <w:tc>
          <w:tcPr>
            <w:tcW w:w="0" w:type="dxa"/>
            <w:vAlign w:val="bottom"/>
          </w:tcPr>
          <w:p>
            <w:pPr>
              <w:spacing w:after="0"/>
              <w:rPr>
                <w:sz w:val="1"/>
                <w:szCs w:val="1"/>
                <w:color w:val="auto"/>
              </w:rPr>
            </w:pPr>
          </w:p>
        </w:tc>
      </w:tr>
      <w:tr>
        <w:trPr>
          <w:trHeight w:val="265"/>
        </w:trPr>
        <w:tc>
          <w:tcPr>
            <w:tcW w:w="4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60" w:right="2659"/>
        <w:spacing w:after="0" w:line="352" w:lineRule="auto"/>
        <w:rPr>
          <w:sz w:val="20"/>
          <w:szCs w:val="20"/>
          <w:color w:val="auto"/>
        </w:rPr>
      </w:pPr>
      <w:r>
        <w:rPr>
          <w:rFonts w:ascii="Courier New" w:cs="Courier New" w:eastAsia="Courier New" w:hAnsi="Courier New"/>
          <w:sz w:val="16"/>
          <w:szCs w:val="16"/>
          <w:color w:val="auto"/>
        </w:rPr>
        <w:t>The changes in net assets available for benefits of the master trust for the year ended December 31, 1998 were as follows:</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TORO STABLE</w:t>
            </w:r>
          </w:p>
        </w:tc>
        <w:tc>
          <w:tcPr>
            <w:tcW w:w="0" w:type="dxa"/>
            <w:vAlign w:val="bottom"/>
          </w:tcPr>
          <w:p>
            <w:pPr>
              <w:spacing w:after="0"/>
              <w:rPr>
                <w:sz w:val="1"/>
                <w:szCs w:val="1"/>
                <w:color w:val="auto"/>
              </w:rPr>
            </w:pPr>
          </w:p>
        </w:tc>
      </w:tr>
      <w:tr>
        <w:trPr>
          <w:trHeight w:val="182"/>
        </w:trPr>
        <w:tc>
          <w:tcPr>
            <w:tcW w:w="4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VALUE FUND</w:t>
            </w:r>
          </w:p>
        </w:tc>
        <w:tc>
          <w:tcPr>
            <w:tcW w:w="0" w:type="dxa"/>
            <w:vAlign w:val="bottom"/>
          </w:tcPr>
          <w:p>
            <w:pPr>
              <w:spacing w:after="0"/>
              <w:rPr>
                <w:sz w:val="1"/>
                <w:szCs w:val="1"/>
                <w:color w:val="auto"/>
              </w:rPr>
            </w:pPr>
          </w:p>
        </w:tc>
      </w:tr>
      <w:tr>
        <w:trPr>
          <w:trHeight w:val="265"/>
        </w:trPr>
        <w:tc>
          <w:tcPr>
            <w:tcW w:w="4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62"/>
        </w:trPr>
        <w:tc>
          <w:tcPr>
            <w:tcW w:w="4580" w:type="dxa"/>
            <w:vAlign w:val="bottom"/>
          </w:tcPr>
          <w:p>
            <w:pPr>
              <w:spacing w:after="0"/>
              <w:rPr>
                <w:sz w:val="20"/>
                <w:szCs w:val="20"/>
                <w:color w:val="auto"/>
              </w:rPr>
            </w:pPr>
            <w:r>
              <w:rPr>
                <w:rFonts w:ascii="Courier New" w:cs="Courier New" w:eastAsia="Courier New" w:hAnsi="Courier New"/>
                <w:sz w:val="16"/>
                <w:szCs w:val="16"/>
                <w:color w:val="auto"/>
              </w:rPr>
              <w:t>Investment income (interest and dividends)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2,405,039</w:t>
            </w:r>
          </w:p>
        </w:tc>
        <w:tc>
          <w:tcPr>
            <w:tcW w:w="0" w:type="dxa"/>
            <w:vAlign w:val="bottom"/>
          </w:tcPr>
          <w:p>
            <w:pPr>
              <w:spacing w:after="0"/>
              <w:rPr>
                <w:sz w:val="1"/>
                <w:szCs w:val="1"/>
                <w:color w:val="auto"/>
              </w:rPr>
            </w:pP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Deposits by participating plans</w:t>
            </w:r>
          </w:p>
        </w:tc>
        <w:tc>
          <w:tcPr>
            <w:tcW w:w="76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1,635,847</w:t>
            </w:r>
          </w:p>
        </w:tc>
        <w:tc>
          <w:tcPr>
            <w:tcW w:w="0" w:type="dxa"/>
            <w:vAlign w:val="bottom"/>
          </w:tcPr>
          <w:p>
            <w:pPr>
              <w:spacing w:after="0"/>
              <w:rPr>
                <w:sz w:val="1"/>
                <w:szCs w:val="1"/>
                <w:color w:val="auto"/>
              </w:rPr>
            </w:pP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Withdrawals by participating plans</w:t>
            </w:r>
          </w:p>
        </w:tc>
        <w:tc>
          <w:tcPr>
            <w:tcW w:w="7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(934,561)</w:t>
            </w:r>
          </w:p>
        </w:tc>
        <w:tc>
          <w:tcPr>
            <w:tcW w:w="0" w:type="dxa"/>
            <w:vAlign w:val="bottom"/>
          </w:tcPr>
          <w:p>
            <w:pPr>
              <w:spacing w:after="0"/>
              <w:rPr>
                <w:sz w:val="1"/>
                <w:szCs w:val="1"/>
                <w:color w:val="auto"/>
              </w:rPr>
            </w:pPr>
          </w:p>
        </w:tc>
      </w:tr>
      <w:tr>
        <w:trPr>
          <w:trHeight w:val="265"/>
        </w:trPr>
        <w:tc>
          <w:tcPr>
            <w:tcW w:w="4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4580" w:type="dxa"/>
            <w:vAlign w:val="bottom"/>
          </w:tcPr>
          <w:p>
            <w:pPr>
              <w:ind w:left="1320"/>
              <w:spacing w:after="0"/>
              <w:rPr>
                <w:sz w:val="20"/>
                <w:szCs w:val="20"/>
                <w:color w:val="auto"/>
              </w:rPr>
            </w:pPr>
            <w:r>
              <w:rPr>
                <w:rFonts w:ascii="Courier New" w:cs="Courier New" w:eastAsia="Courier New" w:hAnsi="Courier New"/>
                <w:sz w:val="16"/>
                <w:szCs w:val="16"/>
                <w:color w:val="auto"/>
              </w:rPr>
              <w:t>Decrease in net assets</w:t>
            </w:r>
          </w:p>
        </w:tc>
        <w:tc>
          <w:tcPr>
            <w:tcW w:w="760" w:type="dxa"/>
            <w:vAlign w:val="bottom"/>
          </w:tcPr>
          <w:p>
            <w:pPr>
              <w:spacing w:after="0"/>
              <w:rPr>
                <w:sz w:val="24"/>
                <w:szCs w:val="24"/>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3,106,325</w:t>
            </w:r>
          </w:p>
        </w:tc>
        <w:tc>
          <w:tcPr>
            <w:tcW w:w="0" w:type="dxa"/>
            <w:vAlign w:val="bottom"/>
          </w:tcPr>
          <w:p>
            <w:pPr>
              <w:spacing w:after="0"/>
              <w:rPr>
                <w:sz w:val="1"/>
                <w:szCs w:val="1"/>
                <w:color w:val="auto"/>
              </w:rPr>
            </w:pPr>
          </w:p>
        </w:tc>
      </w:tr>
      <w:tr>
        <w:trPr>
          <w:trHeight w:val="280"/>
        </w:trPr>
        <w:tc>
          <w:tcPr>
            <w:tcW w:w="4580" w:type="dxa"/>
            <w:vAlign w:val="bottom"/>
          </w:tcPr>
          <w:p>
            <w:pPr>
              <w:spacing w:after="0"/>
              <w:rPr>
                <w:sz w:val="20"/>
                <w:szCs w:val="20"/>
                <w:color w:val="auto"/>
              </w:rPr>
            </w:pPr>
            <w:r>
              <w:rPr>
                <w:rFonts w:ascii="Courier New" w:cs="Courier New" w:eastAsia="Courier New" w:hAnsi="Courier New"/>
                <w:sz w:val="16"/>
                <w:szCs w:val="16"/>
                <w:color w:val="auto"/>
              </w:rPr>
              <w:t>Net assets available for benefits:</w:t>
            </w:r>
          </w:p>
        </w:tc>
        <w:tc>
          <w:tcPr>
            <w:tcW w:w="760" w:type="dxa"/>
            <w:vAlign w:val="bottom"/>
          </w:tcPr>
          <w:p>
            <w:pPr>
              <w:spacing w:after="0"/>
              <w:rPr>
                <w:sz w:val="24"/>
                <w:szCs w:val="24"/>
                <w:color w:val="auto"/>
              </w:rPr>
            </w:pPr>
          </w:p>
        </w:tc>
        <w:tc>
          <w:tcPr>
            <w:tcW w:w="13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36,629,799</w:t>
            </w:r>
          </w:p>
        </w:tc>
        <w:tc>
          <w:tcPr>
            <w:tcW w:w="0" w:type="dxa"/>
            <w:vAlign w:val="bottom"/>
          </w:tcPr>
          <w:p>
            <w:pPr>
              <w:spacing w:after="0"/>
              <w:rPr>
                <w:sz w:val="1"/>
                <w:szCs w:val="1"/>
                <w:color w:val="auto"/>
              </w:rPr>
            </w:pPr>
          </w:p>
        </w:tc>
      </w:tr>
      <w:tr>
        <w:trPr>
          <w:trHeight w:val="182"/>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Beginning of year</w:t>
            </w:r>
          </w:p>
        </w:tc>
        <w:tc>
          <w:tcPr>
            <w:tcW w:w="7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End of year</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39,736,124</w:t>
            </w:r>
          </w:p>
        </w:tc>
        <w:tc>
          <w:tcPr>
            <w:tcW w:w="0" w:type="dxa"/>
            <w:vAlign w:val="bottom"/>
          </w:tcPr>
          <w:p>
            <w:pPr>
              <w:spacing w:after="0"/>
              <w:rPr>
                <w:sz w:val="1"/>
                <w:szCs w:val="1"/>
                <w:color w:val="auto"/>
              </w:rPr>
            </w:pPr>
          </w:p>
        </w:tc>
      </w:tr>
      <w:tr>
        <w:trPr>
          <w:trHeight w:val="265"/>
        </w:trPr>
        <w:tc>
          <w:tcPr>
            <w:tcW w:w="4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40" w:right="2659"/>
        <w:spacing w:after="0" w:line="268" w:lineRule="auto"/>
        <w:rPr>
          <w:sz w:val="20"/>
          <w:szCs w:val="20"/>
          <w:color w:val="auto"/>
        </w:rPr>
      </w:pPr>
      <w:r>
        <w:rPr>
          <w:rFonts w:ascii="Courier New" w:cs="Courier New" w:eastAsia="Courier New" w:hAnsi="Courier New"/>
          <w:sz w:val="16"/>
          <w:szCs w:val="16"/>
          <w:color w:val="auto"/>
        </w:rPr>
        <w:t>The Plan's proportionate share of net investment income from the master trust is based upon the percentage of the fair value of the Plan's investment in the master trust's assets. The Plan's percentage interest in the net assets of the master trust was approximately 95% and 96% as of December 31, 1999 and 1998, respectively.</w:t>
      </w:r>
    </w:p>
    <w:p>
      <w:pPr>
        <w:spacing w:after="0" w:line="26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35" w:right="1440" w:bottom="1440" w:gutter="0" w:footer="0" w:header="0"/>
        </w:sectPr>
      </w:pPr>
    </w:p>
    <w:bookmarkStart w:id="10" w:name="page11"/>
    <w:bookmarkEnd w:id="10"/>
    <w:p>
      <w:pPr>
        <w:ind w:left="843" w:right="2659"/>
        <w:spacing w:after="0" w:line="352" w:lineRule="auto"/>
        <w:rPr>
          <w:sz w:val="20"/>
          <w:szCs w:val="20"/>
          <w:color w:val="auto"/>
        </w:rPr>
      </w:pPr>
      <w:r>
        <w:rPr>
          <w:rFonts w:ascii="Courier New" w:cs="Courier New" w:eastAsia="Courier New" w:hAnsi="Courier New"/>
          <w:sz w:val="16"/>
          <w:szCs w:val="16"/>
          <w:color w:val="auto"/>
        </w:rPr>
        <w:t>The following investments represent 5% or more of the Plan's net assets available for plan benefits as of December 31, 1999 and 1998:</w:t>
      </w:r>
    </w:p>
    <w:p>
      <w:pPr>
        <w:spacing w:after="0" w:line="200" w:lineRule="exact"/>
        <w:rPr>
          <w:sz w:val="20"/>
          <w:szCs w:val="20"/>
          <w:color w:val="auto"/>
        </w:rPr>
      </w:pPr>
    </w:p>
    <w:p>
      <w:pPr>
        <w:spacing w:after="0" w:line="360"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1999</w:t>
            </w:r>
          </w:p>
        </w:tc>
        <w:tc>
          <w:tcPr>
            <w:tcW w:w="15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1998</w:t>
            </w:r>
          </w:p>
        </w:tc>
      </w:tr>
      <w:tr>
        <w:trPr>
          <w:trHeight w:val="265"/>
        </w:trPr>
        <w:tc>
          <w:tcPr>
            <w:tcW w:w="4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462"/>
        </w:trPr>
        <w:tc>
          <w:tcPr>
            <w:tcW w:w="4920" w:type="dxa"/>
            <w:vAlign w:val="bottom"/>
          </w:tcPr>
          <w:p>
            <w:pPr>
              <w:spacing w:after="0"/>
              <w:rPr>
                <w:sz w:val="20"/>
                <w:szCs w:val="20"/>
                <w:color w:val="auto"/>
              </w:rPr>
            </w:pPr>
            <w:r>
              <w:rPr>
                <w:rFonts w:ascii="Courier New" w:cs="Courier New" w:eastAsia="Courier New" w:hAnsi="Courier New"/>
                <w:sz w:val="16"/>
                <w:szCs w:val="16"/>
                <w:color w:val="auto"/>
              </w:rPr>
              <w:t>Toro Stable Value Fund*</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42,395,665</w:t>
            </w:r>
          </w:p>
        </w:tc>
        <w:tc>
          <w:tcPr>
            <w:tcW w:w="15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38,111,311</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Putnam Fund for Growth and Income*</w:t>
            </w:r>
          </w:p>
        </w:tc>
        <w:tc>
          <w:tcPr>
            <w:tcW w:w="600" w:type="dxa"/>
            <w:vAlign w:val="bottom"/>
          </w:tcPr>
          <w:p>
            <w:pPr>
              <w:spacing w:after="0"/>
              <w:rPr>
                <w:sz w:val="15"/>
                <w:szCs w:val="15"/>
                <w:color w:val="auto"/>
              </w:rPr>
            </w:pPr>
          </w:p>
        </w:tc>
        <w:tc>
          <w:tcPr>
            <w:tcW w:w="1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46,374,395</w:t>
            </w:r>
          </w:p>
        </w:tc>
        <w:tc>
          <w:tcPr>
            <w:tcW w:w="15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47,563,426</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Putnam Asset Allocation: Growth Fund*</w:t>
            </w:r>
          </w:p>
        </w:tc>
        <w:tc>
          <w:tcPr>
            <w:tcW w:w="600" w:type="dxa"/>
            <w:vAlign w:val="bottom"/>
          </w:tcPr>
          <w:p>
            <w:pPr>
              <w:spacing w:after="0"/>
              <w:rPr>
                <w:sz w:val="15"/>
                <w:szCs w:val="15"/>
                <w:color w:val="auto"/>
              </w:rPr>
            </w:pPr>
          </w:p>
        </w:tc>
        <w:tc>
          <w:tcPr>
            <w:tcW w:w="1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13,217,598</w:t>
            </w:r>
          </w:p>
        </w:tc>
        <w:tc>
          <w:tcPr>
            <w:tcW w:w="15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10,352,492</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Putnam Asset Allocation: Balanced Fund*</w:t>
            </w:r>
          </w:p>
        </w:tc>
        <w:tc>
          <w:tcPr>
            <w:tcW w:w="600" w:type="dxa"/>
            <w:vAlign w:val="bottom"/>
          </w:tcPr>
          <w:p>
            <w:pPr>
              <w:spacing w:after="0"/>
              <w:rPr>
                <w:sz w:val="15"/>
                <w:szCs w:val="15"/>
                <w:color w:val="auto"/>
              </w:rPr>
            </w:pPr>
          </w:p>
        </w:tc>
        <w:tc>
          <w:tcPr>
            <w:tcW w:w="1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15,096,642</w:t>
            </w:r>
          </w:p>
        </w:tc>
        <w:tc>
          <w:tcPr>
            <w:tcW w:w="15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11,837,025</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Putnam Voyager Fund*</w:t>
            </w:r>
          </w:p>
        </w:tc>
        <w:tc>
          <w:tcPr>
            <w:tcW w:w="600" w:type="dxa"/>
            <w:vAlign w:val="bottom"/>
          </w:tcPr>
          <w:p>
            <w:pPr>
              <w:spacing w:after="0"/>
              <w:rPr>
                <w:sz w:val="15"/>
                <w:szCs w:val="15"/>
                <w:color w:val="auto"/>
              </w:rPr>
            </w:pPr>
          </w:p>
        </w:tc>
        <w:tc>
          <w:tcPr>
            <w:tcW w:w="1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80,406,689</w:t>
            </w:r>
          </w:p>
        </w:tc>
        <w:tc>
          <w:tcPr>
            <w:tcW w:w="15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49,396,518</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The Toro Company Common Stock*</w:t>
            </w:r>
          </w:p>
        </w:tc>
        <w:tc>
          <w:tcPr>
            <w:tcW w:w="600" w:type="dxa"/>
            <w:vAlign w:val="bottom"/>
          </w:tcPr>
          <w:p>
            <w:pPr>
              <w:spacing w:after="0"/>
              <w:rPr>
                <w:sz w:val="15"/>
                <w:szCs w:val="15"/>
                <w:color w:val="auto"/>
              </w:rPr>
            </w:pPr>
          </w:p>
        </w:tc>
        <w:tc>
          <w:tcPr>
            <w:tcW w:w="1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26,895,793</w:t>
            </w:r>
          </w:p>
        </w:tc>
        <w:tc>
          <w:tcPr>
            <w:tcW w:w="15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19,786,357</w:t>
            </w:r>
          </w:p>
        </w:tc>
      </w:tr>
      <w:tr>
        <w:trPr>
          <w:trHeight w:val="265"/>
        </w:trPr>
        <w:tc>
          <w:tcPr>
            <w:tcW w:w="4920" w:type="dxa"/>
            <w:vAlign w:val="bottom"/>
          </w:tcPr>
          <w:p>
            <w:pPr>
              <w:spacing w:after="0"/>
              <w:rPr>
                <w:sz w:val="20"/>
                <w:szCs w:val="20"/>
                <w:color w:val="auto"/>
              </w:rPr>
            </w:pPr>
            <w:r>
              <w:rPr>
                <w:rFonts w:ascii="Courier New" w:cs="Courier New" w:eastAsia="Courier New" w:hAnsi="Courier New"/>
                <w:sz w:val="16"/>
                <w:szCs w:val="16"/>
                <w:color w:val="auto"/>
              </w:rPr>
              <w:t>Putnam Growth Opportunies Fund - International*</w:t>
            </w:r>
          </w:p>
        </w:tc>
        <w:tc>
          <w:tcPr>
            <w:tcW w:w="600" w:type="dxa"/>
            <w:vAlign w:val="bottom"/>
          </w:tcPr>
          <w:p>
            <w:pPr>
              <w:spacing w:after="0"/>
              <w:rPr>
                <w:sz w:val="23"/>
                <w:szCs w:val="23"/>
                <w:color w:val="auto"/>
              </w:rPr>
            </w:pPr>
          </w:p>
        </w:tc>
        <w:tc>
          <w:tcPr>
            <w:tcW w:w="1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13,845,262</w:t>
            </w:r>
          </w:p>
        </w:tc>
        <w:tc>
          <w:tcPr>
            <w:tcW w:w="15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8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*Party-in-interest</w:t>
      </w:r>
    </w:p>
    <w:p>
      <w:pPr>
        <w:spacing w:after="0" w:line="364" w:lineRule="exact"/>
        <w:rPr>
          <w:sz w:val="20"/>
          <w:szCs w:val="20"/>
          <w:color w:val="auto"/>
        </w:rPr>
      </w:pPr>
    </w:p>
    <w:p>
      <w:pPr>
        <w:ind w:left="763" w:right="2759"/>
        <w:spacing w:after="0" w:line="277" w:lineRule="auto"/>
        <w:rPr>
          <w:sz w:val="20"/>
          <w:szCs w:val="20"/>
          <w:color w:val="auto"/>
        </w:rPr>
      </w:pPr>
      <w:r>
        <w:rPr>
          <w:rFonts w:ascii="Courier New" w:cs="Courier New" w:eastAsia="Courier New" w:hAnsi="Courier New"/>
          <w:sz w:val="16"/>
          <w:szCs w:val="16"/>
          <w:color w:val="auto"/>
        </w:rPr>
        <w:t>During 1999, the Plan's investments (including gains and losses on investments bought and sold, as well as held during the year, interest, dividends, and cash earnings) appreciated in value by $50,446,611 as follows: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4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1999</w:t>
            </w:r>
          </w:p>
        </w:tc>
      </w:tr>
      <w:tr>
        <w:trPr>
          <w:trHeight w:val="265"/>
        </w:trPr>
        <w:tc>
          <w:tcPr>
            <w:tcW w:w="47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462"/>
        </w:trPr>
        <w:tc>
          <w:tcPr>
            <w:tcW w:w="4720" w:type="dxa"/>
            <w:vAlign w:val="bottom"/>
          </w:tcPr>
          <w:p>
            <w:pPr>
              <w:spacing w:after="0"/>
              <w:rPr>
                <w:sz w:val="20"/>
                <w:szCs w:val="20"/>
                <w:color w:val="auto"/>
              </w:rPr>
            </w:pPr>
            <w:r>
              <w:rPr>
                <w:rFonts w:ascii="Courier New" w:cs="Courier New" w:eastAsia="Courier New" w:hAnsi="Courier New"/>
                <w:sz w:val="16"/>
                <w:szCs w:val="16"/>
                <w:color w:val="auto"/>
              </w:rPr>
              <w:t>Mutual funds</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41,483,312</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900" w:type="dxa"/>
            <w:vAlign w:val="bottom"/>
          </w:tcPr>
          <w:p>
            <w:pPr>
              <w:spacing w:after="0"/>
              <w:rPr>
                <w:sz w:val="15"/>
                <w:szCs w:val="15"/>
                <w:color w:val="auto"/>
              </w:rPr>
            </w:pPr>
          </w:p>
        </w:tc>
        <w:tc>
          <w:tcPr>
            <w:tcW w:w="1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6,664,780</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Master trust fund (Toro Stable Value Fund)</w:t>
            </w:r>
          </w:p>
        </w:tc>
        <w:tc>
          <w:tcPr>
            <w:tcW w:w="900" w:type="dxa"/>
            <w:vAlign w:val="bottom"/>
          </w:tcPr>
          <w:p>
            <w:pPr>
              <w:spacing w:after="0"/>
              <w:rPr>
                <w:sz w:val="15"/>
                <w:szCs w:val="15"/>
                <w:color w:val="auto"/>
              </w:rPr>
            </w:pPr>
          </w:p>
        </w:tc>
        <w:tc>
          <w:tcPr>
            <w:tcW w:w="1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2,298,519</w:t>
            </w:r>
          </w:p>
        </w:tc>
      </w:tr>
      <w:tr>
        <w:trPr>
          <w:trHeight w:val="265"/>
        </w:trPr>
        <w:tc>
          <w:tcPr>
            <w:tcW w:w="47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280"/>
        </w:trPr>
        <w:tc>
          <w:tcPr>
            <w:tcW w:w="47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50,446,611</w:t>
            </w:r>
          </w:p>
        </w:tc>
      </w:tr>
      <w:tr>
        <w:trPr>
          <w:trHeight w:val="265"/>
        </w:trPr>
        <w:tc>
          <w:tcPr>
            <w:tcW w:w="47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63" w:hanging="574"/>
        <w:spacing w:after="0"/>
        <w:tabs>
          <w:tab w:leader="none" w:pos="763"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FEDERAL INCOME TAXES</w:t>
      </w:r>
    </w:p>
    <w:p>
      <w:pPr>
        <w:spacing w:after="0" w:line="182" w:lineRule="exact"/>
        <w:rPr>
          <w:rFonts w:ascii="Courier New" w:cs="Courier New" w:eastAsia="Courier New" w:hAnsi="Courier New"/>
          <w:sz w:val="16"/>
          <w:szCs w:val="16"/>
          <w:color w:val="auto"/>
        </w:rPr>
      </w:pPr>
    </w:p>
    <w:p>
      <w:pPr>
        <w:ind w:left="763" w:right="265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administrator has received a determination letter from the Internal Revenue Service dated July 18, 1996 stating that the Plan is qualified under Section 401(a) of the Internal Revenue Code and that the trust created under the Plan is exempt from federal income taxes under Section 501(a) of the Code. The plan administrator believes that the Plan and its related trust continue to qualify under the provisions of Sections 401(a) and 501(a) of the Code and are exempt from federal income taxes.</w:t>
      </w:r>
    </w:p>
    <w:p>
      <w:pPr>
        <w:spacing w:after="0" w:line="90" w:lineRule="exact"/>
        <w:rPr>
          <w:rFonts w:ascii="Courier New" w:cs="Courier New" w:eastAsia="Courier New" w:hAnsi="Courier New"/>
          <w:sz w:val="16"/>
          <w:szCs w:val="16"/>
          <w:color w:val="auto"/>
        </w:rPr>
      </w:pPr>
    </w:p>
    <w:p>
      <w:pPr>
        <w:ind w:left="763" w:hanging="763"/>
        <w:spacing w:after="0"/>
        <w:tabs>
          <w:tab w:leader="none" w:pos="76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RESTATEMENT OF PRIOR YEAR AMOUNTS</w:t>
      </w:r>
    </w:p>
    <w:p>
      <w:pPr>
        <w:spacing w:after="0" w:line="182" w:lineRule="exact"/>
        <w:rPr>
          <w:rFonts w:ascii="Courier New" w:cs="Courier New" w:eastAsia="Courier New" w:hAnsi="Courier New"/>
          <w:sz w:val="16"/>
          <w:szCs w:val="16"/>
          <w:color w:val="auto"/>
        </w:rPr>
      </w:pPr>
    </w:p>
    <w:p>
      <w:pPr>
        <w:ind w:left="763" w:right="2759"/>
        <w:spacing w:after="0" w:line="29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previously reported net assets available for plan benefits as of December 31, 1997 of $167,342,427 have been restated to $174,281,807 to reflect contributions receivable of $6,939,380.</w:t>
      </w:r>
    </w:p>
    <w:p>
      <w:pPr>
        <w:spacing w:after="0" w:line="23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2"/>
          </w:cols>
          <w:pgMar w:left="237" w:top="635" w:right="1440" w:bottom="1440" w:gutter="0" w:footer="0" w:header="0"/>
        </w:sectPr>
      </w:pPr>
    </w:p>
    <w:bookmarkStart w:id="11" w:name="page12"/>
    <w:bookmarkEnd w:id="11"/>
    <w:p>
      <w:pPr>
        <w:ind w:left="6620"/>
        <w:spacing w:after="0"/>
        <w:rPr>
          <w:sz w:val="20"/>
          <w:szCs w:val="20"/>
          <w:color w:val="auto"/>
        </w:rPr>
      </w:pPr>
      <w:r>
        <w:rPr>
          <w:rFonts w:ascii="Courier New" w:cs="Courier New" w:eastAsia="Courier New" w:hAnsi="Courier New"/>
          <w:sz w:val="16"/>
          <w:szCs w:val="16"/>
          <w:color w:val="auto"/>
        </w:rPr>
        <w:t>SCHEDULE 1</w:t>
      </w:r>
    </w:p>
    <w:p>
      <w:pPr>
        <w:spacing w:after="0" w:line="18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THE TORO COMPANY</w:t>
      </w:r>
    </w:p>
    <w:p>
      <w:pPr>
        <w:spacing w:after="0" w:line="29"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INVESTMENT AND SAVINGS PLAN</w:t>
      </w:r>
    </w:p>
    <w:p>
      <w:pPr>
        <w:spacing w:after="0" w:line="155"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6"/>
          <w:szCs w:val="16"/>
          <w:color w:val="auto"/>
        </w:rPr>
        <w:t>Item 27a--Schedule of Assets Held for Investment Purposes</w:t>
      </w:r>
    </w:p>
    <w:p>
      <w:pPr>
        <w:spacing w:after="0" w:line="18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December 31,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80" w:type="dxa"/>
            <w:vAlign w:val="bottom"/>
          </w:tcPr>
          <w:p>
            <w:pPr>
              <w:spacing w:after="0"/>
              <w:rPr>
                <w:sz w:val="15"/>
                <w:szCs w:val="15"/>
                <w:color w:val="auto"/>
              </w:rPr>
            </w:pPr>
          </w:p>
        </w:tc>
        <w:tc>
          <w:tcPr>
            <w:tcW w:w="162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FACE</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vMerge w:val="restart"/>
          </w:tcPr>
          <w:p>
            <w:pPr>
              <w:jc w:val="right"/>
              <w:ind w:right="761"/>
              <w:spacing w:after="0"/>
              <w:rPr>
                <w:sz w:val="20"/>
                <w:szCs w:val="20"/>
                <w:color w:val="auto"/>
              </w:rPr>
            </w:pPr>
            <w:r>
              <w:rPr>
                <w:rFonts w:ascii="Courier New" w:cs="Courier New" w:eastAsia="Courier New" w:hAnsi="Courier New"/>
                <w:sz w:val="16"/>
                <w:szCs w:val="16"/>
                <w:color w:val="auto"/>
              </w:rPr>
              <w:t>FAIR</w:t>
            </w:r>
          </w:p>
        </w:tc>
        <w:tc>
          <w:tcPr>
            <w:tcW w:w="0" w:type="dxa"/>
            <w:vAlign w:val="bottom"/>
          </w:tcPr>
          <w:p>
            <w:pPr>
              <w:spacing w:after="0"/>
              <w:rPr>
                <w:sz w:val="1"/>
                <w:szCs w:val="1"/>
                <w:color w:val="auto"/>
              </w:rPr>
            </w:pPr>
          </w:p>
        </w:tc>
      </w:tr>
      <w:tr>
        <w:trPr>
          <w:trHeight w:val="182"/>
        </w:trPr>
        <w:tc>
          <w:tcPr>
            <w:tcW w:w="6280" w:type="dxa"/>
            <w:vAlign w:val="bottom"/>
            <w:vMerge w:val="restart"/>
          </w:tcPr>
          <w:p>
            <w:pPr>
              <w:ind w:left="2360"/>
              <w:spacing w:after="0"/>
              <w:rPr>
                <w:sz w:val="20"/>
                <w:szCs w:val="20"/>
                <w:color w:val="auto"/>
              </w:rPr>
            </w:pPr>
            <w:r>
              <w:rPr>
                <w:rFonts w:ascii="Courier New" w:cs="Courier New" w:eastAsia="Courier New" w:hAnsi="Courier New"/>
                <w:sz w:val="16"/>
                <w:szCs w:val="16"/>
                <w:color w:val="auto"/>
              </w:rPr>
              <w:t>DESCRIPTION</w:t>
            </w:r>
          </w:p>
        </w:tc>
        <w:tc>
          <w:tcPr>
            <w:tcW w:w="1620" w:type="dxa"/>
            <w:vAlign w:val="bottom"/>
          </w:tcPr>
          <w:p>
            <w:pPr>
              <w:ind w:left="240"/>
              <w:spacing w:after="0"/>
              <w:rPr>
                <w:sz w:val="20"/>
                <w:szCs w:val="20"/>
                <w:color w:val="auto"/>
              </w:rPr>
            </w:pPr>
            <w:r>
              <w:rPr>
                <w:rFonts w:ascii="Courier New" w:cs="Courier New" w:eastAsia="Courier New" w:hAnsi="Courier New"/>
                <w:sz w:val="16"/>
                <w:szCs w:val="16"/>
                <w:color w:val="auto"/>
              </w:rPr>
              <w:t>AMOUNT OR</w:t>
            </w:r>
          </w:p>
        </w:tc>
        <w:tc>
          <w:tcPr>
            <w:tcW w:w="240" w:type="dxa"/>
            <w:vAlign w:val="bottom"/>
          </w:tcPr>
          <w:p>
            <w:pPr>
              <w:spacing w:after="0"/>
              <w:rPr>
                <w:sz w:val="15"/>
                <w:szCs w:val="15"/>
                <w:color w:val="auto"/>
              </w:rPr>
            </w:pPr>
          </w:p>
        </w:tc>
        <w:tc>
          <w:tcPr>
            <w:tcW w:w="1600" w:type="dxa"/>
            <w:vAlign w:val="bottom"/>
            <w:vMerge w:val="restart"/>
          </w:tcPr>
          <w:p>
            <w:pPr>
              <w:ind w:left="360"/>
              <w:spacing w:after="0"/>
              <w:rPr>
                <w:sz w:val="20"/>
                <w:szCs w:val="20"/>
                <w:color w:val="auto"/>
              </w:rPr>
            </w:pPr>
            <w:r>
              <w:rPr>
                <w:rFonts w:ascii="Courier New" w:cs="Courier New" w:eastAsia="Courier New" w:hAnsi="Courier New"/>
                <w:sz w:val="16"/>
                <w:szCs w:val="16"/>
                <w:color w:val="auto"/>
              </w:rPr>
              <w:t>COST</w:t>
            </w:r>
          </w:p>
        </w:tc>
        <w:tc>
          <w:tcPr>
            <w:tcW w:w="10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16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SHARES</w:t>
            </w:r>
          </w:p>
        </w:tc>
        <w:tc>
          <w:tcPr>
            <w:tcW w:w="24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VALUE</w:t>
            </w:r>
          </w:p>
        </w:tc>
        <w:tc>
          <w:tcPr>
            <w:tcW w:w="0" w:type="dxa"/>
            <w:vAlign w:val="bottom"/>
          </w:tcPr>
          <w:p>
            <w:pPr>
              <w:spacing w:after="0"/>
              <w:rPr>
                <w:sz w:val="1"/>
                <w:szCs w:val="1"/>
                <w:color w:val="auto"/>
              </w:rPr>
            </w:pPr>
          </w:p>
        </w:tc>
      </w:tr>
      <w:tr>
        <w:trPr>
          <w:trHeight w:val="265"/>
        </w:trPr>
        <w:tc>
          <w:tcPr>
            <w:tcW w:w="62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6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62"/>
        </w:trPr>
        <w:tc>
          <w:tcPr>
            <w:tcW w:w="6280" w:type="dxa"/>
            <w:vAlign w:val="bottom"/>
          </w:tcPr>
          <w:p>
            <w:pPr>
              <w:spacing w:after="0"/>
              <w:rPr>
                <w:sz w:val="20"/>
                <w:szCs w:val="20"/>
                <w:color w:val="auto"/>
              </w:rPr>
            </w:pPr>
            <w:r>
              <w:rPr>
                <w:rFonts w:ascii="Courier New" w:cs="Courier New" w:eastAsia="Courier New" w:hAnsi="Courier New"/>
                <w:sz w:val="16"/>
                <w:szCs w:val="16"/>
                <w:color w:val="auto"/>
              </w:rPr>
              <w:t>The Toro Company Common Stock**</w:t>
            </w:r>
          </w:p>
        </w:tc>
        <w:tc>
          <w:tcPr>
            <w:tcW w:w="1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719,998</w:t>
            </w:r>
          </w:p>
        </w:tc>
        <w:tc>
          <w:tcPr>
            <w:tcW w:w="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ind w:left="360"/>
              <w:spacing w:after="0"/>
              <w:rPr>
                <w:sz w:val="20"/>
                <w:szCs w:val="20"/>
                <w:color w:val="auto"/>
              </w:rPr>
            </w:pPr>
            <w:r>
              <w:rPr>
                <w:rFonts w:ascii="Courier New" w:cs="Courier New" w:eastAsia="Courier New" w:hAnsi="Courier New"/>
                <w:sz w:val="16"/>
                <w:szCs w:val="16"/>
                <w:color w:val="auto"/>
              </w:rPr>
              <w:t>19,772,959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6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26,895,793</w:t>
            </w:r>
          </w:p>
        </w:tc>
        <w:tc>
          <w:tcPr>
            <w:tcW w:w="0" w:type="dxa"/>
            <w:vAlign w:val="bottom"/>
          </w:tcPr>
          <w:p>
            <w:pPr>
              <w:spacing w:after="0"/>
              <w:rPr>
                <w:sz w:val="1"/>
                <w:szCs w:val="1"/>
                <w:color w:val="auto"/>
              </w:rPr>
            </w:pPr>
          </w:p>
        </w:tc>
      </w:tr>
      <w:tr>
        <w:trPr>
          <w:trHeight w:val="182"/>
        </w:trPr>
        <w:tc>
          <w:tcPr>
            <w:tcW w:w="6280" w:type="dxa"/>
            <w:vAlign w:val="bottom"/>
          </w:tcPr>
          <w:p>
            <w:pPr>
              <w:spacing w:after="0"/>
              <w:rPr>
                <w:sz w:val="20"/>
                <w:szCs w:val="20"/>
                <w:color w:val="auto"/>
              </w:rPr>
            </w:pPr>
            <w:r>
              <w:rPr>
                <w:rFonts w:ascii="Courier New" w:cs="Courier New" w:eastAsia="Courier New" w:hAnsi="Courier New"/>
                <w:sz w:val="16"/>
                <w:szCs w:val="16"/>
                <w:color w:val="auto"/>
              </w:rPr>
              <w:t>Toro Stable Value Fund*</w:t>
            </w:r>
          </w:p>
        </w:tc>
        <w:tc>
          <w:tcPr>
            <w:tcW w:w="1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34,395,315</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42,395,665</w:t>
            </w:r>
          </w:p>
        </w:tc>
        <w:tc>
          <w:tcPr>
            <w:tcW w:w="0" w:type="dxa"/>
            <w:vAlign w:val="bottom"/>
          </w:tcPr>
          <w:p>
            <w:pPr>
              <w:spacing w:after="0"/>
              <w:rPr>
                <w:sz w:val="1"/>
                <w:szCs w:val="1"/>
                <w:color w:val="auto"/>
              </w:rPr>
            </w:pPr>
          </w:p>
        </w:tc>
      </w:tr>
      <w:tr>
        <w:trPr>
          <w:trHeight w:val="182"/>
        </w:trPr>
        <w:tc>
          <w:tcPr>
            <w:tcW w:w="6280" w:type="dxa"/>
            <w:vAlign w:val="bottom"/>
          </w:tcPr>
          <w:p>
            <w:pPr>
              <w:spacing w:after="0"/>
              <w:rPr>
                <w:sz w:val="20"/>
                <w:szCs w:val="20"/>
                <w:color w:val="auto"/>
              </w:rPr>
            </w:pPr>
            <w:r>
              <w:rPr>
                <w:rFonts w:ascii="Courier New" w:cs="Courier New" w:eastAsia="Courier New" w:hAnsi="Courier New"/>
                <w:sz w:val="16"/>
                <w:szCs w:val="16"/>
                <w:color w:val="auto"/>
              </w:rPr>
              <w:t>Putnam Fund for Growth and Income*</w:t>
            </w:r>
          </w:p>
        </w:tc>
        <w:tc>
          <w:tcPr>
            <w:tcW w:w="1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2,470,666</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46,374,395</w:t>
            </w:r>
          </w:p>
        </w:tc>
        <w:tc>
          <w:tcPr>
            <w:tcW w:w="0" w:type="dxa"/>
            <w:vAlign w:val="bottom"/>
          </w:tcPr>
          <w:p>
            <w:pPr>
              <w:spacing w:after="0"/>
              <w:rPr>
                <w:sz w:val="1"/>
                <w:szCs w:val="1"/>
                <w:color w:val="auto"/>
              </w:rPr>
            </w:pPr>
          </w:p>
        </w:tc>
      </w:tr>
      <w:tr>
        <w:trPr>
          <w:trHeight w:val="182"/>
        </w:trPr>
        <w:tc>
          <w:tcPr>
            <w:tcW w:w="6280" w:type="dxa"/>
            <w:vAlign w:val="bottom"/>
          </w:tcPr>
          <w:p>
            <w:pPr>
              <w:spacing w:after="0"/>
              <w:rPr>
                <w:sz w:val="20"/>
                <w:szCs w:val="20"/>
                <w:color w:val="auto"/>
              </w:rPr>
            </w:pPr>
            <w:r>
              <w:rPr>
                <w:rFonts w:ascii="Courier New" w:cs="Courier New" w:eastAsia="Courier New" w:hAnsi="Courier New"/>
                <w:sz w:val="16"/>
                <w:szCs w:val="16"/>
                <w:color w:val="auto"/>
              </w:rPr>
              <w:t>Putnam Asset Allocation: Growth Fund*</w:t>
            </w:r>
          </w:p>
        </w:tc>
        <w:tc>
          <w:tcPr>
            <w:tcW w:w="1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864,460</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13,217,598</w:t>
            </w:r>
          </w:p>
        </w:tc>
        <w:tc>
          <w:tcPr>
            <w:tcW w:w="0" w:type="dxa"/>
            <w:vAlign w:val="bottom"/>
          </w:tcPr>
          <w:p>
            <w:pPr>
              <w:spacing w:after="0"/>
              <w:rPr>
                <w:sz w:val="1"/>
                <w:szCs w:val="1"/>
                <w:color w:val="auto"/>
              </w:rPr>
            </w:pPr>
          </w:p>
        </w:tc>
      </w:tr>
      <w:tr>
        <w:trPr>
          <w:trHeight w:val="182"/>
        </w:trPr>
        <w:tc>
          <w:tcPr>
            <w:tcW w:w="6280" w:type="dxa"/>
            <w:vAlign w:val="bottom"/>
          </w:tcPr>
          <w:p>
            <w:pPr>
              <w:spacing w:after="0"/>
              <w:rPr>
                <w:sz w:val="20"/>
                <w:szCs w:val="20"/>
                <w:color w:val="auto"/>
              </w:rPr>
            </w:pPr>
            <w:r>
              <w:rPr>
                <w:rFonts w:ascii="Courier New" w:cs="Courier New" w:eastAsia="Courier New" w:hAnsi="Courier New"/>
                <w:sz w:val="16"/>
                <w:szCs w:val="16"/>
                <w:color w:val="auto"/>
              </w:rPr>
              <w:t>Putnam Asset Allocation: Balanced Fund*</w:t>
            </w:r>
          </w:p>
        </w:tc>
        <w:tc>
          <w:tcPr>
            <w:tcW w:w="1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1,163,966</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15,096,642</w:t>
            </w:r>
          </w:p>
        </w:tc>
        <w:tc>
          <w:tcPr>
            <w:tcW w:w="0" w:type="dxa"/>
            <w:vAlign w:val="bottom"/>
          </w:tcPr>
          <w:p>
            <w:pPr>
              <w:spacing w:after="0"/>
              <w:rPr>
                <w:sz w:val="1"/>
                <w:szCs w:val="1"/>
                <w:color w:val="auto"/>
              </w:rPr>
            </w:pPr>
          </w:p>
        </w:tc>
      </w:tr>
      <w:tr>
        <w:trPr>
          <w:trHeight w:val="182"/>
        </w:trPr>
        <w:tc>
          <w:tcPr>
            <w:tcW w:w="6280" w:type="dxa"/>
            <w:vAlign w:val="bottom"/>
          </w:tcPr>
          <w:p>
            <w:pPr>
              <w:spacing w:after="0"/>
              <w:rPr>
                <w:sz w:val="20"/>
                <w:szCs w:val="20"/>
                <w:color w:val="auto"/>
              </w:rPr>
            </w:pPr>
            <w:r>
              <w:rPr>
                <w:rFonts w:ascii="Courier New" w:cs="Courier New" w:eastAsia="Courier New" w:hAnsi="Courier New"/>
                <w:sz w:val="16"/>
                <w:szCs w:val="16"/>
                <w:color w:val="auto"/>
              </w:rPr>
              <w:t>Putnam Asset Allocation: Conservative Fund*</w:t>
            </w:r>
          </w:p>
        </w:tc>
        <w:tc>
          <w:tcPr>
            <w:tcW w:w="1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629,956</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6,652,336</w:t>
            </w:r>
          </w:p>
        </w:tc>
        <w:tc>
          <w:tcPr>
            <w:tcW w:w="0" w:type="dxa"/>
            <w:vAlign w:val="bottom"/>
          </w:tcPr>
          <w:p>
            <w:pPr>
              <w:spacing w:after="0"/>
              <w:rPr>
                <w:sz w:val="1"/>
                <w:szCs w:val="1"/>
                <w:color w:val="auto"/>
              </w:rPr>
            </w:pPr>
          </w:p>
        </w:tc>
      </w:tr>
      <w:tr>
        <w:trPr>
          <w:trHeight w:val="182"/>
        </w:trPr>
        <w:tc>
          <w:tcPr>
            <w:tcW w:w="6280" w:type="dxa"/>
            <w:vAlign w:val="bottom"/>
          </w:tcPr>
          <w:p>
            <w:pPr>
              <w:spacing w:after="0"/>
              <w:rPr>
                <w:sz w:val="20"/>
                <w:szCs w:val="20"/>
                <w:color w:val="auto"/>
              </w:rPr>
            </w:pPr>
            <w:r>
              <w:rPr>
                <w:rFonts w:ascii="Courier New" w:cs="Courier New" w:eastAsia="Courier New" w:hAnsi="Courier New"/>
                <w:sz w:val="16"/>
                <w:szCs w:val="16"/>
                <w:color w:val="auto"/>
              </w:rPr>
              <w:t>Putnam Growth Opportunities Fund - International*</w:t>
            </w:r>
          </w:p>
        </w:tc>
        <w:tc>
          <w:tcPr>
            <w:tcW w:w="1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464,762</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13,845,262</w:t>
            </w:r>
          </w:p>
        </w:tc>
        <w:tc>
          <w:tcPr>
            <w:tcW w:w="0" w:type="dxa"/>
            <w:vAlign w:val="bottom"/>
          </w:tcPr>
          <w:p>
            <w:pPr>
              <w:spacing w:after="0"/>
              <w:rPr>
                <w:sz w:val="1"/>
                <w:szCs w:val="1"/>
                <w:color w:val="auto"/>
              </w:rPr>
            </w:pPr>
          </w:p>
        </w:tc>
      </w:tr>
      <w:tr>
        <w:trPr>
          <w:trHeight w:val="182"/>
        </w:trPr>
        <w:tc>
          <w:tcPr>
            <w:tcW w:w="6280" w:type="dxa"/>
            <w:vAlign w:val="bottom"/>
          </w:tcPr>
          <w:p>
            <w:pPr>
              <w:spacing w:after="0"/>
              <w:rPr>
                <w:sz w:val="20"/>
                <w:szCs w:val="20"/>
                <w:color w:val="auto"/>
              </w:rPr>
            </w:pPr>
            <w:r>
              <w:rPr>
                <w:rFonts w:ascii="Courier New" w:cs="Courier New" w:eastAsia="Courier New" w:hAnsi="Courier New"/>
                <w:sz w:val="16"/>
                <w:szCs w:val="16"/>
                <w:color w:val="auto"/>
              </w:rPr>
              <w:t>Putnam Growth Opportunies Fund*</w:t>
            </w:r>
          </w:p>
        </w:tc>
        <w:tc>
          <w:tcPr>
            <w:tcW w:w="1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106,293</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3,185,612</w:t>
            </w:r>
          </w:p>
        </w:tc>
        <w:tc>
          <w:tcPr>
            <w:tcW w:w="0" w:type="dxa"/>
            <w:vAlign w:val="bottom"/>
          </w:tcPr>
          <w:p>
            <w:pPr>
              <w:spacing w:after="0"/>
              <w:rPr>
                <w:sz w:val="1"/>
                <w:szCs w:val="1"/>
                <w:color w:val="auto"/>
              </w:rPr>
            </w:pPr>
          </w:p>
        </w:tc>
      </w:tr>
      <w:tr>
        <w:trPr>
          <w:trHeight w:val="182"/>
        </w:trPr>
        <w:tc>
          <w:tcPr>
            <w:tcW w:w="6280" w:type="dxa"/>
            <w:vAlign w:val="bottom"/>
          </w:tcPr>
          <w:p>
            <w:pPr>
              <w:spacing w:after="0"/>
              <w:rPr>
                <w:sz w:val="20"/>
                <w:szCs w:val="20"/>
                <w:color w:val="auto"/>
              </w:rPr>
            </w:pPr>
            <w:r>
              <w:rPr>
                <w:rFonts w:ascii="Courier New" w:cs="Courier New" w:eastAsia="Courier New" w:hAnsi="Courier New"/>
                <w:sz w:val="16"/>
                <w:szCs w:val="16"/>
                <w:color w:val="auto"/>
              </w:rPr>
              <w:t>Putnam Voyager Fund*</w:t>
            </w:r>
          </w:p>
        </w:tc>
        <w:tc>
          <w:tcPr>
            <w:tcW w:w="1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2,544,515</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80,406,689</w:t>
            </w:r>
          </w:p>
        </w:tc>
        <w:tc>
          <w:tcPr>
            <w:tcW w:w="0" w:type="dxa"/>
            <w:vAlign w:val="bottom"/>
          </w:tcPr>
          <w:p>
            <w:pPr>
              <w:spacing w:after="0"/>
              <w:rPr>
                <w:sz w:val="1"/>
                <w:szCs w:val="1"/>
                <w:color w:val="auto"/>
              </w:rPr>
            </w:pPr>
          </w:p>
        </w:tc>
      </w:tr>
      <w:tr>
        <w:trPr>
          <w:trHeight w:val="182"/>
        </w:trPr>
        <w:tc>
          <w:tcPr>
            <w:tcW w:w="6280" w:type="dxa"/>
            <w:vAlign w:val="bottom"/>
          </w:tcPr>
          <w:p>
            <w:pPr>
              <w:spacing w:after="0"/>
              <w:rPr>
                <w:sz w:val="20"/>
                <w:szCs w:val="20"/>
                <w:color w:val="auto"/>
              </w:rPr>
            </w:pPr>
            <w:r>
              <w:rPr>
                <w:rFonts w:ascii="Courier New" w:cs="Courier New" w:eastAsia="Courier New" w:hAnsi="Courier New"/>
                <w:sz w:val="16"/>
                <w:szCs w:val="16"/>
                <w:color w:val="auto"/>
              </w:rPr>
              <w:t>UAM ICM Small Company Portfolio</w:t>
            </w:r>
          </w:p>
        </w:tc>
        <w:tc>
          <w:tcPr>
            <w:tcW w:w="1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44,173</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917,483</w:t>
            </w:r>
          </w:p>
        </w:tc>
        <w:tc>
          <w:tcPr>
            <w:tcW w:w="0" w:type="dxa"/>
            <w:vAlign w:val="bottom"/>
          </w:tcPr>
          <w:p>
            <w:pPr>
              <w:spacing w:after="0"/>
              <w:rPr>
                <w:sz w:val="1"/>
                <w:szCs w:val="1"/>
                <w:color w:val="auto"/>
              </w:rPr>
            </w:pPr>
          </w:p>
        </w:tc>
      </w:tr>
      <w:tr>
        <w:trPr>
          <w:trHeight w:val="265"/>
        </w:trPr>
        <w:tc>
          <w:tcPr>
            <w:tcW w:w="62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280"/>
        </w:trPr>
        <w:tc>
          <w:tcPr>
            <w:tcW w:w="628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4"/>
                <w:szCs w:val="24"/>
                <w:color w:val="auto"/>
              </w:rPr>
            </w:pPr>
          </w:p>
        </w:tc>
        <w:tc>
          <w:tcPr>
            <w:tcW w:w="16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248,987,475</w:t>
            </w:r>
          </w:p>
        </w:tc>
        <w:tc>
          <w:tcPr>
            <w:tcW w:w="0" w:type="dxa"/>
            <w:vAlign w:val="bottom"/>
          </w:tcPr>
          <w:p>
            <w:pPr>
              <w:spacing w:after="0"/>
              <w:rPr>
                <w:sz w:val="1"/>
                <w:szCs w:val="1"/>
                <w:color w:val="auto"/>
              </w:rPr>
            </w:pPr>
          </w:p>
        </w:tc>
      </w:tr>
      <w:tr>
        <w:trPr>
          <w:trHeight w:val="265"/>
        </w:trPr>
        <w:tc>
          <w:tcPr>
            <w:tcW w:w="62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*Party-in-interest.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**Party-in-interest and nonparticipant-directed.</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independent auditors' report.</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1520"/>
          </w:cols>
          <w:pgMar w:left="240" w:top="635" w:right="139" w:bottom="1440" w:gutter="0" w:footer="0" w:header="0"/>
        </w:sectPr>
      </w:pPr>
    </w:p>
    <w:bookmarkStart w:id="12" w:name="page13"/>
    <w:bookmarkEnd w:id="12"/>
    <w:p>
      <w:pPr>
        <w:jc w:val="right"/>
        <w:ind w:right="2659"/>
        <w:spacing w:after="0"/>
        <w:rPr>
          <w:sz w:val="20"/>
          <w:szCs w:val="20"/>
          <w:color w:val="auto"/>
        </w:rPr>
      </w:pPr>
      <w:r>
        <w:rPr>
          <w:rFonts w:ascii="Courier New" w:cs="Courier New" w:eastAsia="Courier New" w:hAnsi="Courier New"/>
          <w:sz w:val="16"/>
          <w:szCs w:val="16"/>
          <w:color w:val="auto"/>
        </w:rPr>
        <w:t>Exhibit 23</w:t>
      </w:r>
    </w:p>
    <w:p>
      <w:pPr>
        <w:spacing w:after="0" w:line="200" w:lineRule="exact"/>
        <w:rPr>
          <w:sz w:val="20"/>
          <w:szCs w:val="20"/>
          <w:color w:val="auto"/>
        </w:rPr>
      </w:pPr>
    </w:p>
    <w:p>
      <w:pPr>
        <w:spacing w:after="0" w:line="346"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INDEPENDENT AUDITORS' CONSENT</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Toro Company:</w:t>
      </w:r>
    </w:p>
    <w:p>
      <w:pPr>
        <w:spacing w:after="0" w:line="336" w:lineRule="exact"/>
        <w:rPr>
          <w:sz w:val="20"/>
          <w:szCs w:val="20"/>
          <w:color w:val="auto"/>
        </w:rPr>
      </w:pPr>
    </w:p>
    <w:p>
      <w:pPr>
        <w:ind w:right="2659"/>
        <w:spacing w:after="0" w:line="259" w:lineRule="auto"/>
        <w:rPr>
          <w:sz w:val="20"/>
          <w:szCs w:val="20"/>
          <w:color w:val="auto"/>
        </w:rPr>
      </w:pPr>
      <w:r>
        <w:rPr>
          <w:rFonts w:ascii="Courier New" w:cs="Courier New" w:eastAsia="Courier New" w:hAnsi="Courier New"/>
          <w:sz w:val="16"/>
          <w:szCs w:val="16"/>
          <w:color w:val="auto"/>
        </w:rPr>
        <w:t>We consent to incorporation by reference in the Registration Statement No. 33-59563 on Form S-8 of The Toro Company of our report dated June 19, 2000, relating to the statements of net assets available for plan benefits of The Toro Company Investment and Savings Plan as of December 31, 1999 and 1998, and the related statements of changes in net assets available for plan benefits for the years then ended and supplemental schedule as of December 31, 1999, which report is included in Form 11-K of The Toro Company.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420"/>
        <w:spacing w:after="0"/>
        <w:rPr>
          <w:sz w:val="20"/>
          <w:szCs w:val="20"/>
          <w:color w:val="auto"/>
        </w:rPr>
      </w:pPr>
      <w:r>
        <w:rPr>
          <w:rFonts w:ascii="Courier New" w:cs="Courier New" w:eastAsia="Courier New" w:hAnsi="Courier New"/>
          <w:sz w:val="16"/>
          <w:szCs w:val="16"/>
          <w:color w:val="auto"/>
        </w:rPr>
        <w:t>KPMG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Minneapolis, Minnesota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28, 2000</w:t>
      </w:r>
    </w:p>
    <w:sectPr>
      <w:pgSz w:w="11900" w:h="16838" w:orient="portrait"/>
      <w:cols w:equalWidth="0" w:num="1">
        <w:col w:w="10219"/>
      </w:cols>
      <w:pgMar w:left="2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upperLetter"/>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lvl w:ilvl="1">
      <w:lvlJc w:val="left"/>
      <w:lvlText w:val="(%2)"/>
      <w:numFmt w:val="lowerLetter"/>
      <w:start w:val="1"/>
    </w:lvl>
  </w:abstractNum>
  <w:abstractNum w:abstractNumId="5">
    <w:nsid w:val="79E2A9E3"/>
    <w:multiLevelType w:val="hybridMultilevel"/>
    <w:lvl w:ilvl="0">
      <w:lvlJc w:val="left"/>
      <w:lvlText w:val="(%1)"/>
      <w:numFmt w:val="decimal"/>
      <w:start w:val="2"/>
    </w:lvl>
  </w:abstractNum>
  <w:abstractNum w:abstractNumId="6">
    <w:nsid w:val="7545E146"/>
    <w:multiLevelType w:val="hybridMultilevel"/>
    <w:lvl w:ilvl="0">
      <w:lvlJc w:val="left"/>
      <w:lvlText w:val="(%1)"/>
      <w:numFmt w:val="decimal"/>
      <w:start w:val="6"/>
    </w:lvl>
  </w:abstractNum>
  <w:abstractNum w:abstractNumId="7">
    <w:nsid w:val="515F007C"/>
    <w:multiLevelType w:val="hybridMultilevel"/>
    <w:lvl w:ilvl="0">
      <w:lvlJc w:val="left"/>
      <w:lvlText w:val="%1"/>
      <w:numFmt w:val="decimal"/>
      <w:start w:val="1"/>
    </w:lvl>
    <w:lvl w:ilvl="1">
      <w:lvlJc w:val="left"/>
      <w:lvlText w:val="(%2)"/>
      <w:numFmt w:val="decimal"/>
      <w:start w:val="7"/>
    </w:lvl>
  </w:abstractNum>
  <w:abstractNum w:abstractNumId="8">
    <w:nsid w:val="5BD062C2"/>
    <w:multiLevelType w:val="hybridMultilevel"/>
    <w:lvl w:ilvl="0">
      <w:lvlJc w:val="left"/>
      <w:lvlText w:val="(%1)"/>
      <w:numFmt w:val="decimal"/>
      <w:start w:val="8"/>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2019-12-13T14:05:17Z</dcterms:created>
  <dcterms:modified xsi:type="dcterms:W3CDTF">2019-12-13T14:05:17Z</dcterms:modified>
</cp:coreProperties>
</file>