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4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6580" w:type="dxa"/>
            <w:vAlign w:val="bottom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Expires: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December 31,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2014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response:</w:t>
            </w: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-946785</wp:posOffset>
            </wp:positionV>
            <wp:extent cx="7272020" cy="66890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6689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0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WOLFE STEPHEN P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1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07/11/2003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Financial Officer &amp; Vice</w:t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60" w:type="dxa"/>
            <w:vAlign w:val="bottom"/>
            <w:gridSpan w:val="1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20" w:type="dxa"/>
            <w:vAlign w:val="bottom"/>
            <w:gridSpan w:val="9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9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1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jc w:val="center"/>
              <w:ind w:left="52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ind w:left="92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jc w:val="center"/>
              <w:ind w:left="5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07/11/2003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298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2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2"/>
              </w:rPr>
              <w:t>(1)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18.17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ind w:lef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gridSpan w:val="4"/>
          </w:tcPr>
          <w:p>
            <w:pPr>
              <w:jc w:val="center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12,776.68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 Units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07/11/2003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J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16.306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4"/>
                <w:vertAlign w:val="superscript"/>
              </w:rPr>
              <w:t>(3)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11,528.584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Matching Units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07/11/2003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J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8.153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(3)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5,764.281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Performance Share Units</w:t>
            </w: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07/11/2003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J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72.54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(3)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51,285.608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5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jc w:val="center"/>
              <w:ind w:righ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jc w:val="center"/>
              <w:ind w:righ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jc w:val="center"/>
              <w:ind w:righ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8"/>
              </w:rPr>
              <w:t>1. Exempt transaction under rule 16a-3(f)(1)(i)B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</w:rPr>
              <w:t>2. rounding adjustment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16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9"/>
              </w:rPr>
              <w:t>3. These are additional units credited pursuant to a dividend reinvestment feature of The Toro Company Deferred Compensation Plan for Officers.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N. Jeanne Ryan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4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07/15/2003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0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Reminder: Report on a separate line for each class of securities beneficially owned directly or indirectly.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7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167144" TargetMode="External"/><Relationship Id="rId11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2019-12-16T04:07:14Z</dcterms:created>
  <dcterms:modified xsi:type="dcterms:W3CDTF">2019-12-16T04:07:14Z</dcterms:modified>
</cp:coreProperties>
</file>