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SCHEDULE 14A</w:t>
      </w:r>
    </w:p>
    <w:p>
      <w:pPr>
        <w:spacing w:after="0" w:line="2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(Rule 14a-101)</w:t>
      </w: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INFORMATION REQUIRED IN PROXY STATEMENT</w:t>
      </w:r>
    </w:p>
    <w:p>
      <w:pPr>
        <w:spacing w:after="0" w:line="11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17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15" w:lineRule="exact"/>
        <w:rPr>
          <w:sz w:val="24"/>
          <w:szCs w:val="24"/>
          <w:color w:val="auto"/>
        </w:rPr>
      </w:pPr>
    </w:p>
    <w:p>
      <w:pPr>
        <w:spacing w:after="0" w:line="207" w:lineRule="exact"/>
        <w:tabs>
          <w:tab w:leader="none" w:pos="316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1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1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9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THE TORO COMPANY</w:t>
      </w:r>
    </w:p>
    <w:p>
      <w:pPr>
        <w:spacing w:after="0" w:line="6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5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7"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20" w:hanging="439"/>
        <w:spacing w:after="0" w:line="275" w:lineRule="auto"/>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80" w:right="600" w:hanging="472"/>
        <w:spacing w:after="0" w:line="275" w:lineRule="auto"/>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-3800475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-3380740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-2823210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-2402840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-2016760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-979170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-558800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280670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416" w:right="319" w:bottom="1440" w:gutter="0" w:footer="0" w:header="0"/>
        </w:sectPr>
      </w:pPr>
    </w:p>
    <w:bookmarkStart w:id="1" w:name="page2"/>
    <w:bookmarkEnd w:id="1"/>
    <w:p>
      <w:pPr>
        <w:jc w:val="center"/>
        <w:ind w:right="6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Times New Roman" w:cs="Times New Roman" w:eastAsia="Times New Roman" w:hAnsi="Times New Roman"/>
          <w:sz w:val="32"/>
          <w:szCs w:val="32"/>
          <w:b w:val="1"/>
          <w:bCs w:val="1"/>
          <w:i w:val="1"/>
          <w:iCs w:val="1"/>
          <w:color w:val="auto"/>
        </w:rPr>
        <w:t>Right</w:t>
      </w:r>
      <w:r>
        <w:rPr>
          <w:rFonts w:ascii="Times New Roman" w:cs="Times New Roman" w:eastAsia="Times New Roman" w:hAnsi="Times New Roman"/>
          <w:sz w:val="32"/>
          <w:szCs w:val="32"/>
          <w:b w:val="1"/>
          <w:bCs w:val="1"/>
          <w:color w:val="auto"/>
        </w:rPr>
        <w:t xml:space="preserve"> to Vote ***</w:t>
      </w:r>
    </w:p>
    <w:p>
      <w:pPr>
        <w:spacing w:after="0" w:line="90" w:lineRule="exact"/>
        <w:rPr>
          <w:sz w:val="20"/>
          <w:szCs w:val="20"/>
          <w:color w:val="auto"/>
        </w:rPr>
      </w:pPr>
    </w:p>
    <w:p>
      <w:pPr>
        <w:jc w:val="center"/>
        <w:ind w:right="620"/>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32" w:lineRule="exact"/>
        <w:rPr>
          <w:sz w:val="20"/>
          <w:szCs w:val="20"/>
          <w:color w:val="auto"/>
        </w:rPr>
      </w:pPr>
    </w:p>
    <w:p>
      <w:pPr>
        <w:jc w:val="center"/>
        <w:ind w:right="620"/>
        <w:spacing w:after="0"/>
        <w:rPr>
          <w:sz w:val="20"/>
          <w:szCs w:val="20"/>
          <w:color w:val="auto"/>
        </w:rPr>
      </w:pPr>
      <w:r>
        <w:rPr>
          <w:rFonts w:ascii="Arial" w:cs="Arial" w:eastAsia="Arial" w:hAnsi="Arial"/>
          <w:sz w:val="22"/>
          <w:szCs w:val="22"/>
          <w:b w:val="1"/>
          <w:bCs w:val="1"/>
          <w:color w:val="auto"/>
        </w:rPr>
        <w:t>Shareholder Meeting to Be Held on March 17, 2015.</w:t>
      </w:r>
    </w:p>
    <w:p>
      <w:pPr>
        <w:sectPr>
          <w:pgSz w:w="11900" w:h="16838" w:orient="portrait"/>
          <w:cols w:equalWidth="0" w:num="1">
            <w:col w:w="10700"/>
          </w:cols>
          <w:pgMar w:left="920" w:top="239" w:right="279" w:bottom="1440" w:gutter="0" w:footer="0" w:header="0"/>
        </w:sectPr>
      </w:pPr>
    </w:p>
    <w:p>
      <w:pPr>
        <w:spacing w:after="0" w:line="203" w:lineRule="exact"/>
        <w:rPr>
          <w:sz w:val="20"/>
          <w:szCs w:val="20"/>
          <w:color w:val="auto"/>
        </w:rPr>
      </w:pPr>
    </w:p>
    <w:p>
      <w:pPr>
        <w:jc w:val="right"/>
        <w:ind w:right="1540"/>
        <w:spacing w:after="0"/>
        <w:rPr>
          <w:sz w:val="20"/>
          <w:szCs w:val="20"/>
          <w:color w:val="auto"/>
        </w:rPr>
      </w:pPr>
      <w:r>
        <w:rPr>
          <w:rFonts w:ascii="Arial" w:cs="Arial" w:eastAsia="Arial" w:hAnsi="Arial"/>
          <w:sz w:val="22"/>
          <w:szCs w:val="22"/>
          <w:b w:val="1"/>
          <w:bCs w:val="1"/>
          <w:color w:val="auto"/>
        </w:rPr>
        <w:t>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668655</wp:posOffset>
            </wp:positionV>
            <wp:extent cx="797560" cy="523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9756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TORO COMPANY</w:t>
      </w:r>
    </w:p>
    <w:p>
      <w:pPr>
        <w:spacing w:after="0" w:line="226" w:lineRule="auto"/>
        <w:rPr>
          <w:sz w:val="20"/>
          <w:szCs w:val="20"/>
          <w:color w:val="auto"/>
        </w:rPr>
      </w:pPr>
      <w:r>
        <w:rPr>
          <w:rFonts w:ascii="Arial" w:cs="Arial" w:eastAsia="Arial" w:hAnsi="Arial"/>
          <w:sz w:val="14"/>
          <w:szCs w:val="14"/>
          <w:i w:val="1"/>
          <w:iCs w:val="1"/>
          <w:color w:val="auto"/>
        </w:rPr>
        <w:t>8111 LYNDALE AVENUE SOUTH</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BLOOMINGTON, MN 55420-1196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249555</wp:posOffset>
            </wp:positionV>
            <wp:extent cx="68580" cy="926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926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left="1740"/>
        <w:spacing w:after="0"/>
        <w:rPr>
          <w:sz w:val="20"/>
          <w:szCs w:val="20"/>
          <w:color w:val="auto"/>
        </w:rPr>
      </w:pPr>
      <w:r>
        <w:rPr>
          <w:rFonts w:ascii="Arial" w:cs="Arial" w:eastAsia="Arial" w:hAnsi="Arial"/>
          <w:sz w:val="18"/>
          <w:szCs w:val="18"/>
          <w:b w:val="1"/>
          <w:bCs w:val="1"/>
          <w:u w:val="single" w:color="auto"/>
          <w:color w:val="auto"/>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-126365</wp:posOffset>
            </wp:positionV>
            <wp:extent cx="3567430" cy="1431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7430" cy="1431925"/>
                    </a:xfrm>
                    <a:prstGeom prst="rect">
                      <a:avLst/>
                    </a:prstGeom>
                    <a:noFill/>
                  </pic:spPr>
                </pic:pic>
              </a:graphicData>
            </a:graphic>
          </wp:anchor>
        </w:drawing>
      </w:r>
    </w:p>
    <w:p>
      <w:pPr>
        <w:spacing w:after="0" w:line="138" w:lineRule="exact"/>
        <w:rPr>
          <w:sz w:val="20"/>
          <w:szCs w:val="20"/>
          <w:color w:val="auto"/>
        </w:rPr>
      </w:pPr>
    </w:p>
    <w:p>
      <w:pPr>
        <w:ind w:left="240"/>
        <w:spacing w:after="0"/>
        <w:tabs>
          <w:tab w:leader="none" w:pos="2160" w:val="left"/>
        </w:tabs>
        <w:rPr>
          <w:sz w:val="20"/>
          <w:szCs w:val="20"/>
          <w:color w:val="auto"/>
        </w:rPr>
      </w:pPr>
      <w:r>
        <w:rPr>
          <w:rFonts w:ascii="Arial" w:cs="Arial" w:eastAsia="Arial" w:hAnsi="Arial"/>
          <w:sz w:val="18"/>
          <w:szCs w:val="18"/>
          <w:b w:val="1"/>
          <w:bCs w:val="1"/>
          <w:color w:val="auto"/>
        </w:rPr>
        <w:t>Meeting Type:</w:t>
      </w:r>
      <w:r>
        <w:rPr>
          <w:sz w:val="20"/>
          <w:szCs w:val="20"/>
          <w:color w:val="auto"/>
        </w:rPr>
        <w:tab/>
      </w:r>
      <w:r>
        <w:rPr>
          <w:rFonts w:ascii="Arial" w:cs="Arial" w:eastAsia="Arial" w:hAnsi="Arial"/>
          <w:sz w:val="16"/>
          <w:szCs w:val="16"/>
          <w:color w:val="auto"/>
        </w:rPr>
        <w:t>Annual Meeting</w:t>
      </w:r>
    </w:p>
    <w:p>
      <w:pPr>
        <w:spacing w:after="0" w:line="15" w:lineRule="exact"/>
        <w:rPr>
          <w:sz w:val="20"/>
          <w:szCs w:val="20"/>
          <w:color w:val="auto"/>
        </w:rPr>
      </w:pPr>
    </w:p>
    <w:p>
      <w:pPr>
        <w:ind w:left="240"/>
        <w:spacing w:after="0"/>
        <w:tabs>
          <w:tab w:leader="none" w:pos="2180" w:val="left"/>
        </w:tabs>
        <w:rPr>
          <w:sz w:val="20"/>
          <w:szCs w:val="20"/>
          <w:color w:val="auto"/>
        </w:rPr>
      </w:pPr>
      <w:r>
        <w:rPr>
          <w:rFonts w:ascii="Arial" w:cs="Arial" w:eastAsia="Arial" w:hAnsi="Arial"/>
          <w:sz w:val="18"/>
          <w:szCs w:val="18"/>
          <w:b w:val="1"/>
          <w:bCs w:val="1"/>
          <w:color w:val="auto"/>
        </w:rPr>
        <w:t>For holders as of:</w:t>
      </w:r>
      <w:r>
        <w:rPr>
          <w:sz w:val="20"/>
          <w:szCs w:val="20"/>
          <w:color w:val="auto"/>
        </w:rPr>
        <w:tab/>
      </w:r>
      <w:r>
        <w:rPr>
          <w:rFonts w:ascii="Arial" w:cs="Arial" w:eastAsia="Arial" w:hAnsi="Arial"/>
          <w:sz w:val="16"/>
          <w:szCs w:val="16"/>
          <w:color w:val="auto"/>
        </w:rPr>
        <w:t>January 20, 2015</w:t>
      </w:r>
    </w:p>
    <w:p>
      <w:pPr>
        <w:ind w:left="240"/>
        <w:spacing w:after="0"/>
        <w:tabs>
          <w:tab w:leader="none" w:pos="860" w:val="left"/>
          <w:tab w:leader="none" w:pos="252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March 17, 2015</w:t>
      </w:r>
      <w:r>
        <w:rPr>
          <w:sz w:val="20"/>
          <w:szCs w:val="20"/>
          <w:color w:val="auto"/>
        </w:rPr>
        <w:tab/>
      </w:r>
      <w:r>
        <w:rPr>
          <w:rFonts w:ascii="Arial" w:cs="Arial" w:eastAsia="Arial" w:hAnsi="Arial"/>
          <w:sz w:val="16"/>
          <w:szCs w:val="16"/>
          <w:b w:val="1"/>
          <w:bCs w:val="1"/>
          <w:color w:val="auto"/>
        </w:rPr>
        <w:t xml:space="preserve">Time: </w:t>
      </w:r>
      <w:r>
        <w:rPr>
          <w:rFonts w:ascii="Arial" w:cs="Arial" w:eastAsia="Arial" w:hAnsi="Arial"/>
          <w:sz w:val="16"/>
          <w:szCs w:val="16"/>
          <w:color w:val="auto"/>
        </w:rPr>
        <w:t>1:30 PM CDT</w:t>
      </w:r>
    </w:p>
    <w:p>
      <w:pPr>
        <w:ind w:left="240"/>
        <w:spacing w:after="0" w:line="235" w:lineRule="auto"/>
        <w:tabs>
          <w:tab w:leader="none" w:pos="122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The Toro Company</w:t>
      </w:r>
    </w:p>
    <w:p>
      <w:pPr>
        <w:ind w:left="1260"/>
        <w:spacing w:after="0" w:line="235" w:lineRule="auto"/>
        <w:rPr>
          <w:sz w:val="20"/>
          <w:szCs w:val="20"/>
          <w:color w:val="auto"/>
        </w:rPr>
      </w:pPr>
      <w:r>
        <w:rPr>
          <w:rFonts w:ascii="Arial" w:cs="Arial" w:eastAsia="Arial" w:hAnsi="Arial"/>
          <w:sz w:val="18"/>
          <w:szCs w:val="18"/>
          <w:color w:val="auto"/>
        </w:rPr>
        <w:t>8111 Lyndale Avenue South</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Bloomington, MN 55420</w:t>
      </w:r>
    </w:p>
    <w:p>
      <w:pPr>
        <w:spacing w:after="0" w:line="217"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You are receiving this communication because you hold shares in the company named above.</w:t>
      </w:r>
    </w:p>
    <w:p>
      <w:pPr>
        <w:spacing w:after="0" w:line="3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easily request a paper copy (see reverse side).</w:t>
      </w:r>
    </w:p>
    <w:p>
      <w:pPr>
        <w:spacing w:after="0" w:line="60" w:lineRule="exact"/>
        <w:rPr>
          <w:sz w:val="20"/>
          <w:szCs w:val="20"/>
          <w:color w:val="auto"/>
        </w:rPr>
      </w:pPr>
    </w:p>
    <w:p>
      <w:pPr>
        <w:ind w:right="800"/>
        <w:spacing w:after="0" w:line="333" w:lineRule="auto"/>
        <w:rPr>
          <w:sz w:val="20"/>
          <w:szCs w:val="20"/>
          <w:color w:val="auto"/>
        </w:rPr>
      </w:pPr>
      <w:r>
        <w:rPr>
          <w:rFonts w:ascii="Arial" w:cs="Arial" w:eastAsia="Arial" w:hAnsi="Arial"/>
          <w:sz w:val="16"/>
          <w:szCs w:val="16"/>
          <w:color w:val="auto"/>
        </w:rPr>
        <w:t>We encourage you to access and review all of the important information contained in the proxy materials before voting.</w:t>
      </w:r>
    </w:p>
    <w:p>
      <w:pPr>
        <w:spacing w:after="0" w:line="55" w:lineRule="exact"/>
        <w:rPr>
          <w:sz w:val="20"/>
          <w:szCs w:val="20"/>
          <w:color w:val="auto"/>
        </w:rPr>
      </w:pPr>
    </w:p>
    <w:p>
      <w:pPr>
        <w:ind w:right="120"/>
        <w:spacing w:after="0" w:line="281"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-294005</wp:posOffset>
            </wp:positionV>
            <wp:extent cx="3559175" cy="257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59175" cy="257175"/>
                    </a:xfrm>
                    <a:prstGeom prst="rect">
                      <a:avLst/>
                    </a:prstGeom>
                    <a:noFill/>
                  </pic:spPr>
                </pic:pic>
              </a:graphicData>
            </a:graphic>
          </wp:anchor>
        </w:drawing>
      </w:r>
    </w:p>
    <w:p>
      <w:pPr>
        <w:sectPr>
          <w:pgSz w:w="11900" w:h="16838" w:orient="portrait"/>
          <w:cols w:equalWidth="0" w:num="2">
            <w:col w:w="4520" w:space="720"/>
            <w:col w:w="5460"/>
          </w:cols>
          <w:pgMar w:left="920" w:top="239" w:right="279" w:bottom="1440" w:gutter="0" w:footer="0" w:header="0"/>
          <w:type w:val="continuous"/>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Before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-100330</wp:posOffset>
            </wp:positionV>
            <wp:extent cx="2228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-100330</wp:posOffset>
            </wp:positionV>
            <wp:extent cx="2146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17"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How to Access the Proxy Materials</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-126365</wp:posOffset>
            </wp:positionV>
            <wp:extent cx="7066280" cy="2341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66280" cy="2341245"/>
                    </a:xfrm>
                    <a:prstGeom prst="rect">
                      <a:avLst/>
                    </a:prstGeom>
                    <a:noFill/>
                  </pic:spPr>
                </pic:pic>
              </a:graphicData>
            </a:graphic>
          </wp:anchor>
        </w:drawing>
      </w:r>
    </w:p>
    <w:p>
      <w:pPr>
        <w:sectPr>
          <w:pgSz w:w="11900" w:h="16838" w:orient="portrait"/>
          <w:cols w:equalWidth="0" w:num="1">
            <w:col w:w="10540"/>
          </w:cols>
          <w:pgMar w:left="840" w:top="241" w:right="519" w:bottom="1440" w:gutter="0" w:footer="0" w:header="0"/>
        </w:sectPr>
      </w:pPr>
    </w:p>
    <w:p>
      <w:pPr>
        <w:spacing w:after="0" w:line="160" w:lineRule="exact"/>
        <w:rPr>
          <w:sz w:val="20"/>
          <w:szCs w:val="20"/>
          <w:color w:val="auto"/>
        </w:rPr>
      </w:pPr>
    </w:p>
    <w:p>
      <w:pPr>
        <w:ind w:left="240"/>
        <w:spacing w:after="0" w:line="291" w:lineRule="auto"/>
        <w:rPr>
          <w:sz w:val="20"/>
          <w:szCs w:val="20"/>
          <w:color w:val="auto"/>
        </w:rPr>
      </w:pPr>
      <w:r>
        <w:rPr>
          <w:rFonts w:ascii="Arial" w:cs="Arial" w:eastAsia="Arial" w:hAnsi="Arial"/>
          <w:sz w:val="16"/>
          <w:szCs w:val="16"/>
          <w:color w:val="auto"/>
        </w:rPr>
        <w:t xml:space="preserve">NOTICE AND PROXY STATEMENT </w:t>
      </w:r>
      <w:r>
        <w:rPr>
          <w:rFonts w:ascii="Arial" w:cs="Arial" w:eastAsia="Arial" w:hAnsi="Arial"/>
          <w:sz w:val="16"/>
          <w:szCs w:val="16"/>
          <w:b w:val="1"/>
          <w:bCs w:val="1"/>
          <w:color w:val="auto"/>
        </w:rPr>
        <w:t>How to View Online: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ANNUAL REPORT</w:t>
      </w:r>
    </w:p>
    <w:p>
      <w:pPr>
        <w:spacing w:after="0" w:line="263" w:lineRule="exact"/>
        <w:rPr>
          <w:sz w:val="20"/>
          <w:szCs w:val="20"/>
          <w:color w:val="auto"/>
        </w:rPr>
      </w:pPr>
    </w:p>
    <w:p>
      <w:pPr>
        <w:sectPr>
          <w:pgSz w:w="11900" w:h="16838" w:orient="portrait"/>
          <w:cols w:equalWidth="0" w:num="2">
            <w:col w:w="3060" w:space="380"/>
            <w:col w:w="7100"/>
          </w:cols>
          <w:pgMar w:left="840" w:top="241" w:right="519" w:bottom="1440" w:gutter="0" w:footer="0" w:header="0"/>
          <w:type w:val="continuous"/>
        </w:sectPr>
      </w:pPr>
    </w:p>
    <w:p>
      <w:pPr>
        <w:ind w:left="240" w:right="40"/>
        <w:spacing w:after="0" w:line="255" w:lineRule="auto"/>
        <w:rPr>
          <w:sz w:val="20"/>
          <w:szCs w:val="20"/>
          <w:color w:val="auto"/>
        </w:rPr>
      </w:pPr>
      <w:r>
        <w:rPr>
          <w:rFonts w:ascii="Arial" w:cs="Arial" w:eastAsia="Arial" w:hAnsi="Arial"/>
          <w:sz w:val="18"/>
          <w:szCs w:val="18"/>
          <w:color w:val="auto"/>
        </w:rPr>
        <w:t xml:space="preserve">Have the information that is printed in the box marked by the arrow </w:t>
      </w:r>
      <w:r>
        <w:rPr>
          <w:sz w:val="1"/>
          <w:szCs w:val="1"/>
          <w:color w:val="auto"/>
        </w:rPr>
        <w:drawing>
          <wp:inline distT="0" distB="0" distL="0" distR="0">
            <wp:extent cx="1337945" cy="11366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37945" cy="113665"/>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and visit: </w:t>
      </w:r>
      <w:r>
        <w:rPr>
          <w:rFonts w:ascii="Arial" w:cs="Arial" w:eastAsia="Arial" w:hAnsi="Arial"/>
          <w:sz w:val="18"/>
          <w:szCs w:val="18"/>
          <w:i w:val="1"/>
          <w:iCs w:val="1"/>
          <w:color w:val="auto"/>
        </w:rPr>
        <w:t>www.proxyvote.com.</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2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If you want to receive a paper or e-mail copy of these documents, you must request one. There is NO charge for requesting a copy.</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Please choose one of the following methods to make your request:</w:t>
      </w:r>
    </w:p>
    <w:p>
      <w:pPr>
        <w:spacing w:after="0" w:line="55" w:lineRule="exact"/>
        <w:rPr>
          <w:sz w:val="20"/>
          <w:szCs w:val="20"/>
          <w:color w:val="auto"/>
        </w:rPr>
      </w:pPr>
    </w:p>
    <w:p>
      <w:pPr>
        <w:ind w:left="1740"/>
        <w:spacing w:after="0"/>
        <w:tabs>
          <w:tab w:leader="none" w:pos="358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BY INTERNET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www.proxyvote.com</w:t>
      </w:r>
    </w:p>
    <w:p>
      <w:pPr>
        <w:spacing w:after="0" w:line="13" w:lineRule="exact"/>
        <w:rPr>
          <w:sz w:val="20"/>
          <w:szCs w:val="20"/>
          <w:color w:val="auto"/>
        </w:rPr>
      </w:pPr>
    </w:p>
    <w:p>
      <w:pPr>
        <w:ind w:left="1940" w:hanging="195"/>
        <w:spacing w:after="0"/>
        <w:tabs>
          <w:tab w:leader="none" w:pos="194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ind w:left="1940" w:hanging="195"/>
        <w:spacing w:after="0"/>
        <w:tabs>
          <w:tab w:leader="none" w:pos="194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6"/>
          <w:szCs w:val="16"/>
          <w:color w:val="auto"/>
        </w:rPr>
        <w:t>sendmaterial@proxyvote.com</w:t>
      </w:r>
    </w:p>
    <w:p>
      <w:pPr>
        <w:spacing w:after="0" w:line="54"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 If requesting materials by e-mail, please send a blank e-mail with the information that is printed in the box marked by the arrow</w:t>
      </w:r>
    </w:p>
    <w:p>
      <w:pPr>
        <w:spacing w:after="0" w:line="36"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(located on the following page) in the subject line.</w:t>
      </w:r>
    </w:p>
    <w:p>
      <w:pPr>
        <w:spacing w:after="0" w:line="18" w:lineRule="exact"/>
        <w:rPr>
          <w:sz w:val="20"/>
          <w:szCs w:val="20"/>
          <w:color w:val="auto"/>
        </w:rPr>
      </w:pPr>
    </w:p>
    <w:p>
      <w:pPr>
        <w:ind w:left="240"/>
        <w:spacing w:after="0" w:line="244"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March 3, 2015 to facilitate timely delivery.</w:t>
      </w:r>
    </w:p>
    <w:p>
      <w:pPr>
        <w:spacing w:after="0" w:line="25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32"/>
          <w:szCs w:val="32"/>
          <w:b w:val="1"/>
          <w:bCs w:val="1"/>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2171065</wp:posOffset>
            </wp:positionH>
            <wp:positionV relativeFrom="paragraph">
              <wp:posOffset>-100330</wp:posOffset>
            </wp:positionV>
            <wp:extent cx="2228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4203700</wp:posOffset>
            </wp:positionH>
            <wp:positionV relativeFrom="paragraph">
              <wp:posOffset>-100330</wp:posOffset>
            </wp:positionV>
            <wp:extent cx="2146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17"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49530</wp:posOffset>
            </wp:positionV>
            <wp:extent cx="7040880" cy="10979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40880" cy="1097915"/>
                    </a:xfrm>
                    <a:prstGeom prst="rect">
                      <a:avLst/>
                    </a:prstGeom>
                    <a:noFill/>
                  </pic:spPr>
                </pic:pic>
              </a:graphicData>
            </a:graphic>
          </wp:anchor>
        </w:drawing>
      </w:r>
    </w:p>
    <w:p>
      <w:pPr>
        <w:spacing w:after="0" w:line="199"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shareholder meetings have attendance requirements. Please check the meeting materials for any special</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for meeting attendance. At the meeting, you will need to request a ballot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-231775</wp:posOffset>
            </wp:positionV>
            <wp:extent cx="68580" cy="926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9264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 the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arrow </w:t>
      </w:r>
      <w:r>
        <w:rPr>
          <w:sz w:val="1"/>
          <w:szCs w:val="1"/>
          <w:color w:val="auto"/>
        </w:rPr>
        <w:drawing>
          <wp:inline distT="0" distB="0" distL="0" distR="0">
            <wp:extent cx="133794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37945" cy="128905"/>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follow the instructions.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ectPr>
          <w:pgSz w:w="11900" w:h="16838" w:orient="portrait"/>
          <w:cols w:equalWidth="0" w:num="1">
            <w:col w:w="10540"/>
          </w:cols>
          <w:pgMar w:left="840" w:top="241" w:right="519" w:bottom="1440" w:gutter="0" w:footer="0" w:header="0"/>
          <w:type w:val="continuous"/>
        </w:sectPr>
      </w:pPr>
    </w:p>
    <w:bookmarkStart w:id="3" w:name="page4"/>
    <w:bookmarkEnd w:id="3"/>
    <w:p>
      <w:pPr>
        <w:ind w:left="12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663575</wp:posOffset>
            </wp:positionH>
            <wp:positionV relativeFrom="page">
              <wp:posOffset>183515</wp:posOffset>
            </wp:positionV>
            <wp:extent cx="271843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18435" cy="128905"/>
                    </a:xfrm>
                    <a:prstGeom prst="rect">
                      <a:avLst/>
                    </a:prstGeom>
                    <a:noFill/>
                  </pic:spPr>
                </pic:pic>
              </a:graphicData>
            </a:graphic>
          </wp:anchor>
        </w:drawing>
        <w:t>Voting Items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you vote FOR the following:</w:t>
      </w:r>
    </w:p>
    <w:p>
      <w:pPr>
        <w:spacing w:after="0" w:line="66" w:lineRule="exact"/>
        <w:rPr>
          <w:sz w:val="20"/>
          <w:szCs w:val="20"/>
          <w:color w:val="auto"/>
        </w:rPr>
      </w:pPr>
    </w:p>
    <w:p>
      <w:pPr>
        <w:ind w:left="300" w:hanging="300"/>
        <w:spacing w:after="0"/>
        <w:tabs>
          <w:tab w:leader="none" w:pos="300" w:val="left"/>
        </w:tabs>
        <w:numPr>
          <w:ilvl w:val="0"/>
          <w:numId w:val="7"/>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80" w:lineRule="exact"/>
        <w:rPr>
          <w:rFonts w:ascii="Arial" w:cs="Arial" w:eastAsia="Arial" w:hAnsi="Arial"/>
          <w:sz w:val="14"/>
          <w:szCs w:val="14"/>
          <w:color w:val="auto"/>
        </w:rPr>
      </w:pPr>
    </w:p>
    <w:p>
      <w:pPr>
        <w:ind w:left="300"/>
        <w:spacing w:after="0"/>
        <w:rPr>
          <w:rFonts w:ascii="Arial" w:cs="Arial" w:eastAsia="Arial" w:hAnsi="Arial"/>
          <w:sz w:val="14"/>
          <w:szCs w:val="14"/>
          <w:color w:val="auto"/>
        </w:rPr>
      </w:pPr>
      <w:r>
        <w:rPr>
          <w:rFonts w:ascii="Arial" w:cs="Arial" w:eastAsia="Arial" w:hAnsi="Arial"/>
          <w:sz w:val="14"/>
          <w:szCs w:val="14"/>
          <w:b w:val="1"/>
          <w:bCs w:val="1"/>
          <w:color w:val="auto"/>
        </w:rPr>
        <w:t>Nominees:</w:t>
      </w:r>
    </w:p>
    <w:p>
      <w:pPr>
        <w:spacing w:after="0" w:line="70" w:lineRule="exact"/>
        <w:rPr>
          <w:rFonts w:ascii="Arial" w:cs="Arial" w:eastAsia="Arial" w:hAnsi="Arial"/>
          <w:sz w:val="14"/>
          <w:szCs w:val="14"/>
          <w:color w:val="auto"/>
        </w:rPr>
      </w:pPr>
    </w:p>
    <w:p>
      <w:pPr>
        <w:ind w:left="540" w:hanging="240"/>
        <w:spacing w:after="0"/>
        <w:tabs>
          <w:tab w:leader="none" w:pos="540" w:val="left"/>
        </w:tabs>
        <w:numPr>
          <w:ilvl w:val="1"/>
          <w:numId w:val="7"/>
        </w:numPr>
        <w:rPr>
          <w:rFonts w:ascii="Arial" w:cs="Arial" w:eastAsia="Arial" w:hAnsi="Arial"/>
          <w:sz w:val="14"/>
          <w:szCs w:val="14"/>
          <w:color w:val="auto"/>
        </w:rPr>
      </w:pPr>
      <w:r>
        <w:rPr>
          <w:rFonts w:ascii="Arial" w:cs="Arial" w:eastAsia="Arial" w:hAnsi="Arial"/>
          <w:sz w:val="14"/>
          <w:szCs w:val="14"/>
          <w:color w:val="auto"/>
        </w:rPr>
        <w:t>Janet K. Cooper</w:t>
      </w:r>
    </w:p>
    <w:p>
      <w:pPr>
        <w:spacing w:after="0" w:line="17" w:lineRule="exact"/>
        <w:rPr>
          <w:rFonts w:ascii="Arial" w:cs="Arial" w:eastAsia="Arial" w:hAnsi="Arial"/>
          <w:sz w:val="14"/>
          <w:szCs w:val="14"/>
          <w:color w:val="auto"/>
        </w:rPr>
      </w:pPr>
    </w:p>
    <w:p>
      <w:pPr>
        <w:ind w:left="540" w:hanging="240"/>
        <w:spacing w:after="0" w:line="221" w:lineRule="auto"/>
        <w:tabs>
          <w:tab w:leader="none" w:pos="540" w:val="left"/>
        </w:tabs>
        <w:numPr>
          <w:ilvl w:val="1"/>
          <w:numId w:val="7"/>
        </w:numPr>
        <w:rPr>
          <w:rFonts w:ascii="Arial" w:cs="Arial" w:eastAsia="Arial" w:hAnsi="Arial"/>
          <w:sz w:val="14"/>
          <w:szCs w:val="14"/>
          <w:color w:val="auto"/>
        </w:rPr>
      </w:pPr>
      <w:r>
        <w:rPr>
          <w:rFonts w:ascii="Arial" w:cs="Arial" w:eastAsia="Arial" w:hAnsi="Arial"/>
          <w:sz w:val="14"/>
          <w:szCs w:val="14"/>
          <w:color w:val="auto"/>
        </w:rPr>
        <w:t>Gary L. Ellis</w:t>
      </w:r>
    </w:p>
    <w:p>
      <w:pPr>
        <w:ind w:left="540" w:hanging="240"/>
        <w:spacing w:after="0"/>
        <w:tabs>
          <w:tab w:leader="none" w:pos="540" w:val="left"/>
        </w:tabs>
        <w:numPr>
          <w:ilvl w:val="1"/>
          <w:numId w:val="7"/>
        </w:numPr>
        <w:rPr>
          <w:rFonts w:ascii="Arial" w:cs="Arial" w:eastAsia="Arial" w:hAnsi="Arial"/>
          <w:sz w:val="14"/>
          <w:szCs w:val="14"/>
          <w:color w:val="auto"/>
        </w:rPr>
      </w:pPr>
      <w:r>
        <w:rPr>
          <w:rFonts w:ascii="Arial" w:cs="Arial" w:eastAsia="Arial" w:hAnsi="Arial"/>
          <w:sz w:val="14"/>
          <w:szCs w:val="14"/>
          <w:color w:val="auto"/>
        </w:rPr>
        <w:t>Gregg W. Steinhafel</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you vote FOR proposals 2, 3 and 4.</w:t>
      </w:r>
    </w:p>
    <w:p>
      <w:pPr>
        <w:spacing w:after="0" w:line="152" w:lineRule="exact"/>
        <w:rPr>
          <w:sz w:val="20"/>
          <w:szCs w:val="20"/>
          <w:color w:val="auto"/>
        </w:rPr>
      </w:pPr>
    </w:p>
    <w:p>
      <w:pPr>
        <w:ind w:left="300" w:hanging="300"/>
        <w:spacing w:after="0"/>
        <w:tabs>
          <w:tab w:leader="none" w:pos="300" w:val="left"/>
        </w:tabs>
        <w:numPr>
          <w:ilvl w:val="0"/>
          <w:numId w:val="8"/>
        </w:numPr>
        <w:rPr>
          <w:rFonts w:ascii="Arial" w:cs="Arial" w:eastAsia="Arial" w:hAnsi="Arial"/>
          <w:sz w:val="12"/>
          <w:szCs w:val="12"/>
          <w:color w:val="auto"/>
        </w:rPr>
      </w:pPr>
      <w:r>
        <w:rPr>
          <w:rFonts w:ascii="Arial" w:cs="Arial" w:eastAsia="Arial" w:hAnsi="Arial"/>
          <w:sz w:val="12"/>
          <w:szCs w:val="12"/>
          <w:color w:val="auto"/>
        </w:rPr>
        <w:t>Ratification of the selection of KPMG LLP as our independent registered public accounting firm for our fiscal year ending October 31, 2015.</w:t>
      </w:r>
    </w:p>
    <w:p>
      <w:pPr>
        <w:spacing w:after="0" w:line="159" w:lineRule="exact"/>
        <w:rPr>
          <w:rFonts w:ascii="Arial" w:cs="Arial" w:eastAsia="Arial" w:hAnsi="Arial"/>
          <w:sz w:val="12"/>
          <w:szCs w:val="12"/>
          <w:color w:val="auto"/>
        </w:rPr>
      </w:pPr>
    </w:p>
    <w:p>
      <w:pPr>
        <w:ind w:left="300" w:hanging="300"/>
        <w:spacing w:after="0"/>
        <w:tabs>
          <w:tab w:leader="none" w:pos="300" w:val="left"/>
        </w:tabs>
        <w:numPr>
          <w:ilvl w:val="0"/>
          <w:numId w:val="8"/>
        </w:numPr>
        <w:rPr>
          <w:rFonts w:ascii="Arial" w:cs="Arial" w:eastAsia="Arial" w:hAnsi="Arial"/>
          <w:sz w:val="14"/>
          <w:szCs w:val="14"/>
          <w:color w:val="auto"/>
        </w:rPr>
      </w:pPr>
      <w:r>
        <w:rPr>
          <w:rFonts w:ascii="Arial" w:cs="Arial" w:eastAsia="Arial" w:hAnsi="Arial"/>
          <w:sz w:val="14"/>
          <w:szCs w:val="14"/>
          <w:color w:val="auto"/>
        </w:rPr>
        <w:t>Approval, on an advisory basis, of our executive compensation.</w:t>
      </w:r>
    </w:p>
    <w:p>
      <w:pPr>
        <w:spacing w:after="0" w:line="136" w:lineRule="exact"/>
        <w:rPr>
          <w:rFonts w:ascii="Arial" w:cs="Arial" w:eastAsia="Arial" w:hAnsi="Arial"/>
          <w:sz w:val="14"/>
          <w:szCs w:val="14"/>
          <w:color w:val="auto"/>
        </w:rPr>
      </w:pPr>
    </w:p>
    <w:p>
      <w:pPr>
        <w:ind w:left="300" w:hanging="300"/>
        <w:spacing w:after="0"/>
        <w:tabs>
          <w:tab w:leader="none" w:pos="300" w:val="left"/>
        </w:tabs>
        <w:numPr>
          <w:ilvl w:val="0"/>
          <w:numId w:val="8"/>
        </w:numPr>
        <w:rPr>
          <w:rFonts w:ascii="Arial" w:cs="Arial" w:eastAsia="Arial" w:hAnsi="Arial"/>
          <w:sz w:val="14"/>
          <w:szCs w:val="14"/>
          <w:color w:val="auto"/>
        </w:rPr>
      </w:pPr>
      <w:r>
        <w:rPr>
          <w:rFonts w:ascii="Arial" w:cs="Arial" w:eastAsia="Arial" w:hAnsi="Arial"/>
          <w:sz w:val="14"/>
          <w:szCs w:val="14"/>
          <w:color w:val="auto"/>
        </w:rPr>
        <w:t>Approval of The Toro Company Amended and Restated 2010 Equity and Incentive Plan.</w:t>
      </w:r>
    </w:p>
    <w:p>
      <w:pPr>
        <w:spacing w:after="0" w:line="134" w:lineRule="exact"/>
        <w:rPr>
          <w:sz w:val="20"/>
          <w:szCs w:val="20"/>
          <w:color w:val="auto"/>
        </w:rPr>
      </w:pPr>
    </w:p>
    <w:p>
      <w:pPr>
        <w:ind w:right="1319"/>
        <w:spacing w:after="0" w:line="253"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In their discretion, the proxies are authorized to vote on any other business properly brought before the annual meeting or any</w:t>
      </w:r>
      <w:r>
        <w:rPr>
          <w:rFonts w:ascii="Arial" w:cs="Arial" w:eastAsia="Arial" w:hAnsi="Arial"/>
          <w:sz w:val="14"/>
          <w:szCs w:val="14"/>
          <w:b w:val="1"/>
          <w:bCs w:val="1"/>
          <w:color w:val="auto"/>
        </w:rPr>
        <w:t xml:space="preserve"> </w:t>
      </w:r>
      <w:r>
        <w:rPr>
          <w:rFonts w:ascii="Arial" w:cs="Arial" w:eastAsia="Arial" w:hAnsi="Arial"/>
          <w:sz w:val="14"/>
          <w:szCs w:val="14"/>
          <w:color w:val="auto"/>
        </w:rPr>
        <w:t>adjournment or postponement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173355</wp:posOffset>
            </wp:positionV>
            <wp:extent cx="68580" cy="926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926465"/>
                    </a:xfrm>
                    <a:prstGeom prst="rect">
                      <a:avLst/>
                    </a:prstGeom>
                    <a:noFill/>
                  </pic:spPr>
                </pic:pic>
              </a:graphicData>
            </a:graphic>
          </wp:anchor>
        </w:drawing>
      </w:r>
    </w:p>
    <w:p>
      <w:pPr>
        <w:sectPr>
          <w:pgSz w:w="11900" w:h="16838" w:orient="portrait"/>
          <w:cols w:equalWidth="0" w:num="1">
            <w:col w:w="9279"/>
          </w:cols>
          <w:pgMar w:left="1180" w:top="296" w:right="1440"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1640840</wp:posOffset>
            </wp:positionV>
            <wp:extent cx="72466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1675130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
      <w:numFmt w:val="bullet"/>
      <w:start w:val="1"/>
    </w:lvl>
    <w:lvl w:ilvl="1">
      <w:lvlJc w:val="left"/>
      <w:lvlText w:val="%2)"/>
      <w:numFmt w:val="decimal"/>
      <w:start w:val="2"/>
    </w:lvl>
  </w:abstractNum>
  <w:abstractNum w:abstractNumId="6">
    <w:nsid w:val="79E2A9E3"/>
    <w:multiLevelType w:val="hybridMultilevel"/>
    <w:lvl w:ilvl="0">
      <w:lvlJc w:val="left"/>
      <w:lvlText w:val="%1."/>
      <w:numFmt w:val="decimal"/>
      <w:start w:val="1"/>
    </w:lvl>
    <w:lvl w:ilvl="1">
      <w:lvlJc w:val="left"/>
      <w:lvlText w:val="%2)"/>
      <w:numFmt w:val="decimal"/>
      <w:start w:val="1"/>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2019-12-05T22:05:47Z</dcterms:created>
  <dcterms:modified xsi:type="dcterms:W3CDTF">2019-12-05T22:05:47Z</dcterms:modified>
</cp:coreProperties>
</file>