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847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47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Svendsen Kurt 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20" w:type="dxa"/>
            <w:vAlign w:val="bottom"/>
          </w:tcPr>
          <w:p>
            <w:pPr>
              <w:ind w:left="420"/>
              <w:spacing w:after="0"/>
              <w:rPr>
                <w:sz w:val="20"/>
                <w:szCs w:val="20"/>
                <w:color w:val="auto"/>
              </w:rPr>
            </w:pPr>
            <w:r>
              <w:rPr>
                <w:rFonts w:ascii="Arial" w:cs="Arial" w:eastAsia="Arial" w:hAnsi="Arial"/>
                <w:sz w:val="13"/>
                <w:szCs w:val="13"/>
                <w:color w:val="auto"/>
              </w:rPr>
              <w:t>(First)</w:t>
            </w:r>
          </w:p>
        </w:tc>
        <w:tc>
          <w:tcPr>
            <w:tcW w:w="84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5"/>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4"/>
              </w:rPr>
              <w:t>8111 LYNDALE AVENUE SOUTH</w:t>
            </w:r>
          </w:p>
        </w:tc>
        <w:tc>
          <w:tcPr>
            <w:tcW w:w="840" w:type="dxa"/>
            <w:vAlign w:val="bottom"/>
          </w:tcPr>
          <w:p>
            <w:pPr>
              <w:spacing w:after="0"/>
              <w:rPr>
                <w:sz w:val="23"/>
                <w:szCs w:val="23"/>
                <w:color w:val="auto"/>
              </w:rPr>
            </w:pPr>
          </w:p>
        </w:tc>
      </w:tr>
      <w:tr>
        <w:trPr>
          <w:trHeight w:val="474"/>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BLOOMINGTON MN</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4"/>
              </w:rPr>
              <w:t>55420-1196</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20" w:type="dxa"/>
            <w:vAlign w:val="bottom"/>
          </w:tcPr>
          <w:p>
            <w:pPr>
              <w:ind w:left="420"/>
              <w:spacing w:after="0"/>
              <w:rPr>
                <w:sz w:val="20"/>
                <w:szCs w:val="20"/>
                <w:color w:val="auto"/>
              </w:rPr>
            </w:pPr>
            <w:r>
              <w:rPr>
                <w:rFonts w:ascii="Arial" w:cs="Arial" w:eastAsia="Arial" w:hAnsi="Arial"/>
                <w:sz w:val="13"/>
                <w:szCs w:val="13"/>
                <w:color w:val="auto"/>
              </w:rPr>
              <w:t>(State)</w:t>
            </w:r>
          </w:p>
        </w:tc>
        <w:tc>
          <w:tcPr>
            <w:tcW w:w="84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VP, Technology</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right"/>
              <w:ind w:right="8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03/01/2024</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457.595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92.05</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11,252.376</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03/01/2024</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165</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11,087.376</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11,109.237</w:t>
            </w:r>
            <w:r>
              <w:rPr>
                <w:rFonts w:ascii="Times New Roman" w:cs="Times New Roman" w:eastAsia="Times New Roman" w:hAnsi="Times New Roman"/>
                <w:sz w:val="21"/>
                <w:szCs w:val="21"/>
                <w:color w:val="008000"/>
                <w:w w:val="92"/>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13"/>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4,812.609</w:t>
            </w:r>
            <w:r>
              <w:rPr>
                <w:rFonts w:ascii="Times New Roman" w:cs="Times New Roman" w:eastAsia="Times New Roman" w:hAnsi="Times New Roman"/>
                <w:sz w:val="21"/>
                <w:szCs w:val="21"/>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7"/>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457.595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03/01/2024</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457.595</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905.212</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42.478 shares acquired by the reporting person since the date of his last report under a dividend reinvestment feature of the account in which the shares are held.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44.003 net shares acquired under the dividend reinvestment feature of The Toro Company Retirement Plan less quarterly non-discretionary administrative fees.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18.925 performance share units acquired by the reporting person since the date of his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297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2024-03-05T14:26:46Z</dcterms:created>
  <dcterms:modified xsi:type="dcterms:W3CDTF">2024-03-05T14:26:46Z</dcterms:modified>
</cp:coreProperties>
</file>