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March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47"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20"/>
          <w:szCs w:val="20"/>
          <w:color w:val="auto"/>
        </w:rPr>
        <w:t>The Toro Company (“TTC”) held its 2025 Annual Meeting of Shareholders on March 18, 2025. The final results for each proposal submitted to a vote of TTC’s shareholders at the meeting were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One—</w:t>
            </w:r>
          </w:p>
        </w:tc>
        <w:tc>
          <w:tcPr>
            <w:tcW w:w="23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4"/>
        </w:trPr>
        <w:tc>
          <w:tcPr>
            <w:tcW w:w="25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Election of three director</w:t>
            </w: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nominees, each to serve for a</w:t>
            </w: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term ending at the 2028 annual</w:t>
            </w: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of shareholders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Jeffrey L. Harmening</w:t>
            </w:r>
          </w:p>
        </w:tc>
        <w:tc>
          <w:tcPr>
            <w:tcW w:w="2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76,892,826</w:t>
            </w:r>
          </w:p>
        </w:tc>
        <w:tc>
          <w:tcPr>
            <w:tcW w:w="280" w:type="dxa"/>
            <w:vAlign w:val="bottom"/>
          </w:tcPr>
          <w:p>
            <w:pPr>
              <w:spacing w:after="0"/>
              <w:rPr>
                <w:sz w:val="20"/>
                <w:szCs w:val="20"/>
                <w:color w:val="auto"/>
              </w:rPr>
            </w:pPr>
          </w:p>
        </w:tc>
        <w:tc>
          <w:tcPr>
            <w:tcW w:w="2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9,949,847</w:t>
            </w:r>
          </w:p>
        </w:tc>
        <w:tc>
          <w:tcPr>
            <w:tcW w:w="280" w:type="dxa"/>
            <w:vAlign w:val="bottom"/>
          </w:tcPr>
          <w:p>
            <w:pPr>
              <w:spacing w:after="0"/>
              <w:rPr>
                <w:sz w:val="20"/>
                <w:szCs w:val="20"/>
                <w:color w:val="auto"/>
              </w:rPr>
            </w:pPr>
          </w:p>
        </w:tc>
        <w:tc>
          <w:tcPr>
            <w:tcW w:w="1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6,160,066</w:t>
            </w:r>
          </w:p>
        </w:tc>
        <w:tc>
          <w:tcPr>
            <w:tcW w:w="0" w:type="dxa"/>
            <w:vAlign w:val="bottom"/>
          </w:tcPr>
          <w:p>
            <w:pPr>
              <w:spacing w:after="0"/>
              <w:rPr>
                <w:sz w:val="1"/>
                <w:szCs w:val="1"/>
                <w:color w:val="auto"/>
              </w:rPr>
            </w:pPr>
          </w:p>
        </w:tc>
      </w:tr>
      <w:tr>
        <w:trPr>
          <w:trHeight w:val="27"/>
        </w:trPr>
        <w:tc>
          <w:tcPr>
            <w:tcW w:w="2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Joyce A. Mullen</w:t>
            </w: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60" w:type="dxa"/>
            <w:vAlign w:val="bottom"/>
            <w:vMerge w:val="continue"/>
          </w:tcPr>
          <w:p>
            <w:pPr>
              <w:spacing w:after="0"/>
              <w:rPr>
                <w:sz w:val="19"/>
                <w:szCs w:val="19"/>
                <w:color w:val="auto"/>
              </w:rPr>
            </w:pPr>
          </w:p>
        </w:tc>
        <w:tc>
          <w:tcPr>
            <w:tcW w:w="20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76,056,523</w:t>
            </w:r>
          </w:p>
        </w:tc>
        <w:tc>
          <w:tcPr>
            <w:tcW w:w="280" w:type="dxa"/>
            <w:vAlign w:val="bottom"/>
          </w:tcPr>
          <w:p>
            <w:pPr>
              <w:spacing w:after="0"/>
              <w:rPr>
                <w:sz w:val="19"/>
                <w:szCs w:val="19"/>
                <w:color w:val="auto"/>
              </w:rPr>
            </w:pPr>
          </w:p>
        </w:tc>
        <w:tc>
          <w:tcPr>
            <w:tcW w:w="202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10,786,150</w:t>
            </w:r>
          </w:p>
        </w:tc>
        <w:tc>
          <w:tcPr>
            <w:tcW w:w="280" w:type="dxa"/>
            <w:vAlign w:val="bottom"/>
          </w:tcPr>
          <w:p>
            <w:pPr>
              <w:spacing w:after="0"/>
              <w:rPr>
                <w:sz w:val="19"/>
                <w:szCs w:val="19"/>
                <w:color w:val="auto"/>
              </w:rPr>
            </w:pPr>
          </w:p>
        </w:tc>
        <w:tc>
          <w:tcPr>
            <w:tcW w:w="15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6,160,066</w:t>
            </w:r>
          </w:p>
        </w:tc>
        <w:tc>
          <w:tcPr>
            <w:tcW w:w="0" w:type="dxa"/>
            <w:vAlign w:val="bottom"/>
          </w:tcPr>
          <w:p>
            <w:pPr>
              <w:spacing w:after="0"/>
              <w:rPr>
                <w:sz w:val="1"/>
                <w:szCs w:val="1"/>
                <w:color w:val="auto"/>
              </w:rPr>
            </w:pPr>
          </w:p>
        </w:tc>
      </w:tr>
      <w:tr>
        <w:trPr>
          <w:trHeight w:val="22"/>
        </w:trPr>
        <w:tc>
          <w:tcPr>
            <w:tcW w:w="2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James C. O'Rourke</w:t>
            </w: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560" w:type="dxa"/>
            <w:vAlign w:val="bottom"/>
            <w:vMerge w:val="continue"/>
          </w:tcPr>
          <w:p>
            <w:pPr>
              <w:spacing w:after="0"/>
              <w:rPr>
                <w:sz w:val="19"/>
                <w:szCs w:val="19"/>
                <w:color w:val="auto"/>
              </w:rPr>
            </w:pPr>
          </w:p>
        </w:tc>
        <w:tc>
          <w:tcPr>
            <w:tcW w:w="20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72,866,597</w:t>
            </w:r>
          </w:p>
        </w:tc>
        <w:tc>
          <w:tcPr>
            <w:tcW w:w="280" w:type="dxa"/>
            <w:vAlign w:val="bottom"/>
          </w:tcPr>
          <w:p>
            <w:pPr>
              <w:spacing w:after="0"/>
              <w:rPr>
                <w:sz w:val="19"/>
                <w:szCs w:val="19"/>
                <w:color w:val="auto"/>
              </w:rPr>
            </w:pPr>
          </w:p>
        </w:tc>
        <w:tc>
          <w:tcPr>
            <w:tcW w:w="202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13,976,076</w:t>
            </w:r>
          </w:p>
        </w:tc>
        <w:tc>
          <w:tcPr>
            <w:tcW w:w="280" w:type="dxa"/>
            <w:vAlign w:val="bottom"/>
          </w:tcPr>
          <w:p>
            <w:pPr>
              <w:spacing w:after="0"/>
              <w:rPr>
                <w:sz w:val="19"/>
                <w:szCs w:val="19"/>
                <w:color w:val="auto"/>
              </w:rPr>
            </w:pPr>
          </w:p>
        </w:tc>
        <w:tc>
          <w:tcPr>
            <w:tcW w:w="15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6,160,066</w:t>
            </w:r>
          </w:p>
        </w:tc>
        <w:tc>
          <w:tcPr>
            <w:tcW w:w="0" w:type="dxa"/>
            <w:vAlign w:val="bottom"/>
          </w:tcPr>
          <w:p>
            <w:pPr>
              <w:spacing w:after="0"/>
              <w:rPr>
                <w:sz w:val="1"/>
                <w:szCs w:val="1"/>
                <w:color w:val="auto"/>
              </w:rPr>
            </w:pPr>
          </w:p>
        </w:tc>
      </w:tr>
      <w:tr>
        <w:trPr>
          <w:trHeight w:val="22"/>
        </w:trPr>
        <w:tc>
          <w:tcPr>
            <w:tcW w:w="25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Election of one director nominee</w:t>
            </w: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56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 serve for a term ending at the</w:t>
            </w: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2027 annual meeting of</w:t>
            </w: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Richard M. Olson</w:t>
            </w:r>
          </w:p>
        </w:tc>
        <w:tc>
          <w:tcPr>
            <w:tcW w:w="2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83,347,473</w:t>
            </w:r>
          </w:p>
        </w:tc>
        <w:tc>
          <w:tcPr>
            <w:tcW w:w="280" w:type="dxa"/>
            <w:vAlign w:val="bottom"/>
          </w:tcPr>
          <w:p>
            <w:pPr>
              <w:spacing w:after="0"/>
              <w:rPr>
                <w:sz w:val="20"/>
                <w:szCs w:val="20"/>
                <w:color w:val="auto"/>
              </w:rPr>
            </w:pPr>
          </w:p>
        </w:tc>
        <w:tc>
          <w:tcPr>
            <w:tcW w:w="2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3,495,200</w:t>
            </w:r>
          </w:p>
        </w:tc>
        <w:tc>
          <w:tcPr>
            <w:tcW w:w="280" w:type="dxa"/>
            <w:vAlign w:val="bottom"/>
          </w:tcPr>
          <w:p>
            <w:pPr>
              <w:spacing w:after="0"/>
              <w:rPr>
                <w:sz w:val="20"/>
                <w:szCs w:val="20"/>
                <w:color w:val="auto"/>
              </w:rPr>
            </w:pPr>
          </w:p>
        </w:tc>
        <w:tc>
          <w:tcPr>
            <w:tcW w:w="1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6,160,066</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Two—Ratification</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4"/>
        </w:trPr>
        <w:tc>
          <w:tcPr>
            <w:tcW w:w="22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of the selection of KPMG</w:t>
            </w: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LLP as TTC’s independent</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registered public accounting</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firm for TTC’s fiscal year</w:t>
            </w: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October 31, 2025</w:t>
            </w:r>
          </w:p>
        </w:tc>
        <w:tc>
          <w:tcPr>
            <w:tcW w:w="20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89,443,854</w:t>
            </w:r>
          </w:p>
        </w:tc>
        <w:tc>
          <w:tcPr>
            <w:tcW w:w="300" w:type="dxa"/>
            <w:vAlign w:val="bottom"/>
          </w:tcPr>
          <w:p>
            <w:pPr>
              <w:spacing w:after="0"/>
              <w:rPr>
                <w:sz w:val="20"/>
                <w:szCs w:val="20"/>
                <w:color w:val="auto"/>
              </w:rPr>
            </w:pPr>
          </w:p>
        </w:tc>
        <w:tc>
          <w:tcPr>
            <w:tcW w:w="20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3,425,781</w:t>
            </w:r>
          </w:p>
        </w:tc>
        <w:tc>
          <w:tcPr>
            <w:tcW w:w="280" w:type="dxa"/>
            <w:vAlign w:val="bottom"/>
          </w:tcPr>
          <w:p>
            <w:pPr>
              <w:spacing w:after="0"/>
              <w:rPr>
                <w:sz w:val="20"/>
                <w:szCs w:val="20"/>
                <w:color w:val="auto"/>
              </w:rPr>
            </w:pPr>
          </w:p>
        </w:tc>
        <w:tc>
          <w:tcPr>
            <w:tcW w:w="20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133,104</w:t>
            </w:r>
          </w:p>
        </w:tc>
        <w:tc>
          <w:tcPr>
            <w:tcW w:w="280" w:type="dxa"/>
            <w:vAlign w:val="bottom"/>
          </w:tcPr>
          <w:p>
            <w:pPr>
              <w:spacing w:after="0"/>
              <w:rPr>
                <w:sz w:val="20"/>
                <w:szCs w:val="20"/>
                <w:color w:val="auto"/>
              </w:rPr>
            </w:pPr>
          </w:p>
        </w:tc>
        <w:tc>
          <w:tcPr>
            <w:tcW w:w="20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Three—</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Advisory approval of</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2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79,967,327</w:t>
            </w:r>
          </w:p>
        </w:tc>
        <w:tc>
          <w:tcPr>
            <w:tcW w:w="280" w:type="dxa"/>
            <w:vAlign w:val="bottom"/>
          </w:tcPr>
          <w:p>
            <w:pPr>
              <w:spacing w:after="0"/>
              <w:rPr>
                <w:sz w:val="20"/>
                <w:szCs w:val="20"/>
                <w:color w:val="auto"/>
              </w:rPr>
            </w:pPr>
          </w:p>
        </w:tc>
        <w:tc>
          <w:tcPr>
            <w:tcW w:w="20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6,073,139</w:t>
            </w:r>
          </w:p>
        </w:tc>
        <w:tc>
          <w:tcPr>
            <w:tcW w:w="28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802,207</w:t>
            </w:r>
          </w:p>
        </w:tc>
        <w:tc>
          <w:tcPr>
            <w:tcW w:w="320" w:type="dxa"/>
            <w:vAlign w:val="bottom"/>
          </w:tcPr>
          <w:p>
            <w:pPr>
              <w:spacing w:after="0"/>
              <w:rPr>
                <w:sz w:val="20"/>
                <w:szCs w:val="20"/>
                <w:color w:val="auto"/>
              </w:rPr>
            </w:pPr>
          </w:p>
        </w:tc>
        <w:tc>
          <w:tcPr>
            <w:tcW w:w="2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6,160,066</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Each of the director nominees in Proposal One was elected by TTC’s shareholders to serve for a term ending at the respective 2028 or 2027 annual meeting of shareholders by the required vote. Regarding TTC’s other directors (i) each of Dianne C. Craig, Eric P. Hansotia and D. Christian Koch will continue to serve as a director for a term ending at TTC’s 2026 Annual Meeting of Shareholders; and (ii) each of Gary L. Ellis and Jill M. Pemberton (as well as Richard M. Olson) will continue to serve as a director for a term ending at TTC’s 2027 Annual Meeting of Shareholders.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Proposal Two was approved by TTC’s shareholders by the required vote.</w:t>
      </w:r>
    </w:p>
    <w:p>
      <w:pPr>
        <w:spacing w:after="0" w:line="24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With respect to Proposal Three, TTC’s shareholders approved, on an advisory basis, the executive compensation of TTC’s named executive officers, as disclosed in TTC’s proxy statement pursuant to the compensation disclosure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58"/>
        </w:trPr>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360"/>
        <w:spacing w:after="0"/>
        <w:tabs>
          <w:tab w:leader="none" w:pos="4660" w:val="left"/>
        </w:tabs>
        <w:rPr>
          <w:sz w:val="20"/>
          <w:szCs w:val="20"/>
          <w:color w:val="auto"/>
        </w:rPr>
      </w:pPr>
      <w:r>
        <w:rPr>
          <w:rFonts w:ascii="Times New Roman" w:cs="Times New Roman" w:eastAsia="Times New Roman" w:hAnsi="Times New Roman"/>
          <w:sz w:val="20"/>
          <w:szCs w:val="20"/>
          <w:color w:val="auto"/>
        </w:rPr>
        <w:t>Date: March 21, 2025</w:t>
      </w:r>
      <w:r>
        <w:rPr>
          <w:sz w:val="20"/>
          <w:szCs w:val="20"/>
          <w:color w:val="auto"/>
        </w:rPr>
        <w:tab/>
      </w:r>
      <w:r>
        <w:rPr>
          <w:rFonts w:ascii="Times New Roman" w:cs="Times New Roman" w:eastAsia="Times New Roman" w:hAnsi="Times New Roman"/>
          <w:sz w:val="19"/>
          <w:szCs w:val="19"/>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22860</wp:posOffset>
            </wp:positionV>
            <wp:extent cx="3968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Joanna M. Totsky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sectPr>
      <w:pgSz w:w="11900" w:h="16838" w:orient="portrait"/>
      <w:cols w:equalWidth="0" w:num="1">
        <w:col w:w="11020"/>
      </w:cols>
      <w:pgMar w:left="320" w:top="88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2025-03-21T16:54:49Z</dcterms:created>
  <dcterms:modified xsi:type="dcterms:W3CDTF">2025-03-21T16:54:49Z</dcterms:modified>
</cp:coreProperties>
</file>