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3" w:lineRule="exact"/>
        <w:rPr>
          <w:sz w:val="24"/>
          <w:szCs w:val="24"/>
          <w:color w:val="auto"/>
        </w:rPr>
      </w:pPr>
    </w:p>
    <w:tbl>
      <w:tblPr>
        <w:tblLayout w:type="fixed"/>
        <w:tblInd w:w="700" w:type="dxa"/>
        <w:tblCellMar>
          <w:top w:w="0" w:type="dxa"/>
          <w:left w:w="0" w:type="dxa"/>
          <w:bottom w:w="0" w:type="dxa"/>
          <w:right w:w="0" w:type="dxa"/>
        </w:tblCellMar>
      </w:tblPr>
      <w:tr>
        <w:trPr>
          <w:trHeight w:val="242"/>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91"/>
              </w:rPr>
              <w:t>Delaware</w:t>
            </w:r>
          </w:p>
        </w:tc>
        <w:tc>
          <w:tcPr>
            <w:tcW w:w="4320" w:type="dxa"/>
            <w:vAlign w:val="bottom"/>
          </w:tcPr>
          <w:p>
            <w:pPr>
              <w:jc w:val="center"/>
              <w:spacing w:after="0"/>
              <w:rPr>
                <w:sz w:val="20"/>
                <w:szCs w:val="20"/>
                <w:color w:val="auto"/>
              </w:rPr>
            </w:pPr>
            <w:r>
              <w:rPr>
                <w:rFonts w:ascii="Arial" w:cs="Arial" w:eastAsia="Arial" w:hAnsi="Arial"/>
                <w:sz w:val="20"/>
                <w:szCs w:val="20"/>
                <w:b w:val="1"/>
                <w:bCs w:val="1"/>
                <w:color w:val="auto"/>
                <w:w w:val="89"/>
              </w:rPr>
              <w:t>1-8649</w:t>
            </w:r>
          </w:p>
        </w:tc>
        <w:tc>
          <w:tcPr>
            <w:tcW w:w="2580" w:type="dxa"/>
            <w:vAlign w:val="bottom"/>
          </w:tcPr>
          <w:p>
            <w:pPr>
              <w:jc w:val="right"/>
              <w:ind w:right="550"/>
              <w:spacing w:after="0"/>
              <w:rPr>
                <w:sz w:val="20"/>
                <w:szCs w:val="20"/>
                <w:color w:val="auto"/>
              </w:rPr>
            </w:pPr>
            <w:r>
              <w:rPr>
                <w:rFonts w:ascii="Arial" w:cs="Arial" w:eastAsia="Arial" w:hAnsi="Arial"/>
                <w:sz w:val="20"/>
                <w:szCs w:val="20"/>
                <w:b w:val="1"/>
                <w:bCs w:val="1"/>
                <w:color w:val="auto"/>
              </w:rPr>
              <w:t>41-0580470</w:t>
            </w:r>
          </w:p>
        </w:tc>
      </w:tr>
      <w:tr>
        <w:trPr>
          <w:trHeight w:val="203"/>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4"/>
              </w:rPr>
              <w:t>(State or other jurisdiction</w:t>
            </w:r>
          </w:p>
        </w:tc>
        <w:tc>
          <w:tcPr>
            <w:tcW w:w="4320" w:type="dxa"/>
            <w:vAlign w:val="bottom"/>
          </w:tcPr>
          <w:p>
            <w:pPr>
              <w:jc w:val="center"/>
              <w:spacing w:after="0"/>
              <w:rPr>
                <w:sz w:val="20"/>
                <w:szCs w:val="20"/>
                <w:color w:val="auto"/>
              </w:rPr>
            </w:pPr>
            <w:r>
              <w:rPr>
                <w:rFonts w:ascii="Arial" w:cs="Arial" w:eastAsia="Arial" w:hAnsi="Arial"/>
                <w:sz w:val="16"/>
                <w:szCs w:val="16"/>
                <w:color w:val="auto"/>
                <w:w w:val="93"/>
              </w:rPr>
              <w:t>(Commission File Number)</w:t>
            </w: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6"/>
              </w:rPr>
              <w:t>(IRS Employer Identification No.)</w:t>
            </w:r>
          </w:p>
        </w:tc>
      </w:tr>
      <w:tr>
        <w:trPr>
          <w:trHeight w:val="206"/>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6"/>
              </w:rPr>
              <w:t>of incorporation)</w:t>
            </w:r>
          </w:p>
        </w:tc>
        <w:tc>
          <w:tcPr>
            <w:tcW w:w="43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429"/>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87"/>
              </w:rPr>
              <w:t>8111 Lyndale Avenue South</w:t>
            </w:r>
          </w:p>
        </w:tc>
        <w:tc>
          <w:tcPr>
            <w:tcW w:w="4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2"/>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89"/>
              </w:rPr>
              <w:t>Bloomington, Minnesota</w:t>
            </w:r>
          </w:p>
        </w:tc>
        <w:tc>
          <w:tcPr>
            <w:tcW w:w="4320" w:type="dxa"/>
            <w:vAlign w:val="bottom"/>
          </w:tcPr>
          <w:p>
            <w:pPr>
              <w:spacing w:after="0"/>
              <w:rPr>
                <w:sz w:val="21"/>
                <w:szCs w:val="21"/>
                <w:color w:val="auto"/>
              </w:rPr>
            </w:pPr>
          </w:p>
        </w:tc>
        <w:tc>
          <w:tcPr>
            <w:tcW w:w="2580" w:type="dxa"/>
            <w:vAlign w:val="bottom"/>
          </w:tcPr>
          <w:p>
            <w:pPr>
              <w:jc w:val="right"/>
              <w:ind w:right="790"/>
              <w:spacing w:after="0"/>
              <w:rPr>
                <w:sz w:val="20"/>
                <w:szCs w:val="20"/>
                <w:color w:val="auto"/>
              </w:rPr>
            </w:pPr>
            <w:r>
              <w:rPr>
                <w:rFonts w:ascii="Arial" w:cs="Arial" w:eastAsia="Arial" w:hAnsi="Arial"/>
                <w:sz w:val="20"/>
                <w:szCs w:val="20"/>
                <w:b w:val="1"/>
                <w:bCs w:val="1"/>
                <w:color w:val="auto"/>
              </w:rPr>
              <w:t>55420</w:t>
            </w:r>
          </w:p>
        </w:tc>
      </w:tr>
      <w:tr>
        <w:trPr>
          <w:trHeight w:val="206"/>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3"/>
              </w:rPr>
              <w:t>(Address of principal executive offices)</w:t>
            </w:r>
          </w:p>
        </w:tc>
        <w:tc>
          <w:tcPr>
            <w:tcW w:w="4320" w:type="dxa"/>
            <w:vAlign w:val="bottom"/>
          </w:tcPr>
          <w:p>
            <w:pPr>
              <w:spacing w:after="0"/>
              <w:rPr>
                <w:sz w:val="17"/>
                <w:szCs w:val="17"/>
                <w:color w:val="auto"/>
              </w:rPr>
            </w:pP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5"/>
              </w:rPr>
              <w:t>(Zip Code)</w:t>
            </w:r>
          </w:p>
        </w:tc>
      </w:tr>
      <w:tr>
        <w:trPr>
          <w:trHeight w:val="356"/>
        </w:trPr>
        <w:tc>
          <w:tcPr>
            <w:tcW w:w="28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20"/>
                <w:szCs w:val="20"/>
                <w:b w:val="1"/>
                <w:bCs w:val="1"/>
                <w:color w:val="auto"/>
                <w:w w:val="90"/>
              </w:rPr>
              <w:t>(952) 888-8801</w:t>
            </w:r>
          </w:p>
        </w:tc>
        <w:tc>
          <w:tcPr>
            <w:tcW w:w="258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2580" w:type="dxa"/>
            <w:vAlign w:val="bottom"/>
          </w:tcPr>
          <w:p>
            <w:pPr>
              <w:spacing w:after="0"/>
              <w:rPr>
                <w:sz w:val="20"/>
                <w:szCs w:val="20"/>
                <w:color w:val="auto"/>
              </w:rPr>
            </w:pPr>
          </w:p>
        </w:tc>
      </w:tr>
    </w:tbl>
    <w:p>
      <w:pPr>
        <w:spacing w:after="0" w:line="9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40" w:firstLine="8"/>
        <w:spacing w:after="0" w:line="415"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28"/>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tcBorders>
              <w:bottom w:val="single" w:sz="8" w:color="auto"/>
              <w:right w:val="single" w:sz="8" w:color="auto"/>
            </w:tcBorders>
          </w:tcPr>
          <w:p>
            <w:pPr>
              <w:spacing w:after="0" w:line="20" w:lineRule="exact"/>
              <w:rPr>
                <w:sz w:val="1"/>
                <w:szCs w:val="1"/>
                <w:color w:val="auto"/>
              </w:rPr>
            </w:pPr>
          </w:p>
        </w:tc>
      </w:tr>
    </w:tbl>
    <w:p>
      <w:pPr>
        <w:spacing w:after="0" w:line="12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7"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1—Registrant’s Business and Operations</w:t>
      </w:r>
    </w:p>
    <w:p>
      <w:pPr>
        <w:spacing w:after="0" w:line="22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On October 5, 2021, The Toro Company (“TTC”) and Toro Luxembourg S.à r.l. (collectively, the “Borrowers”) entered into an amended and restated credit agreement (the “Credit Agreement”) with certain lenders, Bank of America, N.A., as administrative agent (in such capacity, the “Administrative Agent”), swingline lender and L/C issuer, Wells Fargo Bank, National Association and U.S. Bank National Association, as co-syndication agents (in such capacities, the “Co-Syndication Agents”), and BMO Harris Bank, N.A. and HSBC Bank USA, National Association, as co-documentation agents (in such capacities, the “Co-Documentation Agents”). The Credit Agreement provides for (i) a five-year unsecured term loan in an aggregate principal amount of up to $270 million to TTC (the “Term Facility”), the entire amount of which was funded on October 5, 2021, and (ii) a five-year unsecured revolving credit facility in an aggregate principal amount of up to $600 million to the Borrowers, including a $10 million sublimit for the issuance of standby letters of credit and a $30 million sublimit for swingline loans (the “Revolving Facility” and, collectively with the Term Facility, the “Facilities”). TTC may request that (i) the maximum principal amount available under the Revolving Facility be increased by an amount of up to $300 million and/or (ii) incremental term loan commitments be established by an amount of up to $100 million.</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Subject to customary closing conditions, funds are available under the Facilities (i) for general working capital, capital expenditures and other lawful corporate purposes, (ii) the purchase of TTC’s capital stock and preferred stock rights, and (iii) to replace and refinance outstanding indebtedness under the Prior Credit Agreements (as defined below). Loans under the Revolving Facility are available in U.S. Dollars, Euros, British Pounds Sterling, Australian Dollars, Mexican Pesos and Canadian Dollars and, at the discretion of the lenders, other currencies. Loans under the Term Facility are available in U.S. Dollars.</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to certain initial fees payable to the Administrative Agent, the Co-Syndication Agents, the Co-Documentation Agents and their respective affiliates, the Borrowers are obligated to pay (i) an administrative agency fee to the Administrative Agent annually in advance and</w:t>
      </w:r>
    </w:p>
    <w:p>
      <w:pPr>
        <w:spacing w:after="0" w:line="1" w:lineRule="exact"/>
        <w:rPr>
          <w:sz w:val="20"/>
          <w:szCs w:val="20"/>
          <w:color w:val="auto"/>
        </w:rPr>
      </w:pPr>
    </w:p>
    <w:p>
      <w:pPr>
        <w:jc w:val="both"/>
        <w:ind w:firstLine="8"/>
        <w:spacing w:after="0" w:line="269" w:lineRule="auto"/>
        <w:tabs>
          <w:tab w:leader="none" w:pos="301"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facility fee based on the availability of commitments under the Revolving Credit Facility which is payable quarterly in arrears to each applicable lender. At the option of TTC, any loan under the Facilities (other than the swingline loans) will bear interest at a variable rate generally based on LIBOR or an alternative variable rate based on the highest of the Bank of America prime rate, the federal funds rate or a rate generally based on LIBOR, in each case depending on the leverage ratio (as measured quarterly and defined as the ratio of (i) total indebtedness to (ii) consolidated EBIT (earnings before interest and taxes) plus depreciation and amortization expense) and debt rating of TTC. Swingline loans bear interest at a rate determined by the swingline lender or an alternative variable rate based on the highest of the Bank of America prime rate, the federal funds rate or a rate generally based on LIBOR, in each case depending on the leverage ratio and debt rating of TTC. Interest is payable quarterly in arrears. Beginning December 31, 2024 and ending September 30, 2026, TTC will make quarterly amortization payments on the Term Facility with each such payment equal to $6,750,000. On October 5, 2026, the aggregate principal amount of any outstanding amounts under the Term Facility will be repaid.</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Credit Agreement contains customary covenants regarding TTC and its subsidiaries, including, without limitation a maximum leverage ratio and negative covenants, which, among other things, limit dividends, disposition of assets, consolidations and mergers, liens and other matters customarily restricted in such agreements. Most of these restrictions are subject to certain minimum thresholds and exceptions. The Credit Agreement also contains customary events of default, including, without limitation, payment defaults, material inaccuracy of representations and warranties, covenant defaults, bankruptcy and insolvency proceedings, cross-defaults to certain other agreements, and change of control.</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BofA Securities, Inc., U.S. Bank National Association and Wells Fargo Securities, LLC served as joint lead arrangers and joint bookrunners for the Facilities, for which they each received customary compensation. In addition, the Administrative Agent, the Co-Syndication Agents and Co-Documentation Agents and certain of the other lenders and their respective affiliates have in the past performed, and may in the future from time to time perform, investment banking, financial advisory, lending and/or commercial banking services for TTC and its subsidiaries, for which service they have in the past received, and may in the future receive, customary compensation and reimbursement of expenses.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both"/>
        <w:spacing w:after="0" w:line="255" w:lineRule="auto"/>
        <w:rPr>
          <w:sz w:val="20"/>
          <w:szCs w:val="20"/>
          <w:color w:val="auto"/>
        </w:rPr>
      </w:pPr>
      <w:r>
        <w:rPr>
          <w:rFonts w:ascii="Arial" w:cs="Arial" w:eastAsia="Arial" w:hAnsi="Arial"/>
          <w:sz w:val="19"/>
          <w:szCs w:val="19"/>
          <w:color w:val="auto"/>
        </w:rPr>
        <w:t>In connection with the execution of the Credit Agreement, the $270 million term loans outstanding of the $500 million unsecured term loans that were issued under that certain Credit Agreement, dated as of March 19, 2019, between TTC and certain lenders, Bank of America, N.A., as administrative agent, and JPMorgan Chase Bank, N.A. and Wells Fargo Bank, National Association, as syndication agents (the “Prior Term Loan Credit Agreement”) were repaid in full. The term loans funded pursuant to the Prior Term Loan Credit Agreement were scheduled to mature on March 19, 2022 and March 19, 2024. The Revolving Facility replaces TTC’s prior $600 million unsecured revolving credit facility under that certain Credit Agreement, dated as of June 19, 2018 (the “Prior Revolving Credit Agreement”, and, collectively with the Prior Term Loan Credit Agreement, the “Prior Credit Agreements”) and extends the maturity date of the Revolving Facility from June 19, 2023 to October 5, 2026. As of October 5, 2021, borrowings outstanding under (i) the Prior Revolving Credit Agreement were approximately $3.1 million, which consisted entirely of the issuance of standby letters of credit and (ii) the Prior Term Loan Credit Agreement were $270 million.</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foregoing description of the Credit Agreement is a summary of the material terms of such agreement, does not purport to be complete and is qualified in its entirety by reference to the complete text of the agreement, a copy of which is filed as Exhibit 10.1 to this Current Report on Form 8-K and is incorporated herein by reference.</w:t>
      </w:r>
    </w:p>
    <w:p>
      <w:pPr>
        <w:spacing w:after="0" w:line="193"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1.02</w:t>
      </w:r>
      <w:r>
        <w:rPr>
          <w:sz w:val="20"/>
          <w:szCs w:val="20"/>
          <w:color w:val="auto"/>
        </w:rPr>
        <w:tab/>
      </w:r>
      <w:r>
        <w:rPr>
          <w:rFonts w:ascii="Arial" w:cs="Arial" w:eastAsia="Arial" w:hAnsi="Arial"/>
          <w:sz w:val="18"/>
          <w:szCs w:val="18"/>
          <w:b w:val="1"/>
          <w:bCs w:val="1"/>
          <w:color w:val="auto"/>
        </w:rPr>
        <w:t>Termination of a Material Definitive Agreement.</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 connection with the execution of the Credit Agreement described above, on October 5, 2021, the Prior Term Loan Credit Agreement was terminated. The material relationships between the Borrowers and their affiliates and the parties to the Prior Term Loan Credit Agreement were the same as described above. The material terms and conditions of the Prior Term Loan Credit Agreement were substantially similar to the material terms and conditions of the Term Facility described above, with the exception of the provisions in the Prior Term Loan Credit Agreement relating to three- and five- year term loans to finance TTC’s previous acquisition of The Charles Machine Works, Inc.</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2.03Creation of a Direct Financial Obligation or an Obligation under an Off-Balance Sheet Arrangement of a Registrant.</w:t>
      </w: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described above under “Section 1 – Registrant’s Business and Operations – Item 1.01 Entry into a Material Definitive Agreement”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80" w:type="dxa"/>
            <w:vAlign w:val="bottom"/>
            <w:gridSpan w:val="2"/>
          </w:tcPr>
          <w:p>
            <w:pPr>
              <w:spacing w:after="0"/>
              <w:rPr>
                <w:sz w:val="20"/>
                <w:szCs w:val="20"/>
                <w:color w:val="auto"/>
              </w:rPr>
            </w:pPr>
            <w:r>
              <w:rPr>
                <w:rFonts w:ascii="Arial" w:cs="Arial" w:eastAsia="Arial" w:hAnsi="Arial"/>
                <w:sz w:val="20"/>
                <w:szCs w:val="20"/>
                <w:b w:val="1"/>
                <w:bCs w:val="1"/>
                <w:color w:val="auto"/>
              </w:rPr>
              <w:t>Item 9.01</w:t>
            </w:r>
          </w:p>
        </w:tc>
        <w:tc>
          <w:tcPr>
            <w:tcW w:w="9860" w:type="dxa"/>
            <w:vAlign w:val="bottom"/>
            <w:gridSpan w:val="3"/>
          </w:tcPr>
          <w:p>
            <w:pPr>
              <w:ind w:left="60"/>
              <w:spacing w:after="0"/>
              <w:rPr>
                <w:sz w:val="20"/>
                <w:szCs w:val="20"/>
                <w:color w:val="auto"/>
              </w:rPr>
            </w:pPr>
            <w:r>
              <w:rPr>
                <w:rFonts w:ascii="Arial" w:cs="Arial" w:eastAsia="Arial" w:hAnsi="Arial"/>
                <w:sz w:val="20"/>
                <w:szCs w:val="20"/>
                <w:b w:val="1"/>
                <w:bCs w:val="1"/>
                <w:color w:val="auto"/>
              </w:rPr>
              <w:t>Financial Statements and Exhibits.</w:t>
            </w:r>
          </w:p>
        </w:tc>
      </w:tr>
      <w:tr>
        <w:trPr>
          <w:trHeight w:val="459"/>
        </w:trPr>
        <w:tc>
          <w:tcPr>
            <w:tcW w:w="1380" w:type="dxa"/>
            <w:vAlign w:val="bottom"/>
            <w:gridSpan w:val="2"/>
          </w:tcPr>
          <w:p>
            <w:pPr>
              <w:spacing w:after="0"/>
              <w:rPr>
                <w:sz w:val="20"/>
                <w:szCs w:val="20"/>
                <w:color w:val="auto"/>
              </w:rPr>
            </w:pPr>
            <w:r>
              <w:rPr>
                <w:rFonts w:ascii="Arial" w:cs="Arial" w:eastAsia="Arial" w:hAnsi="Arial"/>
                <w:sz w:val="20"/>
                <w:szCs w:val="20"/>
                <w:color w:val="auto"/>
              </w:rPr>
              <w:t>(d) Exhibits</w:t>
            </w:r>
          </w:p>
        </w:tc>
        <w:tc>
          <w:tcPr>
            <w:tcW w:w="130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9"/>
        </w:trPr>
        <w:tc>
          <w:tcPr>
            <w:tcW w:w="1380" w:type="dxa"/>
            <w:vAlign w:val="bottom"/>
            <w:gridSpan w:val="2"/>
          </w:tcPr>
          <w:p>
            <w:pPr>
              <w:ind w:left="140"/>
              <w:spacing w:after="0"/>
              <w:rPr>
                <w:sz w:val="20"/>
                <w:szCs w:val="20"/>
                <w:color w:val="auto"/>
              </w:rPr>
            </w:pPr>
            <w:r>
              <w:rPr>
                <w:rFonts w:ascii="Arial" w:cs="Arial" w:eastAsia="Arial" w:hAnsi="Arial"/>
                <w:sz w:val="20"/>
                <w:szCs w:val="20"/>
                <w:b w:val="1"/>
                <w:bCs w:val="1"/>
                <w:color w:val="auto"/>
              </w:rPr>
              <w:t>Exhibit No.</w:t>
            </w:r>
          </w:p>
        </w:tc>
        <w:tc>
          <w:tcPr>
            <w:tcW w:w="1300" w:type="dxa"/>
            <w:vAlign w:val="bottom"/>
          </w:tcPr>
          <w:p>
            <w:pPr>
              <w:spacing w:after="0"/>
              <w:rPr>
                <w:sz w:val="24"/>
                <w:szCs w:val="24"/>
                <w:color w:val="auto"/>
              </w:rPr>
            </w:pPr>
          </w:p>
        </w:tc>
        <w:tc>
          <w:tcPr>
            <w:tcW w:w="8560" w:type="dxa"/>
            <w:vAlign w:val="bottom"/>
            <w:gridSpan w:val="2"/>
          </w:tcPr>
          <w:p>
            <w:pPr>
              <w:ind w:left="3140"/>
              <w:spacing w:after="0"/>
              <w:rPr>
                <w:sz w:val="20"/>
                <w:szCs w:val="20"/>
                <w:color w:val="auto"/>
              </w:rPr>
            </w:pPr>
            <w:r>
              <w:rPr>
                <w:rFonts w:ascii="Arial" w:cs="Arial" w:eastAsia="Arial" w:hAnsi="Arial"/>
                <w:sz w:val="20"/>
                <w:szCs w:val="20"/>
                <w:b w:val="1"/>
                <w:bCs w:val="1"/>
                <w:color w:val="auto"/>
              </w:rPr>
              <w:t>Description</w:t>
            </w:r>
          </w:p>
        </w:tc>
      </w:tr>
      <w:tr>
        <w:trPr>
          <w:trHeight w:val="277"/>
        </w:trPr>
        <w:tc>
          <w:tcPr>
            <w:tcW w:w="12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10.1</w:t>
            </w:r>
          </w:p>
        </w:tc>
        <w:tc>
          <w:tcPr>
            <w:tcW w:w="120" w:type="dxa"/>
            <w:vAlign w:val="bottom"/>
          </w:tcPr>
          <w:p>
            <w:pPr>
              <w:spacing w:after="0"/>
              <w:rPr>
                <w:sz w:val="24"/>
                <w:szCs w:val="24"/>
                <w:color w:val="auto"/>
              </w:rPr>
            </w:pPr>
          </w:p>
        </w:tc>
        <w:tc>
          <w:tcPr>
            <w:tcW w:w="9860" w:type="dxa"/>
            <w:vAlign w:val="bottom"/>
            <w:tcBorders>
              <w:top w:val="single" w:sz="8" w:color="auto"/>
              <w:bottom w:val="single" w:sz="8" w:color="0000EE"/>
            </w:tcBorders>
            <w:gridSpan w:val="3"/>
          </w:tcPr>
          <w:p>
            <w:pPr>
              <w:spacing w:after="0"/>
              <w:rPr>
                <w:rFonts w:ascii="Arial" w:cs="Arial" w:eastAsia="Arial" w:hAnsi="Arial"/>
                <w:sz w:val="20"/>
                <w:szCs w:val="20"/>
                <w:color w:val="0000EE"/>
                <w:w w:val="95"/>
              </w:rPr>
            </w:pPr>
            <w:hyperlink w:anchor="page5">
              <w:r>
                <w:rPr>
                  <w:rFonts w:ascii="Arial" w:cs="Arial" w:eastAsia="Arial" w:hAnsi="Arial"/>
                  <w:sz w:val="20"/>
                  <w:szCs w:val="20"/>
                  <w:color w:val="0000EE"/>
                  <w:w w:val="95"/>
                </w:rPr>
                <w:t>Amended and Restated Credit Agreement dated as of October 5, 2021, by and among The Toro Company and Toro</w:t>
              </w:r>
            </w:hyperlink>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Borders>
              <w:bottom w:val="single" w:sz="8" w:color="0000EE"/>
            </w:tcBorders>
            <w:gridSpan w:val="3"/>
          </w:tcPr>
          <w:p>
            <w:pPr>
              <w:spacing w:after="0" w:line="209" w:lineRule="exact"/>
              <w:rPr>
                <w:rFonts w:ascii="Arial" w:cs="Arial" w:eastAsia="Arial" w:hAnsi="Arial"/>
                <w:sz w:val="20"/>
                <w:szCs w:val="20"/>
                <w:color w:val="0000EE"/>
                <w:w w:val="93"/>
              </w:rPr>
            </w:pPr>
            <w:hyperlink w:anchor="page5">
              <w:r>
                <w:rPr>
                  <w:rFonts w:ascii="Arial" w:cs="Arial" w:eastAsia="Arial" w:hAnsi="Arial"/>
                  <w:sz w:val="20"/>
                  <w:szCs w:val="20"/>
                  <w:color w:val="0000EE"/>
                  <w:w w:val="93"/>
                </w:rPr>
                <w:t>Luxembourg S.à r.l., as Borrowers, the lenders from time to time party thereto, Bank of America, N.A., as administrative</w:t>
              </w:r>
            </w:hyperlink>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Borders>
              <w:bottom w:val="single" w:sz="8" w:color="0000EE"/>
            </w:tcBorders>
            <w:gridSpan w:val="3"/>
          </w:tcPr>
          <w:p>
            <w:pPr>
              <w:spacing w:after="0" w:line="209" w:lineRule="exact"/>
              <w:rPr>
                <w:rFonts w:ascii="Arial" w:cs="Arial" w:eastAsia="Arial" w:hAnsi="Arial"/>
                <w:sz w:val="20"/>
                <w:szCs w:val="20"/>
                <w:color w:val="0000EE"/>
                <w:w w:val="90"/>
              </w:rPr>
            </w:pPr>
            <w:hyperlink w:anchor="page5">
              <w:r>
                <w:rPr>
                  <w:rFonts w:ascii="Arial" w:cs="Arial" w:eastAsia="Arial" w:hAnsi="Arial"/>
                  <w:sz w:val="20"/>
                  <w:szCs w:val="20"/>
                  <w:color w:val="0000EE"/>
                  <w:w w:val="90"/>
                </w:rPr>
                <w:t>agent, swingline lender and L/C issuer, Wells Fargo Bank, National Association and U.S. Bank National Association, as co-</w:t>
              </w:r>
            </w:hyperlink>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5">
              <w:r>
                <w:rPr>
                  <w:rFonts w:ascii="Arial" w:cs="Arial" w:eastAsia="Arial" w:hAnsi="Arial"/>
                  <w:sz w:val="20"/>
                  <w:szCs w:val="20"/>
                  <w:color w:val="0000EE"/>
                  <w:w w:val="91"/>
                </w:rPr>
                <w:t>syndication agents, and BMO Harris Bank, N.A. and HSBC Bank USA, National Association, as co-documentation agents</w:t>
              </w:r>
            </w:hyperlink>
          </w:p>
        </w:tc>
        <w:tc>
          <w:tcPr>
            <w:tcW w:w="20" w:type="dxa"/>
            <w:vAlign w:val="bottom"/>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0000EE"/>
            </w:tcBorders>
          </w:tcPr>
          <w:p>
            <w:pPr>
              <w:spacing w:after="0" w:line="209" w:lineRule="exact"/>
              <w:rPr>
                <w:rFonts w:ascii="Arial" w:cs="Arial" w:eastAsia="Arial" w:hAnsi="Arial"/>
                <w:sz w:val="20"/>
                <w:szCs w:val="20"/>
                <w:color w:val="0000EE"/>
                <w:w w:val="93"/>
              </w:rPr>
            </w:pPr>
            <w:hyperlink w:anchor="page5">
              <w:r>
                <w:rPr>
                  <w:rFonts w:ascii="Arial" w:cs="Arial" w:eastAsia="Arial" w:hAnsi="Arial"/>
                  <w:sz w:val="20"/>
                  <w:szCs w:val="20"/>
                  <w:color w:val="0000EE"/>
                  <w:w w:val="93"/>
                </w:rPr>
                <w:t>(filed herewith).</w:t>
              </w:r>
            </w:hyperlink>
          </w:p>
        </w:tc>
        <w:tc>
          <w:tcPr>
            <w:tcW w:w="8560" w:type="dxa"/>
            <w:vAlign w:val="bottom"/>
            <w:gridSpan w:val="2"/>
          </w:tcPr>
          <w:p>
            <w:pPr>
              <w:spacing w:after="0"/>
              <w:rPr>
                <w:sz w:val="18"/>
                <w:szCs w:val="18"/>
                <w:color w:val="auto"/>
              </w:rPr>
            </w:pPr>
          </w:p>
        </w:tc>
      </w:tr>
    </w:tbl>
    <w:p>
      <w:pPr>
        <w:spacing w:after="0" w:line="24" w:lineRule="exact"/>
        <w:rPr>
          <w:sz w:val="20"/>
          <w:szCs w:val="20"/>
          <w:color w:val="auto"/>
        </w:rPr>
      </w:pPr>
    </w:p>
    <w:p>
      <w:pPr>
        <w:ind w:left="1380" w:hanging="1372"/>
        <w:spacing w:after="0"/>
        <w:tabs>
          <w:tab w:leader="none" w:pos="1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Cover Page Interactive Data File (embedded within the Inline XBRL document).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5" w:lineRule="exact"/>
        <w:rPr>
          <w:rFonts w:ascii="Arial" w:cs="Arial" w:eastAsia="Arial" w:hAnsi="Arial"/>
          <w:sz w:val="20"/>
          <w:szCs w:val="20"/>
          <w:color w:val="auto"/>
        </w:rPr>
      </w:pPr>
    </w:p>
    <w:p>
      <w:pPr>
        <w:ind w:left="5580"/>
        <w:spacing w:after="0"/>
        <w:rPr>
          <w:rFonts w:ascii="Arial" w:cs="Arial" w:eastAsia="Arial" w:hAnsi="Arial"/>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80" w:type="dxa"/>
            <w:vAlign w:val="bottom"/>
          </w:tcPr>
          <w:p>
            <w:pPr>
              <w:spacing w:after="0"/>
              <w:rPr>
                <w:sz w:val="21"/>
                <w:szCs w:val="21"/>
                <w:color w:val="auto"/>
              </w:rPr>
            </w:pPr>
          </w:p>
        </w:tc>
        <w:tc>
          <w:tcPr>
            <w:tcW w:w="7560" w:type="dxa"/>
            <w:vAlign w:val="bottom"/>
            <w:gridSpan w:val="2"/>
          </w:tcPr>
          <w:p>
            <w:pPr>
              <w:ind w:left="2020"/>
              <w:spacing w:after="0"/>
              <w:rPr>
                <w:sz w:val="20"/>
                <w:szCs w:val="20"/>
                <w:color w:val="auto"/>
              </w:rPr>
            </w:pPr>
            <w:r>
              <w:rPr>
                <w:rFonts w:ascii="Arial" w:cs="Arial" w:eastAsia="Arial" w:hAnsi="Arial"/>
                <w:sz w:val="20"/>
                <w:szCs w:val="20"/>
                <w:b w:val="1"/>
                <w:bCs w:val="1"/>
                <w:color w:val="auto"/>
              </w:rPr>
              <w:t>THE TORO COMPANY</w:t>
            </w:r>
          </w:p>
        </w:tc>
      </w:tr>
      <w:tr>
        <w:trPr>
          <w:trHeight w:val="256"/>
        </w:trPr>
        <w:tc>
          <w:tcPr>
            <w:tcW w:w="3680" w:type="dxa"/>
            <w:vAlign w:val="bottom"/>
          </w:tcPr>
          <w:p>
            <w:pPr>
              <w:spacing w:after="0"/>
              <w:rPr>
                <w:sz w:val="22"/>
                <w:szCs w:val="22"/>
                <w:color w:val="auto"/>
              </w:rPr>
            </w:pPr>
          </w:p>
        </w:tc>
        <w:tc>
          <w:tcPr>
            <w:tcW w:w="7560" w:type="dxa"/>
            <w:vAlign w:val="bottom"/>
            <w:gridSpan w:val="2"/>
          </w:tcPr>
          <w:p>
            <w:pPr>
              <w:ind w:left="2020"/>
              <w:spacing w:after="0"/>
              <w:rPr>
                <w:sz w:val="20"/>
                <w:szCs w:val="20"/>
                <w:color w:val="auto"/>
              </w:rPr>
            </w:pPr>
            <w:r>
              <w:rPr>
                <w:rFonts w:ascii="Arial" w:cs="Arial" w:eastAsia="Arial" w:hAnsi="Arial"/>
                <w:sz w:val="20"/>
                <w:szCs w:val="20"/>
                <w:b w:val="1"/>
                <w:bCs w:val="1"/>
                <w:color w:val="auto"/>
              </w:rPr>
              <w:t>(Registrant)</w:t>
            </w:r>
          </w:p>
        </w:tc>
      </w:tr>
      <w:tr>
        <w:trPr>
          <w:trHeight w:val="684"/>
        </w:trPr>
        <w:tc>
          <w:tcPr>
            <w:tcW w:w="3680" w:type="dxa"/>
            <w:vAlign w:val="bottom"/>
          </w:tcPr>
          <w:p>
            <w:pPr>
              <w:spacing w:after="0"/>
              <w:rPr>
                <w:sz w:val="20"/>
                <w:szCs w:val="20"/>
                <w:color w:val="auto"/>
              </w:rPr>
            </w:pPr>
            <w:r>
              <w:rPr>
                <w:rFonts w:ascii="Arial" w:cs="Arial" w:eastAsia="Arial" w:hAnsi="Arial"/>
                <w:sz w:val="19"/>
                <w:szCs w:val="19"/>
                <w:color w:val="auto"/>
              </w:rPr>
              <w:t>Date: October 6, 2021</w:t>
            </w:r>
          </w:p>
        </w:tc>
        <w:tc>
          <w:tcPr>
            <w:tcW w:w="7560" w:type="dxa"/>
            <w:vAlign w:val="bottom"/>
            <w:gridSpan w:val="2"/>
          </w:tcPr>
          <w:p>
            <w:pPr>
              <w:ind w:left="2020"/>
              <w:spacing w:after="0"/>
              <w:rPr>
                <w:sz w:val="20"/>
                <w:szCs w:val="20"/>
                <w:color w:val="auto"/>
              </w:rPr>
            </w:pPr>
            <w:r>
              <w:rPr>
                <w:rFonts w:ascii="Arial" w:cs="Arial" w:eastAsia="Arial" w:hAnsi="Arial"/>
                <w:sz w:val="19"/>
                <w:szCs w:val="19"/>
                <w:color w:val="auto"/>
              </w:rPr>
              <w:t>By:  /s/ Renee J. Peterson</w:t>
            </w:r>
          </w:p>
        </w:tc>
      </w:tr>
      <w:tr>
        <w:trPr>
          <w:trHeight w:val="214"/>
        </w:trPr>
        <w:tc>
          <w:tcPr>
            <w:tcW w:w="3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4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rPr>
              <w:t>Renee J. Peterson</w:t>
            </w:r>
          </w:p>
        </w:tc>
      </w:tr>
      <w:tr>
        <w:trPr>
          <w:trHeight w:val="240"/>
        </w:trPr>
        <w:tc>
          <w:tcPr>
            <w:tcW w:w="3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9"/>
                <w:szCs w:val="19"/>
                <w:color w:val="auto"/>
              </w:rPr>
              <w:t>Vice President,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4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80010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114300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Deal CUSIP: 891091AN0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Revolver CUSIP: 891091AP5</w:t>
      </w:r>
    </w:p>
    <w:p>
      <w:pPr>
        <w:jc w:val="right"/>
        <w:spacing w:after="0"/>
        <w:rPr>
          <w:sz w:val="20"/>
          <w:szCs w:val="20"/>
          <w:color w:val="auto"/>
        </w:rPr>
      </w:pPr>
      <w:r>
        <w:rPr>
          <w:rFonts w:ascii="Arial" w:cs="Arial" w:eastAsia="Arial" w:hAnsi="Arial"/>
          <w:sz w:val="20"/>
          <w:szCs w:val="20"/>
          <w:color w:val="auto"/>
        </w:rPr>
        <w:t>Published Term Loan CUSIP: 891091AQ3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AMENDED AND RESTATED CREDIT AGREEMENT</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October 5, 2021</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147320</wp:posOffset>
            </wp:positionV>
            <wp:extent cx="1183005" cy="762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300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THE TORO COMPANY,</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TORO LUXEMBOURG S.A.R.L.,</w:t>
      </w:r>
    </w:p>
    <w:p>
      <w:pPr>
        <w:jc w:val="center"/>
        <w:ind w:right="1120"/>
        <w:spacing w:after="0"/>
        <w:rPr>
          <w:sz w:val="20"/>
          <w:szCs w:val="20"/>
          <w:color w:val="auto"/>
        </w:rPr>
      </w:pPr>
      <w:r>
        <w:rPr>
          <w:rFonts w:ascii="Arial" w:cs="Arial" w:eastAsia="Arial" w:hAnsi="Arial"/>
          <w:sz w:val="20"/>
          <w:szCs w:val="20"/>
          <w:color w:val="auto"/>
        </w:rPr>
        <w:t>and</w:t>
      </w:r>
    </w:p>
    <w:p>
      <w:pPr>
        <w:jc w:val="center"/>
        <w:ind w:right="1120"/>
        <w:spacing w:after="0"/>
        <w:rPr>
          <w:sz w:val="20"/>
          <w:szCs w:val="20"/>
          <w:color w:val="auto"/>
        </w:rPr>
      </w:pPr>
      <w:r>
        <w:rPr>
          <w:rFonts w:ascii="Arial" w:cs="Arial" w:eastAsia="Arial" w:hAnsi="Arial"/>
          <w:sz w:val="20"/>
          <w:szCs w:val="20"/>
          <w:b w:val="1"/>
          <w:bCs w:val="1"/>
          <w:color w:val="auto"/>
        </w:rPr>
        <w:t>CERTAIN OTHER SUBSIDIARIES,</w:t>
      </w:r>
    </w:p>
    <w:p>
      <w:pPr>
        <w:jc w:val="center"/>
        <w:ind w:right="1120"/>
        <w:spacing w:after="0"/>
        <w:rPr>
          <w:sz w:val="20"/>
          <w:szCs w:val="20"/>
          <w:color w:val="auto"/>
        </w:rPr>
      </w:pPr>
      <w:r>
        <w:rPr>
          <w:rFonts w:ascii="Arial" w:cs="Arial" w:eastAsia="Arial" w:hAnsi="Arial"/>
          <w:sz w:val="20"/>
          <w:szCs w:val="20"/>
          <w:color w:val="auto"/>
        </w:rPr>
        <w:t>as Borrowers,</w:t>
      </w:r>
    </w:p>
    <w:p>
      <w:pPr>
        <w:spacing w:after="0" w:line="194"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BANK OF AMERICA, N.A.,</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as Administrative Agent, Swing Line Lender</w:t>
      </w:r>
    </w:p>
    <w:p>
      <w:pPr>
        <w:ind w:left="4340"/>
        <w:spacing w:after="0"/>
        <w:rPr>
          <w:sz w:val="20"/>
          <w:szCs w:val="20"/>
          <w:color w:val="auto"/>
        </w:rPr>
      </w:pPr>
      <w:r>
        <w:rPr>
          <w:rFonts w:ascii="Arial" w:cs="Arial" w:eastAsia="Arial" w:hAnsi="Arial"/>
          <w:sz w:val="20"/>
          <w:szCs w:val="20"/>
          <w:color w:val="auto"/>
        </w:rPr>
        <w:t>and</w:t>
      </w:r>
    </w:p>
    <w:p>
      <w:pPr>
        <w:ind w:left="4060"/>
        <w:spacing w:after="0"/>
        <w:rPr>
          <w:sz w:val="20"/>
          <w:szCs w:val="20"/>
          <w:color w:val="auto"/>
        </w:rPr>
      </w:pPr>
      <w:r>
        <w:rPr>
          <w:rFonts w:ascii="Arial" w:cs="Arial" w:eastAsia="Arial" w:hAnsi="Arial"/>
          <w:sz w:val="20"/>
          <w:szCs w:val="20"/>
          <w:color w:val="auto"/>
        </w:rPr>
        <w:t>L/C Issuer,</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jc w:val="center"/>
        <w:ind w:right="1120"/>
        <w:spacing w:after="0"/>
        <w:rPr>
          <w:sz w:val="20"/>
          <w:szCs w:val="20"/>
          <w:color w:val="auto"/>
        </w:rPr>
      </w:pPr>
      <w:r>
        <w:rPr>
          <w:rFonts w:ascii="Arial" w:cs="Arial" w:eastAsia="Arial" w:hAnsi="Arial"/>
          <w:sz w:val="20"/>
          <w:szCs w:val="20"/>
          <w:b w:val="1"/>
          <w:bCs w:val="1"/>
          <w:color w:val="auto"/>
        </w:rPr>
        <w:t>U.S. BANK NATIONAL ASSOCIATION,</w:t>
      </w:r>
    </w:p>
    <w:p>
      <w:pPr>
        <w:jc w:val="center"/>
        <w:ind w:right="1120"/>
        <w:spacing w:after="0"/>
        <w:rPr>
          <w:sz w:val="20"/>
          <w:szCs w:val="20"/>
          <w:color w:val="auto"/>
        </w:rPr>
      </w:pPr>
      <w:r>
        <w:rPr>
          <w:rFonts w:ascii="Arial" w:cs="Arial" w:eastAsia="Arial" w:hAnsi="Arial"/>
          <w:sz w:val="20"/>
          <w:szCs w:val="20"/>
          <w:color w:val="auto"/>
        </w:rPr>
        <w:t>as Co-Syndication Agents,</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BMO HARRIS BANK, N.A.</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and</w:t>
      </w:r>
    </w:p>
    <w:p>
      <w:pPr>
        <w:jc w:val="center"/>
        <w:ind w:right="1120"/>
        <w:spacing w:after="0"/>
        <w:rPr>
          <w:sz w:val="20"/>
          <w:szCs w:val="20"/>
          <w:color w:val="auto"/>
        </w:rPr>
      </w:pPr>
      <w:r>
        <w:rPr>
          <w:rFonts w:ascii="Arial" w:cs="Arial" w:eastAsia="Arial" w:hAnsi="Arial"/>
          <w:sz w:val="20"/>
          <w:szCs w:val="20"/>
          <w:b w:val="1"/>
          <w:bCs w:val="1"/>
          <w:color w:val="auto"/>
        </w:rPr>
        <w:t>HSBC BANK USA, NATIONAL ASSOCIATION,</w:t>
      </w:r>
    </w:p>
    <w:p>
      <w:pPr>
        <w:jc w:val="center"/>
        <w:ind w:right="1120"/>
        <w:spacing w:after="0"/>
        <w:rPr>
          <w:sz w:val="20"/>
          <w:szCs w:val="20"/>
          <w:color w:val="auto"/>
        </w:rPr>
      </w:pPr>
      <w:r>
        <w:rPr>
          <w:rFonts w:ascii="Arial" w:cs="Arial" w:eastAsia="Arial" w:hAnsi="Arial"/>
          <w:sz w:val="20"/>
          <w:szCs w:val="20"/>
          <w:color w:val="auto"/>
        </w:rPr>
        <w:t>as Co-Documentation Agents,</w:t>
      </w:r>
    </w:p>
    <w:p>
      <w:pPr>
        <w:spacing w:after="0" w:line="200"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The Other Lenders Party Hereto</w:t>
      </w: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BOFA SECURITIES, INC.,</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U.S. BANK NATIONAL ASSOCIATION</w:t>
      </w:r>
    </w:p>
    <w:p>
      <w:pPr>
        <w:jc w:val="center"/>
        <w:ind w:right="1120"/>
        <w:spacing w:after="0"/>
        <w:rPr>
          <w:sz w:val="20"/>
          <w:szCs w:val="20"/>
          <w:color w:val="auto"/>
        </w:rPr>
      </w:pPr>
      <w:r>
        <w:rPr>
          <w:rFonts w:ascii="Arial" w:cs="Arial" w:eastAsia="Arial" w:hAnsi="Arial"/>
          <w:sz w:val="20"/>
          <w:szCs w:val="20"/>
          <w:color w:val="auto"/>
        </w:rPr>
        <w:t>and</w:t>
      </w:r>
    </w:p>
    <w:p>
      <w:pPr>
        <w:jc w:val="center"/>
        <w:ind w:right="1120"/>
        <w:spacing w:after="0"/>
        <w:rPr>
          <w:sz w:val="20"/>
          <w:szCs w:val="20"/>
          <w:color w:val="auto"/>
        </w:rPr>
      </w:pPr>
      <w:r>
        <w:rPr>
          <w:rFonts w:ascii="Arial" w:cs="Arial" w:eastAsia="Arial" w:hAnsi="Arial"/>
          <w:sz w:val="20"/>
          <w:szCs w:val="20"/>
          <w:b w:val="1"/>
          <w:bCs w:val="1"/>
          <w:color w:val="auto"/>
        </w:rPr>
        <w:t>WELLS FARGO SECURITIES, LLC,</w:t>
      </w:r>
    </w:p>
    <w:p>
      <w:pPr>
        <w:jc w:val="center"/>
        <w:ind w:right="1120"/>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6"/>
        </w:trPr>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80" w:type="dxa"/>
            <w:vAlign w:val="bottom"/>
          </w:tcPr>
          <w:p>
            <w:pPr>
              <w:jc w:val="center"/>
              <w:ind w:left="892"/>
              <w:spacing w:after="0"/>
              <w:rPr>
                <w:sz w:val="20"/>
                <w:szCs w:val="20"/>
                <w:color w:val="auto"/>
              </w:rPr>
            </w:pPr>
            <w:r>
              <w:rPr>
                <w:rFonts w:ascii="Arial" w:cs="Arial" w:eastAsia="Arial" w:hAnsi="Arial"/>
                <w:sz w:val="20"/>
                <w:szCs w:val="20"/>
                <w:b w:val="1"/>
                <w:bCs w:val="1"/>
                <w:color w:val="auto"/>
                <w:w w:val="98"/>
              </w:rPr>
              <w:t>TABLE OF CONTENTS</w:t>
            </w: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01"/>
        </w:trPr>
        <w:tc>
          <w:tcPr>
            <w:tcW w:w="880" w:type="dxa"/>
            <w:vAlign w:val="bottom"/>
            <w:gridSpan w:val="2"/>
          </w:tcPr>
          <w:p>
            <w:pPr>
              <w:spacing w:after="0"/>
              <w:rPr>
                <w:sz w:val="20"/>
                <w:szCs w:val="20"/>
                <w:color w:val="auto"/>
              </w:rPr>
            </w:pPr>
            <w:r>
              <w:rPr>
                <w:rFonts w:ascii="Arial" w:cs="Arial" w:eastAsia="Arial" w:hAnsi="Arial"/>
                <w:sz w:val="20"/>
                <w:szCs w:val="20"/>
                <w:color w:val="auto"/>
              </w:rPr>
              <w:t>Section</w:t>
            </w:r>
          </w:p>
        </w:tc>
        <w:tc>
          <w:tcPr>
            <w:tcW w:w="8480" w:type="dxa"/>
            <w:vAlign w:val="bottom"/>
          </w:tcPr>
          <w:p>
            <w:pPr>
              <w:spacing w:after="0"/>
              <w:rPr>
                <w:sz w:val="24"/>
                <w:szCs w:val="24"/>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20"/>
                <w:szCs w:val="20"/>
                <w:color w:val="auto"/>
              </w:rPr>
              <w:t>Page</w:t>
            </w:r>
          </w:p>
        </w:tc>
      </w:tr>
      <w:tr>
        <w:trPr>
          <w:trHeight w:val="350"/>
        </w:trPr>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tcPr>
          <w:p>
            <w:pPr>
              <w:jc w:val="center"/>
              <w:ind w:left="892"/>
              <w:spacing w:after="0"/>
              <w:rPr>
                <w:sz w:val="20"/>
                <w:szCs w:val="20"/>
                <w:color w:val="auto"/>
              </w:rPr>
            </w:pPr>
            <w:r>
              <w:rPr>
                <w:rFonts w:ascii="Arial" w:cs="Arial" w:eastAsia="Arial" w:hAnsi="Arial"/>
                <w:sz w:val="22"/>
                <w:szCs w:val="22"/>
                <w:color w:val="auto"/>
                <w:w w:val="97"/>
              </w:rPr>
              <w:t>ARTICLE I.</w:t>
            </w:r>
          </w:p>
        </w:tc>
        <w:tc>
          <w:tcPr>
            <w:tcW w:w="1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74"/>
        </w:trPr>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80" w:type="dxa"/>
            <w:vAlign w:val="bottom"/>
          </w:tcPr>
          <w:p>
            <w:pPr>
              <w:jc w:val="center"/>
              <w:ind w:left="892"/>
              <w:spacing w:after="0"/>
              <w:rPr>
                <w:sz w:val="20"/>
                <w:szCs w:val="20"/>
                <w:color w:val="auto"/>
              </w:rPr>
            </w:pPr>
            <w:r>
              <w:rPr>
                <w:rFonts w:ascii="Arial" w:cs="Arial" w:eastAsia="Arial" w:hAnsi="Arial"/>
                <w:sz w:val="22"/>
                <w:szCs w:val="22"/>
                <w:color w:val="auto"/>
                <w:w w:val="96"/>
              </w:rPr>
              <w:t>DEFINITIONS AND ACCOUNTING TERMS</w:t>
            </w: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20"/>
        </w:trPr>
        <w:tc>
          <w:tcPr>
            <w:tcW w:w="600" w:type="dxa"/>
            <w:vAlign w:val="bottom"/>
          </w:tcPr>
          <w:p>
            <w:pPr>
              <w:spacing w:after="0"/>
              <w:rPr>
                <w:sz w:val="20"/>
                <w:szCs w:val="20"/>
                <w:color w:val="auto"/>
              </w:rPr>
            </w:pPr>
            <w:r>
              <w:rPr>
                <w:rFonts w:ascii="Arial" w:cs="Arial" w:eastAsia="Arial" w:hAnsi="Arial"/>
                <w:sz w:val="22"/>
                <w:szCs w:val="22"/>
                <w:color w:val="auto"/>
              </w:rPr>
              <w:t>1.01</w:t>
            </w:r>
          </w:p>
        </w:tc>
        <w:tc>
          <w:tcPr>
            <w:tcW w:w="280" w:type="dxa"/>
            <w:vAlign w:val="bottom"/>
          </w:tcPr>
          <w:p>
            <w:pPr>
              <w:spacing w:after="0"/>
              <w:rPr>
                <w:sz w:val="24"/>
                <w:szCs w:val="24"/>
                <w:color w:val="auto"/>
              </w:rPr>
            </w:pPr>
          </w:p>
        </w:tc>
        <w:tc>
          <w:tcPr>
            <w:tcW w:w="8480" w:type="dxa"/>
            <w:vAlign w:val="bottom"/>
          </w:tcPr>
          <w:p>
            <w:pPr>
              <w:ind w:left="280"/>
              <w:spacing w:after="0"/>
              <w:rPr>
                <w:sz w:val="20"/>
                <w:szCs w:val="20"/>
                <w:color w:val="auto"/>
              </w:rPr>
            </w:pPr>
            <w:r>
              <w:rPr>
                <w:rFonts w:ascii="Arial" w:cs="Arial" w:eastAsia="Arial" w:hAnsi="Arial"/>
                <w:sz w:val="22"/>
                <w:szCs w:val="22"/>
                <w:color w:val="auto"/>
              </w:rPr>
              <w:t>Defined Terms</w:t>
            </w:r>
          </w:p>
        </w:tc>
        <w:tc>
          <w:tcPr>
            <w:tcW w:w="1880" w:type="dxa"/>
            <w:vAlign w:val="bottom"/>
            <w:gridSpan w:val="3"/>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1.02</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Other Interpretive Provisions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1.03</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Accounting Terms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1.04</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Exchange Rates; Currency Equivalents; Interest Rates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1.05</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Additional Alternative Currencies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1.06</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Change of Currency</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1.07</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Times of Day</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1.08</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Letter of Credit Amounts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1.09</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Rounding</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1.10</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Limited Conditionality Acquisition</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1.11</w:t>
            </w:r>
          </w:p>
        </w:tc>
        <w:tc>
          <w:tcPr>
            <w:tcW w:w="280" w:type="dxa"/>
            <w:vAlign w:val="bottom"/>
          </w:tcPr>
          <w:p>
            <w:pPr>
              <w:spacing w:after="0"/>
              <w:rPr>
                <w:sz w:val="23"/>
                <w:szCs w:val="23"/>
                <w:color w:val="auto"/>
              </w:rPr>
            </w:pPr>
          </w:p>
        </w:tc>
        <w:tc>
          <w:tcPr>
            <w:tcW w:w="8480" w:type="dxa"/>
            <w:vAlign w:val="bottom"/>
          </w:tcPr>
          <w:p>
            <w:pPr>
              <w:ind w:left="280"/>
              <w:spacing w:after="0"/>
              <w:rPr>
                <w:sz w:val="20"/>
                <w:szCs w:val="20"/>
                <w:color w:val="auto"/>
              </w:rPr>
            </w:pPr>
            <w:r>
              <w:rPr>
                <w:rFonts w:ascii="Arial" w:cs="Arial" w:eastAsia="Arial" w:hAnsi="Arial"/>
                <w:sz w:val="22"/>
                <w:szCs w:val="22"/>
                <w:color w:val="auto"/>
              </w:rPr>
              <w:t>Amendment and Restatement</w:t>
            </w:r>
          </w:p>
        </w:tc>
        <w:tc>
          <w:tcPr>
            <w:tcW w:w="1880" w:type="dxa"/>
            <w:vAlign w:val="bottom"/>
            <w:gridSpan w:val="3"/>
          </w:tcPr>
          <w:p>
            <w:pPr>
              <w:jc w:val="right"/>
              <w:spacing w:after="0"/>
              <w:rPr>
                <w:sz w:val="20"/>
                <w:szCs w:val="20"/>
                <w:color w:val="auto"/>
              </w:rPr>
            </w:pPr>
            <w:r>
              <w:rPr>
                <w:rFonts w:ascii="Arial" w:cs="Arial" w:eastAsia="Arial" w:hAnsi="Arial"/>
                <w:sz w:val="22"/>
                <w:szCs w:val="22"/>
                <w:color w:val="auto"/>
              </w:rPr>
              <w:t>41</w:t>
            </w:r>
          </w:p>
        </w:tc>
      </w:tr>
      <w:tr>
        <w:trPr>
          <w:trHeight w:val="320"/>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tcPr>
          <w:p>
            <w:pPr>
              <w:jc w:val="center"/>
              <w:ind w:left="892"/>
              <w:spacing w:after="0"/>
              <w:rPr>
                <w:sz w:val="20"/>
                <w:szCs w:val="20"/>
                <w:color w:val="auto"/>
              </w:rPr>
            </w:pPr>
            <w:r>
              <w:rPr>
                <w:rFonts w:ascii="Arial" w:cs="Arial" w:eastAsia="Arial" w:hAnsi="Arial"/>
                <w:sz w:val="22"/>
                <w:szCs w:val="22"/>
                <w:color w:val="auto"/>
                <w:w w:val="98"/>
              </w:rPr>
              <w:t>ARTICLE II.</w:t>
            </w: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4"/>
        </w:trPr>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80" w:type="dxa"/>
            <w:vAlign w:val="bottom"/>
          </w:tcPr>
          <w:p>
            <w:pPr>
              <w:jc w:val="center"/>
              <w:ind w:left="892"/>
              <w:spacing w:after="0"/>
              <w:rPr>
                <w:sz w:val="20"/>
                <w:szCs w:val="20"/>
                <w:color w:val="auto"/>
              </w:rPr>
            </w:pPr>
            <w:r>
              <w:rPr>
                <w:rFonts w:ascii="Arial" w:cs="Arial" w:eastAsia="Arial" w:hAnsi="Arial"/>
                <w:sz w:val="22"/>
                <w:szCs w:val="22"/>
                <w:color w:val="auto"/>
                <w:w w:val="95"/>
              </w:rPr>
              <w:t>THE COMMITMENTS AND CREDIT EXTENSIONS</w:t>
            </w: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20"/>
        </w:trPr>
        <w:tc>
          <w:tcPr>
            <w:tcW w:w="600" w:type="dxa"/>
            <w:vAlign w:val="bottom"/>
          </w:tcPr>
          <w:p>
            <w:pPr>
              <w:spacing w:after="0"/>
              <w:rPr>
                <w:sz w:val="20"/>
                <w:szCs w:val="20"/>
                <w:color w:val="auto"/>
              </w:rPr>
            </w:pPr>
            <w:r>
              <w:rPr>
                <w:rFonts w:ascii="Arial" w:cs="Arial" w:eastAsia="Arial" w:hAnsi="Arial"/>
                <w:sz w:val="22"/>
                <w:szCs w:val="22"/>
                <w:color w:val="auto"/>
              </w:rPr>
              <w:t>2.01</w:t>
            </w:r>
          </w:p>
        </w:tc>
        <w:tc>
          <w:tcPr>
            <w:tcW w:w="280" w:type="dxa"/>
            <w:vAlign w:val="bottom"/>
          </w:tcPr>
          <w:p>
            <w:pPr>
              <w:spacing w:after="0"/>
              <w:rPr>
                <w:sz w:val="24"/>
                <w:szCs w:val="24"/>
                <w:color w:val="auto"/>
              </w:rPr>
            </w:pPr>
          </w:p>
        </w:tc>
        <w:tc>
          <w:tcPr>
            <w:tcW w:w="8480" w:type="dxa"/>
            <w:vAlign w:val="bottom"/>
          </w:tcPr>
          <w:p>
            <w:pPr>
              <w:ind w:left="280"/>
              <w:spacing w:after="0"/>
              <w:rPr>
                <w:sz w:val="20"/>
                <w:szCs w:val="20"/>
                <w:color w:val="auto"/>
              </w:rPr>
            </w:pPr>
            <w:r>
              <w:rPr>
                <w:rFonts w:ascii="Arial" w:cs="Arial" w:eastAsia="Arial" w:hAnsi="Arial"/>
                <w:sz w:val="22"/>
                <w:szCs w:val="22"/>
                <w:color w:val="auto"/>
              </w:rPr>
              <w:t>The Loans</w:t>
            </w:r>
          </w:p>
        </w:tc>
        <w:tc>
          <w:tcPr>
            <w:tcW w:w="1880" w:type="dxa"/>
            <w:vAlign w:val="bottom"/>
            <w:gridSpan w:val="3"/>
          </w:tcPr>
          <w:p>
            <w:pPr>
              <w:jc w:val="right"/>
              <w:spacing w:after="0"/>
              <w:rPr>
                <w:sz w:val="20"/>
                <w:szCs w:val="20"/>
                <w:color w:val="auto"/>
              </w:rPr>
            </w:pPr>
            <w:r>
              <w:rPr>
                <w:rFonts w:ascii="Arial" w:cs="Arial" w:eastAsia="Arial" w:hAnsi="Arial"/>
                <w:sz w:val="22"/>
                <w:szCs w:val="22"/>
                <w:color w:val="auto"/>
              </w:rPr>
              <w:t>43</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2.02</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Borrowings, Conversions and Continuations of Loans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2.03</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Letters of Credit</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2.04</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Swing Line Loans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2.05</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Prepayments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2.06</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Termination or Reduction of Commitments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2.07</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Repayment of Loans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2.08</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Interest</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2.09</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Fees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2.10</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Computation of Interest and Fees; Retroactive Adjustments of Applicable Rate</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2.11</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Evidence of Debt</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2.12</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Payments Generally; Administrative Agent’s Clawback</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2.13</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Sharing of Payments by Lenders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2.14</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Increase in Commitments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2.15</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Cash Collateral</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2.16</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Defaulting Lenders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2.17</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Designated Borrowers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2.18</w:t>
            </w:r>
          </w:p>
        </w:tc>
        <w:tc>
          <w:tcPr>
            <w:tcW w:w="280" w:type="dxa"/>
            <w:vAlign w:val="bottom"/>
          </w:tcPr>
          <w:p>
            <w:pPr>
              <w:spacing w:after="0"/>
              <w:rPr>
                <w:sz w:val="23"/>
                <w:szCs w:val="23"/>
                <w:color w:val="auto"/>
              </w:rPr>
            </w:pPr>
          </w:p>
        </w:tc>
        <w:tc>
          <w:tcPr>
            <w:tcW w:w="8480" w:type="dxa"/>
            <w:vAlign w:val="bottom"/>
          </w:tcPr>
          <w:p>
            <w:pPr>
              <w:ind w:left="280"/>
              <w:spacing w:after="0"/>
              <w:rPr>
                <w:sz w:val="20"/>
                <w:szCs w:val="20"/>
                <w:color w:val="auto"/>
              </w:rPr>
            </w:pPr>
            <w:r>
              <w:rPr>
                <w:rFonts w:ascii="Arial" w:cs="Arial" w:eastAsia="Arial" w:hAnsi="Arial"/>
                <w:sz w:val="22"/>
                <w:szCs w:val="22"/>
                <w:color w:val="auto"/>
              </w:rPr>
              <w:t>Sustainability Adjustments</w:t>
            </w:r>
          </w:p>
        </w:tc>
        <w:tc>
          <w:tcPr>
            <w:tcW w:w="1880" w:type="dxa"/>
            <w:vAlign w:val="bottom"/>
            <w:gridSpan w:val="3"/>
          </w:tcPr>
          <w:p>
            <w:pPr>
              <w:jc w:val="right"/>
              <w:spacing w:after="0"/>
              <w:rPr>
                <w:sz w:val="20"/>
                <w:szCs w:val="20"/>
                <w:color w:val="auto"/>
              </w:rPr>
            </w:pPr>
            <w:r>
              <w:rPr>
                <w:rFonts w:ascii="Arial" w:cs="Arial" w:eastAsia="Arial" w:hAnsi="Arial"/>
                <w:sz w:val="22"/>
                <w:szCs w:val="22"/>
                <w:color w:val="auto"/>
              </w:rPr>
              <w:t>69</w:t>
            </w:r>
          </w:p>
        </w:tc>
      </w:tr>
      <w:tr>
        <w:trPr>
          <w:trHeight w:val="320"/>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tcPr>
          <w:p>
            <w:pPr>
              <w:jc w:val="center"/>
              <w:ind w:left="912"/>
              <w:spacing w:after="0"/>
              <w:rPr>
                <w:sz w:val="20"/>
                <w:szCs w:val="20"/>
                <w:color w:val="auto"/>
              </w:rPr>
            </w:pPr>
            <w:r>
              <w:rPr>
                <w:rFonts w:ascii="Arial" w:cs="Arial" w:eastAsia="Arial" w:hAnsi="Arial"/>
                <w:sz w:val="22"/>
                <w:szCs w:val="22"/>
                <w:color w:val="auto"/>
                <w:w w:val="98"/>
              </w:rPr>
              <w:t>ARTICLE III.</w:t>
            </w: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4"/>
        </w:trPr>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80" w:type="dxa"/>
            <w:vAlign w:val="bottom"/>
          </w:tcPr>
          <w:p>
            <w:pPr>
              <w:jc w:val="center"/>
              <w:ind w:left="892"/>
              <w:spacing w:after="0"/>
              <w:rPr>
                <w:sz w:val="20"/>
                <w:szCs w:val="20"/>
                <w:color w:val="auto"/>
              </w:rPr>
            </w:pPr>
            <w:r>
              <w:rPr>
                <w:rFonts w:ascii="Arial" w:cs="Arial" w:eastAsia="Arial" w:hAnsi="Arial"/>
                <w:sz w:val="22"/>
                <w:szCs w:val="22"/>
                <w:color w:val="auto"/>
                <w:w w:val="97"/>
              </w:rPr>
              <w:t>TAXES, YIELD PROTECTION AND ILLEGALITY</w:t>
            </w: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20"/>
        </w:trPr>
        <w:tc>
          <w:tcPr>
            <w:tcW w:w="600" w:type="dxa"/>
            <w:vAlign w:val="bottom"/>
          </w:tcPr>
          <w:p>
            <w:pPr>
              <w:spacing w:after="0"/>
              <w:rPr>
                <w:sz w:val="20"/>
                <w:szCs w:val="20"/>
                <w:color w:val="auto"/>
              </w:rPr>
            </w:pPr>
            <w:r>
              <w:rPr>
                <w:rFonts w:ascii="Arial" w:cs="Arial" w:eastAsia="Arial" w:hAnsi="Arial"/>
                <w:sz w:val="22"/>
                <w:szCs w:val="22"/>
                <w:color w:val="auto"/>
              </w:rPr>
              <w:t>3.01</w:t>
            </w:r>
          </w:p>
        </w:tc>
        <w:tc>
          <w:tcPr>
            <w:tcW w:w="280" w:type="dxa"/>
            <w:vAlign w:val="bottom"/>
          </w:tcPr>
          <w:p>
            <w:pPr>
              <w:spacing w:after="0"/>
              <w:rPr>
                <w:sz w:val="24"/>
                <w:szCs w:val="24"/>
                <w:color w:val="auto"/>
              </w:rPr>
            </w:pPr>
          </w:p>
        </w:tc>
        <w:tc>
          <w:tcPr>
            <w:tcW w:w="8480" w:type="dxa"/>
            <w:vAlign w:val="bottom"/>
          </w:tcPr>
          <w:p>
            <w:pPr>
              <w:ind w:left="280"/>
              <w:spacing w:after="0"/>
              <w:rPr>
                <w:sz w:val="20"/>
                <w:szCs w:val="20"/>
                <w:color w:val="auto"/>
              </w:rPr>
            </w:pPr>
            <w:r>
              <w:rPr>
                <w:rFonts w:ascii="Arial" w:cs="Arial" w:eastAsia="Arial" w:hAnsi="Arial"/>
                <w:sz w:val="22"/>
                <w:szCs w:val="22"/>
                <w:color w:val="auto"/>
              </w:rPr>
              <w:t>Taxes</w:t>
            </w:r>
          </w:p>
        </w:tc>
        <w:tc>
          <w:tcPr>
            <w:tcW w:w="1880" w:type="dxa"/>
            <w:vAlign w:val="bottom"/>
            <w:gridSpan w:val="3"/>
          </w:tcPr>
          <w:p>
            <w:pPr>
              <w:jc w:val="right"/>
              <w:spacing w:after="0"/>
              <w:rPr>
                <w:sz w:val="20"/>
                <w:szCs w:val="20"/>
                <w:color w:val="auto"/>
              </w:rPr>
            </w:pPr>
            <w:r>
              <w:rPr>
                <w:rFonts w:ascii="Arial" w:cs="Arial" w:eastAsia="Arial" w:hAnsi="Arial"/>
                <w:sz w:val="22"/>
                <w:szCs w:val="22"/>
                <w:color w:val="auto"/>
              </w:rPr>
              <w:t>70</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3.02</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Illegality</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3.03</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Inability to Determine Rates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3.04</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Increased Costs; Reserves on Eurocurrency Rate Loans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600" w:type="dxa"/>
            <w:vAlign w:val="bottom"/>
          </w:tcPr>
          <w:p>
            <w:pPr>
              <w:spacing w:after="0" w:line="243" w:lineRule="exact"/>
              <w:rPr>
                <w:sz w:val="20"/>
                <w:szCs w:val="20"/>
                <w:color w:val="auto"/>
              </w:rPr>
            </w:pPr>
            <w:r>
              <w:rPr>
                <w:rFonts w:ascii="Arial" w:cs="Arial" w:eastAsia="Arial" w:hAnsi="Arial"/>
                <w:sz w:val="22"/>
                <w:szCs w:val="22"/>
                <w:color w:val="auto"/>
              </w:rPr>
              <w:t>3.05</w:t>
            </w:r>
          </w:p>
        </w:tc>
        <w:tc>
          <w:tcPr>
            <w:tcW w:w="280" w:type="dxa"/>
            <w:vAlign w:val="bottom"/>
          </w:tcPr>
          <w:p>
            <w:pPr>
              <w:spacing w:after="0"/>
              <w:rPr>
                <w:sz w:val="21"/>
                <w:szCs w:val="21"/>
                <w:color w:val="auto"/>
              </w:rPr>
            </w:pPr>
          </w:p>
        </w:tc>
        <w:tc>
          <w:tcPr>
            <w:tcW w:w="8480" w:type="dxa"/>
            <w:vAlign w:val="bottom"/>
          </w:tcPr>
          <w:p>
            <w:pPr>
              <w:ind w:left="280"/>
              <w:spacing w:after="0" w:line="243" w:lineRule="exact"/>
              <w:rPr>
                <w:sz w:val="20"/>
                <w:szCs w:val="20"/>
                <w:color w:val="auto"/>
              </w:rPr>
            </w:pPr>
            <w:r>
              <w:rPr>
                <w:rFonts w:ascii="Arial" w:cs="Arial" w:eastAsia="Arial" w:hAnsi="Arial"/>
                <w:sz w:val="22"/>
                <w:szCs w:val="22"/>
                <w:color w:val="auto"/>
              </w:rPr>
              <w:t>Compensation for Losses</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3.06</w:t>
            </w:r>
          </w:p>
        </w:tc>
        <w:tc>
          <w:tcPr>
            <w:tcW w:w="280" w:type="dxa"/>
            <w:vAlign w:val="bottom"/>
          </w:tcPr>
          <w:p>
            <w:pPr>
              <w:spacing w:after="0"/>
              <w:rPr>
                <w:sz w:val="23"/>
                <w:szCs w:val="23"/>
                <w:color w:val="auto"/>
              </w:rPr>
            </w:pPr>
          </w:p>
        </w:tc>
        <w:tc>
          <w:tcPr>
            <w:tcW w:w="8480" w:type="dxa"/>
            <w:vAlign w:val="bottom"/>
          </w:tcPr>
          <w:p>
            <w:pPr>
              <w:ind w:left="280"/>
              <w:spacing w:after="0"/>
              <w:rPr>
                <w:sz w:val="20"/>
                <w:szCs w:val="20"/>
                <w:color w:val="auto"/>
              </w:rPr>
            </w:pPr>
            <w:r>
              <w:rPr>
                <w:rFonts w:ascii="Arial" w:cs="Arial" w:eastAsia="Arial" w:hAnsi="Arial"/>
                <w:sz w:val="22"/>
                <w:szCs w:val="22"/>
                <w:color w:val="auto"/>
              </w:rPr>
              <w:t>Mitigation Obligations; Replacement of Lenders</w:t>
            </w:r>
          </w:p>
        </w:tc>
        <w:tc>
          <w:tcPr>
            <w:tcW w:w="1880" w:type="dxa"/>
            <w:vAlign w:val="bottom"/>
            <w:gridSpan w:val="3"/>
          </w:tcPr>
          <w:p>
            <w:pPr>
              <w:jc w:val="right"/>
              <w:spacing w:after="0"/>
              <w:rPr>
                <w:sz w:val="20"/>
                <w:szCs w:val="20"/>
                <w:color w:val="auto"/>
              </w:rPr>
            </w:pPr>
            <w:r>
              <w:rPr>
                <w:rFonts w:ascii="Arial" w:cs="Arial" w:eastAsia="Arial" w:hAnsi="Arial"/>
                <w:sz w:val="22"/>
                <w:szCs w:val="22"/>
                <w:color w:val="auto"/>
              </w:rPr>
              <w:t>81</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3.07</w:t>
            </w:r>
          </w:p>
        </w:tc>
        <w:tc>
          <w:tcPr>
            <w:tcW w:w="8840" w:type="dxa"/>
            <w:vAlign w:val="bottom"/>
          </w:tcPr>
          <w:p>
            <w:pPr>
              <w:ind w:left="380"/>
              <w:spacing w:after="0"/>
              <w:rPr>
                <w:sz w:val="20"/>
                <w:szCs w:val="20"/>
                <w:color w:val="auto"/>
              </w:rPr>
            </w:pPr>
            <w:r>
              <w:rPr>
                <w:rFonts w:ascii="Arial" w:cs="Arial" w:eastAsia="Arial" w:hAnsi="Arial"/>
                <w:sz w:val="22"/>
                <w:szCs w:val="22"/>
                <w:color w:val="auto"/>
              </w:rPr>
              <w:t>Survival</w:t>
            </w:r>
          </w:p>
        </w:tc>
        <w:tc>
          <w:tcPr>
            <w:tcW w:w="162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20"/>
        </w:trPr>
        <w:tc>
          <w:tcPr>
            <w:tcW w:w="780" w:type="dxa"/>
            <w:vAlign w:val="bottom"/>
          </w:tcPr>
          <w:p>
            <w:pPr>
              <w:spacing w:after="0"/>
              <w:rPr>
                <w:sz w:val="24"/>
                <w:szCs w:val="24"/>
                <w:color w:val="auto"/>
              </w:rPr>
            </w:pPr>
          </w:p>
        </w:tc>
        <w:tc>
          <w:tcPr>
            <w:tcW w:w="8840" w:type="dxa"/>
            <w:vAlign w:val="bottom"/>
          </w:tcPr>
          <w:p>
            <w:pPr>
              <w:jc w:val="center"/>
              <w:ind w:left="732"/>
              <w:spacing w:after="0"/>
              <w:rPr>
                <w:sz w:val="20"/>
                <w:szCs w:val="20"/>
                <w:color w:val="auto"/>
              </w:rPr>
            </w:pPr>
            <w:r>
              <w:rPr>
                <w:rFonts w:ascii="Arial" w:cs="Arial" w:eastAsia="Arial" w:hAnsi="Arial"/>
                <w:sz w:val="22"/>
                <w:szCs w:val="22"/>
                <w:color w:val="auto"/>
                <w:w w:val="95"/>
              </w:rPr>
              <w:t>ARTICLE IV.</w:t>
            </w:r>
          </w:p>
        </w:tc>
        <w:tc>
          <w:tcPr>
            <w:tcW w:w="1620" w:type="dxa"/>
            <w:vAlign w:val="bottom"/>
          </w:tcPr>
          <w:p>
            <w:pPr>
              <w:spacing w:after="0"/>
              <w:rPr>
                <w:sz w:val="24"/>
                <w:szCs w:val="24"/>
                <w:color w:val="auto"/>
              </w:rPr>
            </w:pPr>
          </w:p>
        </w:tc>
      </w:tr>
      <w:tr>
        <w:trPr>
          <w:trHeight w:val="274"/>
        </w:trPr>
        <w:tc>
          <w:tcPr>
            <w:tcW w:w="780" w:type="dxa"/>
            <w:vAlign w:val="bottom"/>
          </w:tcPr>
          <w:p>
            <w:pPr>
              <w:spacing w:after="0"/>
              <w:rPr>
                <w:sz w:val="23"/>
                <w:szCs w:val="23"/>
                <w:color w:val="auto"/>
              </w:rPr>
            </w:pPr>
          </w:p>
        </w:tc>
        <w:tc>
          <w:tcPr>
            <w:tcW w:w="8840" w:type="dxa"/>
            <w:vAlign w:val="bottom"/>
          </w:tcPr>
          <w:p>
            <w:pPr>
              <w:jc w:val="center"/>
              <w:ind w:left="752"/>
              <w:spacing w:after="0"/>
              <w:rPr>
                <w:sz w:val="20"/>
                <w:szCs w:val="20"/>
                <w:color w:val="auto"/>
              </w:rPr>
            </w:pPr>
            <w:r>
              <w:rPr>
                <w:rFonts w:ascii="Arial" w:cs="Arial" w:eastAsia="Arial" w:hAnsi="Arial"/>
                <w:sz w:val="22"/>
                <w:szCs w:val="22"/>
                <w:color w:val="auto"/>
                <w:w w:val="93"/>
              </w:rPr>
              <w:t>CONDITIONS PRECEDENT TO CREDIT EXTENSIONS</w:t>
            </w:r>
          </w:p>
        </w:tc>
        <w:tc>
          <w:tcPr>
            <w:tcW w:w="1620" w:type="dxa"/>
            <w:vAlign w:val="bottom"/>
          </w:tcPr>
          <w:p>
            <w:pPr>
              <w:spacing w:after="0"/>
              <w:rPr>
                <w:sz w:val="23"/>
                <w:szCs w:val="23"/>
                <w:color w:val="auto"/>
              </w:rPr>
            </w:pPr>
          </w:p>
        </w:tc>
      </w:tr>
      <w:tr>
        <w:trPr>
          <w:trHeight w:val="320"/>
        </w:trPr>
        <w:tc>
          <w:tcPr>
            <w:tcW w:w="780" w:type="dxa"/>
            <w:vAlign w:val="bottom"/>
          </w:tcPr>
          <w:p>
            <w:pPr>
              <w:spacing w:after="0"/>
              <w:rPr>
                <w:sz w:val="20"/>
                <w:szCs w:val="20"/>
                <w:color w:val="auto"/>
              </w:rPr>
            </w:pPr>
            <w:r>
              <w:rPr>
                <w:rFonts w:ascii="Arial" w:cs="Arial" w:eastAsia="Arial" w:hAnsi="Arial"/>
                <w:sz w:val="22"/>
                <w:szCs w:val="22"/>
                <w:color w:val="auto"/>
              </w:rPr>
              <w:t>4.01</w:t>
            </w:r>
          </w:p>
        </w:tc>
        <w:tc>
          <w:tcPr>
            <w:tcW w:w="8840" w:type="dxa"/>
            <w:vAlign w:val="bottom"/>
          </w:tcPr>
          <w:p>
            <w:pPr>
              <w:ind w:left="380"/>
              <w:spacing w:after="0"/>
              <w:rPr>
                <w:sz w:val="20"/>
                <w:szCs w:val="20"/>
                <w:color w:val="auto"/>
              </w:rPr>
            </w:pPr>
            <w:r>
              <w:rPr>
                <w:rFonts w:ascii="Arial" w:cs="Arial" w:eastAsia="Arial" w:hAnsi="Arial"/>
                <w:sz w:val="22"/>
                <w:szCs w:val="22"/>
                <w:color w:val="auto"/>
              </w:rPr>
              <w:t>Conditions of Initial Credit Extension</w:t>
            </w:r>
          </w:p>
        </w:tc>
        <w:tc>
          <w:tcPr>
            <w:tcW w:w="162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4.02</w:t>
            </w:r>
          </w:p>
        </w:tc>
        <w:tc>
          <w:tcPr>
            <w:tcW w:w="8840" w:type="dxa"/>
            <w:vAlign w:val="bottom"/>
          </w:tcPr>
          <w:p>
            <w:pPr>
              <w:ind w:left="380"/>
              <w:spacing w:after="0"/>
              <w:rPr>
                <w:sz w:val="20"/>
                <w:szCs w:val="20"/>
                <w:color w:val="auto"/>
              </w:rPr>
            </w:pPr>
            <w:r>
              <w:rPr>
                <w:rFonts w:ascii="Arial" w:cs="Arial" w:eastAsia="Arial" w:hAnsi="Arial"/>
                <w:sz w:val="22"/>
                <w:szCs w:val="22"/>
                <w:color w:val="auto"/>
              </w:rPr>
              <w:t>Conditions to all Credit Extensions</w:t>
            </w:r>
          </w:p>
        </w:tc>
        <w:tc>
          <w:tcPr>
            <w:tcW w:w="162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20"/>
        </w:trPr>
        <w:tc>
          <w:tcPr>
            <w:tcW w:w="780" w:type="dxa"/>
            <w:vAlign w:val="bottom"/>
          </w:tcPr>
          <w:p>
            <w:pPr>
              <w:spacing w:after="0"/>
              <w:rPr>
                <w:sz w:val="24"/>
                <w:szCs w:val="24"/>
                <w:color w:val="auto"/>
              </w:rPr>
            </w:pPr>
          </w:p>
        </w:tc>
        <w:tc>
          <w:tcPr>
            <w:tcW w:w="8840" w:type="dxa"/>
            <w:vAlign w:val="bottom"/>
          </w:tcPr>
          <w:p>
            <w:pPr>
              <w:jc w:val="center"/>
              <w:ind w:left="752"/>
              <w:spacing w:after="0"/>
              <w:rPr>
                <w:sz w:val="20"/>
                <w:szCs w:val="20"/>
                <w:color w:val="auto"/>
              </w:rPr>
            </w:pPr>
            <w:r>
              <w:rPr>
                <w:rFonts w:ascii="Arial" w:cs="Arial" w:eastAsia="Arial" w:hAnsi="Arial"/>
                <w:sz w:val="22"/>
                <w:szCs w:val="22"/>
                <w:color w:val="auto"/>
                <w:w w:val="95"/>
              </w:rPr>
              <w:t>ARTICLE V.</w:t>
            </w:r>
          </w:p>
        </w:tc>
        <w:tc>
          <w:tcPr>
            <w:tcW w:w="1620" w:type="dxa"/>
            <w:vAlign w:val="bottom"/>
          </w:tcPr>
          <w:p>
            <w:pPr>
              <w:spacing w:after="0"/>
              <w:rPr>
                <w:sz w:val="24"/>
                <w:szCs w:val="24"/>
                <w:color w:val="auto"/>
              </w:rPr>
            </w:pPr>
          </w:p>
        </w:tc>
      </w:tr>
      <w:tr>
        <w:trPr>
          <w:trHeight w:val="274"/>
        </w:trPr>
        <w:tc>
          <w:tcPr>
            <w:tcW w:w="780" w:type="dxa"/>
            <w:vAlign w:val="bottom"/>
          </w:tcPr>
          <w:p>
            <w:pPr>
              <w:spacing w:after="0"/>
              <w:rPr>
                <w:sz w:val="23"/>
                <w:szCs w:val="23"/>
                <w:color w:val="auto"/>
              </w:rPr>
            </w:pPr>
          </w:p>
        </w:tc>
        <w:tc>
          <w:tcPr>
            <w:tcW w:w="8840" w:type="dxa"/>
            <w:vAlign w:val="bottom"/>
          </w:tcPr>
          <w:p>
            <w:pPr>
              <w:jc w:val="center"/>
              <w:ind w:left="732"/>
              <w:spacing w:after="0"/>
              <w:rPr>
                <w:sz w:val="20"/>
                <w:szCs w:val="20"/>
                <w:color w:val="auto"/>
              </w:rPr>
            </w:pPr>
            <w:r>
              <w:rPr>
                <w:rFonts w:ascii="Arial" w:cs="Arial" w:eastAsia="Arial" w:hAnsi="Arial"/>
                <w:sz w:val="22"/>
                <w:szCs w:val="22"/>
                <w:color w:val="auto"/>
                <w:w w:val="92"/>
              </w:rPr>
              <w:t>REPRESENTATIONS AND WARRANTIES</w:t>
            </w:r>
          </w:p>
        </w:tc>
        <w:tc>
          <w:tcPr>
            <w:tcW w:w="1620" w:type="dxa"/>
            <w:vAlign w:val="bottom"/>
          </w:tcPr>
          <w:p>
            <w:pPr>
              <w:spacing w:after="0"/>
              <w:rPr>
                <w:sz w:val="23"/>
                <w:szCs w:val="23"/>
                <w:color w:val="auto"/>
              </w:rPr>
            </w:pPr>
          </w:p>
        </w:tc>
      </w:tr>
      <w:tr>
        <w:trPr>
          <w:trHeight w:val="320"/>
        </w:trPr>
        <w:tc>
          <w:tcPr>
            <w:tcW w:w="780" w:type="dxa"/>
            <w:vAlign w:val="bottom"/>
          </w:tcPr>
          <w:p>
            <w:pPr>
              <w:spacing w:after="0"/>
              <w:rPr>
                <w:sz w:val="20"/>
                <w:szCs w:val="20"/>
                <w:color w:val="auto"/>
              </w:rPr>
            </w:pPr>
            <w:r>
              <w:rPr>
                <w:rFonts w:ascii="Arial" w:cs="Arial" w:eastAsia="Arial" w:hAnsi="Arial"/>
                <w:sz w:val="22"/>
                <w:szCs w:val="22"/>
                <w:color w:val="auto"/>
              </w:rPr>
              <w:t>5.01</w:t>
            </w:r>
          </w:p>
        </w:tc>
        <w:tc>
          <w:tcPr>
            <w:tcW w:w="8840" w:type="dxa"/>
            <w:vAlign w:val="bottom"/>
          </w:tcPr>
          <w:p>
            <w:pPr>
              <w:ind w:left="380"/>
              <w:spacing w:after="0"/>
              <w:rPr>
                <w:sz w:val="20"/>
                <w:szCs w:val="20"/>
                <w:color w:val="auto"/>
              </w:rPr>
            </w:pPr>
            <w:r>
              <w:rPr>
                <w:rFonts w:ascii="Arial" w:cs="Arial" w:eastAsia="Arial" w:hAnsi="Arial"/>
                <w:sz w:val="22"/>
                <w:szCs w:val="22"/>
                <w:color w:val="auto"/>
              </w:rPr>
              <w:t>Existence, Qualification and Power</w:t>
            </w:r>
          </w:p>
        </w:tc>
        <w:tc>
          <w:tcPr>
            <w:tcW w:w="16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5.02</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Authorization; No Contravention</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5.03</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Governmental Authorization; Other Consents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5.04</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Binding Effect</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5.05</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Financial Statements; No Material Adverse Effect</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5.06</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Litigation</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5.07</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No Default</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5.08</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Ownership of Property; Liens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5.09</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Environmental Compliance</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5.10</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Insurance</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5.11</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Taxes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5.12</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ERISA Compliance</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5.13</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Subsidiaries; Equity Interests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5.14</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Margin Regulations; Investment Company Act</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5.15</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Copyrights, Patents, Trademarks and Licenses, Etc</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5.16</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Disclosure</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5.17</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Compliance with Laws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5.18</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Representations as to Foreign Obligors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5.19</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Taxpayer Identification Number; Other Identifying Information</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5.20</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OFAC</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5.21</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Anti-Corruption Laws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5.22</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Beneficial Ownership</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5.23</w:t>
            </w:r>
          </w:p>
        </w:tc>
        <w:tc>
          <w:tcPr>
            <w:tcW w:w="8840" w:type="dxa"/>
            <w:vAlign w:val="bottom"/>
          </w:tcPr>
          <w:p>
            <w:pPr>
              <w:ind w:left="380"/>
              <w:spacing w:after="0"/>
              <w:rPr>
                <w:sz w:val="20"/>
                <w:szCs w:val="20"/>
                <w:color w:val="auto"/>
              </w:rPr>
            </w:pPr>
            <w:r>
              <w:rPr>
                <w:rFonts w:ascii="Arial" w:cs="Arial" w:eastAsia="Arial" w:hAnsi="Arial"/>
                <w:sz w:val="22"/>
                <w:szCs w:val="22"/>
                <w:color w:val="auto"/>
              </w:rPr>
              <w:t>Covered Entity</w:t>
            </w:r>
          </w:p>
        </w:tc>
        <w:tc>
          <w:tcPr>
            <w:tcW w:w="16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20"/>
        </w:trPr>
        <w:tc>
          <w:tcPr>
            <w:tcW w:w="780" w:type="dxa"/>
            <w:vAlign w:val="bottom"/>
          </w:tcPr>
          <w:p>
            <w:pPr>
              <w:spacing w:after="0"/>
              <w:rPr>
                <w:sz w:val="24"/>
                <w:szCs w:val="24"/>
                <w:color w:val="auto"/>
              </w:rPr>
            </w:pPr>
          </w:p>
        </w:tc>
        <w:tc>
          <w:tcPr>
            <w:tcW w:w="8840" w:type="dxa"/>
            <w:vAlign w:val="bottom"/>
          </w:tcPr>
          <w:p>
            <w:pPr>
              <w:jc w:val="center"/>
              <w:ind w:left="732"/>
              <w:spacing w:after="0"/>
              <w:rPr>
                <w:sz w:val="20"/>
                <w:szCs w:val="20"/>
                <w:color w:val="auto"/>
              </w:rPr>
            </w:pPr>
            <w:r>
              <w:rPr>
                <w:rFonts w:ascii="Arial" w:cs="Arial" w:eastAsia="Arial" w:hAnsi="Arial"/>
                <w:sz w:val="22"/>
                <w:szCs w:val="22"/>
                <w:color w:val="auto"/>
                <w:w w:val="98"/>
              </w:rPr>
              <w:t>ARTICLE VI.</w:t>
            </w:r>
          </w:p>
        </w:tc>
        <w:tc>
          <w:tcPr>
            <w:tcW w:w="1620" w:type="dxa"/>
            <w:vAlign w:val="bottom"/>
          </w:tcPr>
          <w:p>
            <w:pPr>
              <w:spacing w:after="0"/>
              <w:rPr>
                <w:sz w:val="24"/>
                <w:szCs w:val="24"/>
                <w:color w:val="auto"/>
              </w:rPr>
            </w:pPr>
          </w:p>
        </w:tc>
      </w:tr>
      <w:tr>
        <w:trPr>
          <w:trHeight w:val="274"/>
        </w:trPr>
        <w:tc>
          <w:tcPr>
            <w:tcW w:w="780" w:type="dxa"/>
            <w:vAlign w:val="bottom"/>
          </w:tcPr>
          <w:p>
            <w:pPr>
              <w:spacing w:after="0"/>
              <w:rPr>
                <w:sz w:val="23"/>
                <w:szCs w:val="23"/>
                <w:color w:val="auto"/>
              </w:rPr>
            </w:pPr>
          </w:p>
        </w:tc>
        <w:tc>
          <w:tcPr>
            <w:tcW w:w="8840" w:type="dxa"/>
            <w:vAlign w:val="bottom"/>
          </w:tcPr>
          <w:p>
            <w:pPr>
              <w:jc w:val="center"/>
              <w:ind w:left="732"/>
              <w:spacing w:after="0"/>
              <w:rPr>
                <w:sz w:val="20"/>
                <w:szCs w:val="20"/>
                <w:color w:val="auto"/>
              </w:rPr>
            </w:pPr>
            <w:r>
              <w:rPr>
                <w:rFonts w:ascii="Arial" w:cs="Arial" w:eastAsia="Arial" w:hAnsi="Arial"/>
                <w:sz w:val="22"/>
                <w:szCs w:val="22"/>
                <w:color w:val="auto"/>
                <w:w w:val="97"/>
              </w:rPr>
              <w:t>AFFIRMATIVE COVENANTS</w:t>
            </w:r>
          </w:p>
        </w:tc>
        <w:tc>
          <w:tcPr>
            <w:tcW w:w="1620" w:type="dxa"/>
            <w:vAlign w:val="bottom"/>
          </w:tcPr>
          <w:p>
            <w:pPr>
              <w:spacing w:after="0"/>
              <w:rPr>
                <w:sz w:val="23"/>
                <w:szCs w:val="23"/>
                <w:color w:val="auto"/>
              </w:rPr>
            </w:pPr>
          </w:p>
        </w:tc>
      </w:tr>
      <w:tr>
        <w:trPr>
          <w:trHeight w:val="320"/>
        </w:trPr>
        <w:tc>
          <w:tcPr>
            <w:tcW w:w="780" w:type="dxa"/>
            <w:vAlign w:val="bottom"/>
          </w:tcPr>
          <w:p>
            <w:pPr>
              <w:spacing w:after="0"/>
              <w:rPr>
                <w:sz w:val="20"/>
                <w:szCs w:val="20"/>
                <w:color w:val="auto"/>
              </w:rPr>
            </w:pPr>
            <w:r>
              <w:rPr>
                <w:rFonts w:ascii="Arial" w:cs="Arial" w:eastAsia="Arial" w:hAnsi="Arial"/>
                <w:sz w:val="22"/>
                <w:szCs w:val="22"/>
                <w:color w:val="auto"/>
              </w:rPr>
              <w:t>6.01</w:t>
            </w:r>
          </w:p>
        </w:tc>
        <w:tc>
          <w:tcPr>
            <w:tcW w:w="8840" w:type="dxa"/>
            <w:vAlign w:val="bottom"/>
          </w:tcPr>
          <w:p>
            <w:pPr>
              <w:ind w:left="380"/>
              <w:spacing w:after="0"/>
              <w:rPr>
                <w:sz w:val="20"/>
                <w:szCs w:val="20"/>
                <w:color w:val="auto"/>
              </w:rPr>
            </w:pPr>
            <w:r>
              <w:rPr>
                <w:rFonts w:ascii="Arial" w:cs="Arial" w:eastAsia="Arial" w:hAnsi="Arial"/>
                <w:sz w:val="22"/>
                <w:szCs w:val="22"/>
                <w:color w:val="auto"/>
              </w:rPr>
              <w:t>Financial Statements</w:t>
            </w:r>
          </w:p>
        </w:tc>
        <w:tc>
          <w:tcPr>
            <w:tcW w:w="16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6.02</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Certificates; Other Information</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6.03</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Notices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6.04</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Anti-Corruption Laws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6.05</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Preservation of Existence, Etc</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6.06</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Maintenance of Properties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6.07</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Maintenance of Insurance</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6.08</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Compliance with Laws and Contractual Obligations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6.09</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Books and Records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6.10</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Inspection Rights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color w:val="auto"/>
              </w:rPr>
              <w:t>6.11</w:t>
            </w:r>
          </w:p>
        </w:tc>
        <w:tc>
          <w:tcPr>
            <w:tcW w:w="8840" w:type="dxa"/>
            <w:vAlign w:val="bottom"/>
          </w:tcPr>
          <w:p>
            <w:pPr>
              <w:ind w:left="380"/>
              <w:spacing w:after="0" w:line="243" w:lineRule="exact"/>
              <w:rPr>
                <w:sz w:val="20"/>
                <w:szCs w:val="20"/>
                <w:color w:val="auto"/>
              </w:rPr>
            </w:pPr>
            <w:r>
              <w:rPr>
                <w:rFonts w:ascii="Arial" w:cs="Arial" w:eastAsia="Arial" w:hAnsi="Arial"/>
                <w:sz w:val="22"/>
                <w:szCs w:val="22"/>
                <w:color w:val="auto"/>
              </w:rPr>
              <w:t>Use of Proceeds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6.12</w:t>
            </w:r>
          </w:p>
        </w:tc>
        <w:tc>
          <w:tcPr>
            <w:tcW w:w="8840" w:type="dxa"/>
            <w:vAlign w:val="bottom"/>
          </w:tcPr>
          <w:p>
            <w:pPr>
              <w:ind w:left="380"/>
              <w:spacing w:after="0"/>
              <w:rPr>
                <w:sz w:val="20"/>
                <w:szCs w:val="20"/>
                <w:color w:val="auto"/>
              </w:rPr>
            </w:pPr>
            <w:r>
              <w:rPr>
                <w:rFonts w:ascii="Arial" w:cs="Arial" w:eastAsia="Arial" w:hAnsi="Arial"/>
                <w:sz w:val="22"/>
                <w:szCs w:val="22"/>
                <w:color w:val="auto"/>
              </w:rPr>
              <w:t>Approvals and Authorizations</w:t>
            </w:r>
          </w:p>
        </w:tc>
        <w:tc>
          <w:tcPr>
            <w:tcW w:w="1620" w:type="dxa"/>
            <w:vAlign w:val="bottom"/>
          </w:tcPr>
          <w:p>
            <w:pPr>
              <w:jc w:val="right"/>
              <w:spacing w:after="0"/>
              <w:rPr>
                <w:sz w:val="20"/>
                <w:szCs w:val="20"/>
                <w:color w:val="auto"/>
              </w:rPr>
            </w:pPr>
            <w:r>
              <w:rPr>
                <w:rFonts w:ascii="Arial" w:cs="Arial" w:eastAsia="Arial" w:hAnsi="Arial"/>
                <w:sz w:val="22"/>
                <w:szCs w:val="22"/>
                <w:color w:val="auto"/>
              </w:rPr>
              <w:t>94</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1"/>
                <w:szCs w:val="21"/>
                <w:color w:val="auto"/>
              </w:rPr>
            </w:pPr>
          </w:p>
        </w:tc>
        <w:tc>
          <w:tcPr>
            <w:tcW w:w="8720" w:type="dxa"/>
            <w:vAlign w:val="bottom"/>
          </w:tcPr>
          <w:p>
            <w:pPr>
              <w:jc w:val="center"/>
              <w:ind w:left="792"/>
              <w:spacing w:after="0"/>
              <w:rPr>
                <w:sz w:val="20"/>
                <w:szCs w:val="20"/>
                <w:color w:val="auto"/>
              </w:rPr>
            </w:pPr>
            <w:r>
              <w:rPr>
                <w:rFonts w:ascii="Arial" w:cs="Arial" w:eastAsia="Arial" w:hAnsi="Arial"/>
                <w:sz w:val="22"/>
                <w:szCs w:val="22"/>
                <w:color w:val="auto"/>
                <w:w w:val="98"/>
              </w:rPr>
              <w:t>ARTICLE VII.</w:t>
            </w:r>
          </w:p>
        </w:tc>
        <w:tc>
          <w:tcPr>
            <w:tcW w:w="1700" w:type="dxa"/>
            <w:vAlign w:val="bottom"/>
          </w:tcPr>
          <w:p>
            <w:pPr>
              <w:spacing w:after="0"/>
              <w:rPr>
                <w:sz w:val="21"/>
                <w:szCs w:val="21"/>
                <w:color w:val="auto"/>
              </w:rPr>
            </w:pPr>
          </w:p>
        </w:tc>
      </w:tr>
      <w:tr>
        <w:trPr>
          <w:trHeight w:val="274"/>
        </w:trPr>
        <w:tc>
          <w:tcPr>
            <w:tcW w:w="820" w:type="dxa"/>
            <w:vAlign w:val="bottom"/>
          </w:tcPr>
          <w:p>
            <w:pPr>
              <w:spacing w:after="0"/>
              <w:rPr>
                <w:sz w:val="23"/>
                <w:szCs w:val="23"/>
                <w:color w:val="auto"/>
              </w:rPr>
            </w:pPr>
          </w:p>
        </w:tc>
        <w:tc>
          <w:tcPr>
            <w:tcW w:w="8720" w:type="dxa"/>
            <w:vAlign w:val="bottom"/>
          </w:tcPr>
          <w:p>
            <w:pPr>
              <w:jc w:val="center"/>
              <w:ind w:left="772"/>
              <w:spacing w:after="0"/>
              <w:rPr>
                <w:sz w:val="20"/>
                <w:szCs w:val="20"/>
                <w:color w:val="auto"/>
              </w:rPr>
            </w:pPr>
            <w:r>
              <w:rPr>
                <w:rFonts w:ascii="Arial" w:cs="Arial" w:eastAsia="Arial" w:hAnsi="Arial"/>
                <w:sz w:val="22"/>
                <w:szCs w:val="22"/>
                <w:color w:val="auto"/>
                <w:w w:val="95"/>
              </w:rPr>
              <w:t>NEGATIVE COVENANTS</w:t>
            </w:r>
          </w:p>
        </w:tc>
        <w:tc>
          <w:tcPr>
            <w:tcW w:w="1700" w:type="dxa"/>
            <w:vAlign w:val="bottom"/>
          </w:tcPr>
          <w:p>
            <w:pPr>
              <w:spacing w:after="0"/>
              <w:rPr>
                <w:sz w:val="23"/>
                <w:szCs w:val="23"/>
                <w:color w:val="auto"/>
              </w:rPr>
            </w:pPr>
          </w:p>
        </w:tc>
      </w:tr>
      <w:tr>
        <w:trPr>
          <w:trHeight w:val="320"/>
        </w:trPr>
        <w:tc>
          <w:tcPr>
            <w:tcW w:w="820" w:type="dxa"/>
            <w:vAlign w:val="bottom"/>
          </w:tcPr>
          <w:p>
            <w:pPr>
              <w:spacing w:after="0"/>
              <w:rPr>
                <w:sz w:val="20"/>
                <w:szCs w:val="20"/>
                <w:color w:val="auto"/>
              </w:rPr>
            </w:pPr>
            <w:r>
              <w:rPr>
                <w:rFonts w:ascii="Arial" w:cs="Arial" w:eastAsia="Arial" w:hAnsi="Arial"/>
                <w:sz w:val="22"/>
                <w:szCs w:val="22"/>
                <w:color w:val="auto"/>
              </w:rPr>
              <w:t>7.01</w:t>
            </w:r>
          </w:p>
        </w:tc>
        <w:tc>
          <w:tcPr>
            <w:tcW w:w="8720" w:type="dxa"/>
            <w:vAlign w:val="bottom"/>
          </w:tcPr>
          <w:p>
            <w:pPr>
              <w:ind w:left="340"/>
              <w:spacing w:after="0"/>
              <w:rPr>
                <w:sz w:val="20"/>
                <w:szCs w:val="20"/>
                <w:color w:val="auto"/>
              </w:rPr>
            </w:pPr>
            <w:r>
              <w:rPr>
                <w:rFonts w:ascii="Arial" w:cs="Arial" w:eastAsia="Arial" w:hAnsi="Arial"/>
                <w:sz w:val="22"/>
                <w:szCs w:val="22"/>
                <w:color w:val="auto"/>
              </w:rPr>
              <w:t>Limitation on Liens</w:t>
            </w:r>
          </w:p>
        </w:tc>
        <w:tc>
          <w:tcPr>
            <w:tcW w:w="170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7.02</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Disposition of Assets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96</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7.03</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Consolidations and Mergers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7.04</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Restricted Payments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7.05</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Maximum Leverage Ratio</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7.06</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Red Iron</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7.07</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Sanctions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7.08</w:t>
            </w:r>
          </w:p>
        </w:tc>
        <w:tc>
          <w:tcPr>
            <w:tcW w:w="8720" w:type="dxa"/>
            <w:vAlign w:val="bottom"/>
          </w:tcPr>
          <w:p>
            <w:pPr>
              <w:ind w:left="340"/>
              <w:spacing w:after="0"/>
              <w:rPr>
                <w:sz w:val="20"/>
                <w:szCs w:val="20"/>
                <w:color w:val="auto"/>
              </w:rPr>
            </w:pPr>
            <w:r>
              <w:rPr>
                <w:rFonts w:ascii="Arial" w:cs="Arial" w:eastAsia="Arial" w:hAnsi="Arial"/>
                <w:sz w:val="22"/>
                <w:szCs w:val="22"/>
                <w:color w:val="auto"/>
              </w:rPr>
              <w:t>Anti-Corruption Laws</w:t>
            </w:r>
          </w:p>
        </w:tc>
        <w:tc>
          <w:tcPr>
            <w:tcW w:w="170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320"/>
        </w:trPr>
        <w:tc>
          <w:tcPr>
            <w:tcW w:w="820" w:type="dxa"/>
            <w:vAlign w:val="bottom"/>
          </w:tcPr>
          <w:p>
            <w:pPr>
              <w:spacing w:after="0"/>
              <w:rPr>
                <w:sz w:val="24"/>
                <w:szCs w:val="24"/>
                <w:color w:val="auto"/>
              </w:rPr>
            </w:pPr>
          </w:p>
        </w:tc>
        <w:tc>
          <w:tcPr>
            <w:tcW w:w="8720" w:type="dxa"/>
            <w:vAlign w:val="bottom"/>
          </w:tcPr>
          <w:p>
            <w:pPr>
              <w:jc w:val="center"/>
              <w:ind w:left="792"/>
              <w:spacing w:after="0"/>
              <w:rPr>
                <w:sz w:val="20"/>
                <w:szCs w:val="20"/>
                <w:color w:val="auto"/>
              </w:rPr>
            </w:pPr>
            <w:r>
              <w:rPr>
                <w:rFonts w:ascii="Arial" w:cs="Arial" w:eastAsia="Arial" w:hAnsi="Arial"/>
                <w:sz w:val="22"/>
                <w:szCs w:val="22"/>
                <w:color w:val="auto"/>
                <w:w w:val="99"/>
              </w:rPr>
              <w:t>ARTICLE VIII.</w:t>
            </w:r>
          </w:p>
        </w:tc>
        <w:tc>
          <w:tcPr>
            <w:tcW w:w="1700" w:type="dxa"/>
            <w:vAlign w:val="bottom"/>
          </w:tcPr>
          <w:p>
            <w:pPr>
              <w:spacing w:after="0"/>
              <w:rPr>
                <w:sz w:val="24"/>
                <w:szCs w:val="24"/>
                <w:color w:val="auto"/>
              </w:rPr>
            </w:pPr>
          </w:p>
        </w:tc>
      </w:tr>
      <w:tr>
        <w:trPr>
          <w:trHeight w:val="274"/>
        </w:trPr>
        <w:tc>
          <w:tcPr>
            <w:tcW w:w="820" w:type="dxa"/>
            <w:vAlign w:val="bottom"/>
          </w:tcPr>
          <w:p>
            <w:pPr>
              <w:spacing w:after="0"/>
              <w:rPr>
                <w:sz w:val="23"/>
                <w:szCs w:val="23"/>
                <w:color w:val="auto"/>
              </w:rPr>
            </w:pPr>
          </w:p>
        </w:tc>
        <w:tc>
          <w:tcPr>
            <w:tcW w:w="8720" w:type="dxa"/>
            <w:vAlign w:val="bottom"/>
          </w:tcPr>
          <w:p>
            <w:pPr>
              <w:jc w:val="center"/>
              <w:ind w:left="792"/>
              <w:spacing w:after="0"/>
              <w:rPr>
                <w:sz w:val="20"/>
                <w:szCs w:val="20"/>
                <w:color w:val="auto"/>
              </w:rPr>
            </w:pPr>
            <w:r>
              <w:rPr>
                <w:rFonts w:ascii="Arial" w:cs="Arial" w:eastAsia="Arial" w:hAnsi="Arial"/>
                <w:sz w:val="22"/>
                <w:szCs w:val="22"/>
                <w:color w:val="auto"/>
                <w:w w:val="94"/>
              </w:rPr>
              <w:t>EVENTS OF DEFAULT AND REMEDIES</w:t>
            </w:r>
          </w:p>
        </w:tc>
        <w:tc>
          <w:tcPr>
            <w:tcW w:w="1700" w:type="dxa"/>
            <w:vAlign w:val="bottom"/>
          </w:tcPr>
          <w:p>
            <w:pPr>
              <w:spacing w:after="0"/>
              <w:rPr>
                <w:sz w:val="23"/>
                <w:szCs w:val="23"/>
                <w:color w:val="auto"/>
              </w:rPr>
            </w:pPr>
          </w:p>
        </w:tc>
      </w:tr>
      <w:tr>
        <w:trPr>
          <w:trHeight w:val="320"/>
        </w:trPr>
        <w:tc>
          <w:tcPr>
            <w:tcW w:w="820" w:type="dxa"/>
            <w:vAlign w:val="bottom"/>
          </w:tcPr>
          <w:p>
            <w:pPr>
              <w:spacing w:after="0"/>
              <w:rPr>
                <w:sz w:val="20"/>
                <w:szCs w:val="20"/>
                <w:color w:val="auto"/>
              </w:rPr>
            </w:pPr>
            <w:r>
              <w:rPr>
                <w:rFonts w:ascii="Arial" w:cs="Arial" w:eastAsia="Arial" w:hAnsi="Arial"/>
                <w:sz w:val="22"/>
                <w:szCs w:val="22"/>
                <w:color w:val="auto"/>
              </w:rPr>
              <w:t>8.01</w:t>
            </w:r>
          </w:p>
        </w:tc>
        <w:tc>
          <w:tcPr>
            <w:tcW w:w="8720" w:type="dxa"/>
            <w:vAlign w:val="bottom"/>
          </w:tcPr>
          <w:p>
            <w:pPr>
              <w:ind w:left="340"/>
              <w:spacing w:after="0"/>
              <w:rPr>
                <w:sz w:val="20"/>
                <w:szCs w:val="20"/>
                <w:color w:val="auto"/>
              </w:rPr>
            </w:pPr>
            <w:r>
              <w:rPr>
                <w:rFonts w:ascii="Arial" w:cs="Arial" w:eastAsia="Arial" w:hAnsi="Arial"/>
                <w:sz w:val="22"/>
                <w:szCs w:val="22"/>
                <w:color w:val="auto"/>
              </w:rPr>
              <w:t>Events of Default</w:t>
            </w:r>
          </w:p>
        </w:tc>
        <w:tc>
          <w:tcPr>
            <w:tcW w:w="170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8.02</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Remedies Upon Event of Default</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8.03</w:t>
            </w:r>
          </w:p>
        </w:tc>
        <w:tc>
          <w:tcPr>
            <w:tcW w:w="8720" w:type="dxa"/>
            <w:vAlign w:val="bottom"/>
          </w:tcPr>
          <w:p>
            <w:pPr>
              <w:ind w:left="340"/>
              <w:spacing w:after="0"/>
              <w:rPr>
                <w:sz w:val="20"/>
                <w:szCs w:val="20"/>
                <w:color w:val="auto"/>
              </w:rPr>
            </w:pPr>
            <w:r>
              <w:rPr>
                <w:rFonts w:ascii="Arial" w:cs="Arial" w:eastAsia="Arial" w:hAnsi="Arial"/>
                <w:sz w:val="22"/>
                <w:szCs w:val="22"/>
                <w:color w:val="auto"/>
              </w:rPr>
              <w:t>Application of Funds</w:t>
            </w:r>
          </w:p>
        </w:tc>
        <w:tc>
          <w:tcPr>
            <w:tcW w:w="170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320"/>
        </w:trPr>
        <w:tc>
          <w:tcPr>
            <w:tcW w:w="820" w:type="dxa"/>
            <w:vAlign w:val="bottom"/>
          </w:tcPr>
          <w:p>
            <w:pPr>
              <w:spacing w:after="0"/>
              <w:rPr>
                <w:sz w:val="24"/>
                <w:szCs w:val="24"/>
                <w:color w:val="auto"/>
              </w:rPr>
            </w:pPr>
          </w:p>
        </w:tc>
        <w:tc>
          <w:tcPr>
            <w:tcW w:w="8720" w:type="dxa"/>
            <w:vAlign w:val="bottom"/>
          </w:tcPr>
          <w:p>
            <w:pPr>
              <w:jc w:val="center"/>
              <w:ind w:left="772"/>
              <w:spacing w:after="0"/>
              <w:rPr>
                <w:sz w:val="20"/>
                <w:szCs w:val="20"/>
                <w:color w:val="auto"/>
              </w:rPr>
            </w:pPr>
            <w:r>
              <w:rPr>
                <w:rFonts w:ascii="Arial" w:cs="Arial" w:eastAsia="Arial" w:hAnsi="Arial"/>
                <w:sz w:val="22"/>
                <w:szCs w:val="22"/>
                <w:color w:val="auto"/>
                <w:w w:val="98"/>
              </w:rPr>
              <w:t>ARTICLE IX.</w:t>
            </w:r>
          </w:p>
        </w:tc>
        <w:tc>
          <w:tcPr>
            <w:tcW w:w="1700" w:type="dxa"/>
            <w:vAlign w:val="bottom"/>
          </w:tcPr>
          <w:p>
            <w:pPr>
              <w:spacing w:after="0"/>
              <w:rPr>
                <w:sz w:val="24"/>
                <w:szCs w:val="24"/>
                <w:color w:val="auto"/>
              </w:rPr>
            </w:pPr>
          </w:p>
        </w:tc>
      </w:tr>
      <w:tr>
        <w:trPr>
          <w:trHeight w:val="274"/>
        </w:trPr>
        <w:tc>
          <w:tcPr>
            <w:tcW w:w="820" w:type="dxa"/>
            <w:vAlign w:val="bottom"/>
          </w:tcPr>
          <w:p>
            <w:pPr>
              <w:spacing w:after="0"/>
              <w:rPr>
                <w:sz w:val="23"/>
                <w:szCs w:val="23"/>
                <w:color w:val="auto"/>
              </w:rPr>
            </w:pPr>
          </w:p>
        </w:tc>
        <w:tc>
          <w:tcPr>
            <w:tcW w:w="8720" w:type="dxa"/>
            <w:vAlign w:val="bottom"/>
          </w:tcPr>
          <w:p>
            <w:pPr>
              <w:jc w:val="center"/>
              <w:ind w:left="772"/>
              <w:spacing w:after="0"/>
              <w:rPr>
                <w:sz w:val="20"/>
                <w:szCs w:val="20"/>
                <w:color w:val="auto"/>
              </w:rPr>
            </w:pPr>
            <w:r>
              <w:rPr>
                <w:rFonts w:ascii="Arial" w:cs="Arial" w:eastAsia="Arial" w:hAnsi="Arial"/>
                <w:sz w:val="22"/>
                <w:szCs w:val="22"/>
                <w:color w:val="auto"/>
                <w:w w:val="97"/>
              </w:rPr>
              <w:t>ADMINISTRATIVE AGENT</w:t>
            </w:r>
          </w:p>
        </w:tc>
        <w:tc>
          <w:tcPr>
            <w:tcW w:w="1700" w:type="dxa"/>
            <w:vAlign w:val="bottom"/>
          </w:tcPr>
          <w:p>
            <w:pPr>
              <w:spacing w:after="0"/>
              <w:rPr>
                <w:sz w:val="23"/>
                <w:szCs w:val="23"/>
                <w:color w:val="auto"/>
              </w:rPr>
            </w:pPr>
          </w:p>
        </w:tc>
      </w:tr>
      <w:tr>
        <w:trPr>
          <w:trHeight w:val="320"/>
        </w:trPr>
        <w:tc>
          <w:tcPr>
            <w:tcW w:w="820" w:type="dxa"/>
            <w:vAlign w:val="bottom"/>
          </w:tcPr>
          <w:p>
            <w:pPr>
              <w:spacing w:after="0"/>
              <w:rPr>
                <w:sz w:val="20"/>
                <w:szCs w:val="20"/>
                <w:color w:val="auto"/>
              </w:rPr>
            </w:pPr>
            <w:r>
              <w:rPr>
                <w:rFonts w:ascii="Arial" w:cs="Arial" w:eastAsia="Arial" w:hAnsi="Arial"/>
                <w:sz w:val="22"/>
                <w:szCs w:val="22"/>
                <w:color w:val="auto"/>
              </w:rPr>
              <w:t>9.01</w:t>
            </w:r>
          </w:p>
        </w:tc>
        <w:tc>
          <w:tcPr>
            <w:tcW w:w="8720" w:type="dxa"/>
            <w:vAlign w:val="bottom"/>
          </w:tcPr>
          <w:p>
            <w:pPr>
              <w:ind w:left="340"/>
              <w:spacing w:after="0"/>
              <w:rPr>
                <w:sz w:val="20"/>
                <w:szCs w:val="20"/>
                <w:color w:val="auto"/>
              </w:rPr>
            </w:pPr>
            <w:r>
              <w:rPr>
                <w:rFonts w:ascii="Arial" w:cs="Arial" w:eastAsia="Arial" w:hAnsi="Arial"/>
                <w:sz w:val="22"/>
                <w:szCs w:val="22"/>
                <w:color w:val="auto"/>
              </w:rPr>
              <w:t>Appointment and Authority</w:t>
            </w:r>
          </w:p>
        </w:tc>
        <w:tc>
          <w:tcPr>
            <w:tcW w:w="170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9.02</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Rights as a Lender</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9.03</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Exculpatory Provisions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9.04</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Reliance by Administrative Agent</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9.05</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Delegation of Duties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9.06</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Resignation or Removal of Administrative Agent</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9.07</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Non-Reliance on the Administrative Agent, the Arrangers and the Other Lenders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9.08</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No Other Duties, Etc</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9.09</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Administrative Agent May File Proofs of Claim</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9.10</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Recovery of Erroneous Payments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9.11</w:t>
            </w:r>
          </w:p>
        </w:tc>
        <w:tc>
          <w:tcPr>
            <w:tcW w:w="8720" w:type="dxa"/>
            <w:vAlign w:val="bottom"/>
          </w:tcPr>
          <w:p>
            <w:pPr>
              <w:ind w:left="340"/>
              <w:spacing w:after="0"/>
              <w:rPr>
                <w:sz w:val="20"/>
                <w:szCs w:val="20"/>
                <w:color w:val="auto"/>
              </w:rPr>
            </w:pPr>
            <w:r>
              <w:rPr>
                <w:rFonts w:ascii="Arial" w:cs="Arial" w:eastAsia="Arial" w:hAnsi="Arial"/>
                <w:sz w:val="22"/>
                <w:szCs w:val="22"/>
                <w:color w:val="auto"/>
              </w:rPr>
              <w:t>No Lender is an Employee Benefit Plan</w:t>
            </w:r>
          </w:p>
        </w:tc>
        <w:tc>
          <w:tcPr>
            <w:tcW w:w="170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320"/>
        </w:trPr>
        <w:tc>
          <w:tcPr>
            <w:tcW w:w="820" w:type="dxa"/>
            <w:vAlign w:val="bottom"/>
          </w:tcPr>
          <w:p>
            <w:pPr>
              <w:spacing w:after="0"/>
              <w:rPr>
                <w:sz w:val="24"/>
                <w:szCs w:val="24"/>
                <w:color w:val="auto"/>
              </w:rPr>
            </w:pPr>
          </w:p>
        </w:tc>
        <w:tc>
          <w:tcPr>
            <w:tcW w:w="8720" w:type="dxa"/>
            <w:vAlign w:val="bottom"/>
          </w:tcPr>
          <w:p>
            <w:pPr>
              <w:jc w:val="center"/>
              <w:ind w:left="772"/>
              <w:spacing w:after="0"/>
              <w:rPr>
                <w:sz w:val="20"/>
                <w:szCs w:val="20"/>
                <w:color w:val="auto"/>
              </w:rPr>
            </w:pPr>
            <w:r>
              <w:rPr>
                <w:rFonts w:ascii="Arial" w:cs="Arial" w:eastAsia="Arial" w:hAnsi="Arial"/>
                <w:sz w:val="22"/>
                <w:szCs w:val="22"/>
                <w:color w:val="auto"/>
                <w:w w:val="96"/>
              </w:rPr>
              <w:t>ARTICLE X.</w:t>
            </w:r>
          </w:p>
        </w:tc>
        <w:tc>
          <w:tcPr>
            <w:tcW w:w="1700" w:type="dxa"/>
            <w:vAlign w:val="bottom"/>
          </w:tcPr>
          <w:p>
            <w:pPr>
              <w:spacing w:after="0"/>
              <w:rPr>
                <w:sz w:val="24"/>
                <w:szCs w:val="24"/>
                <w:color w:val="auto"/>
              </w:rPr>
            </w:pPr>
          </w:p>
        </w:tc>
      </w:tr>
      <w:tr>
        <w:trPr>
          <w:trHeight w:val="274"/>
        </w:trPr>
        <w:tc>
          <w:tcPr>
            <w:tcW w:w="820" w:type="dxa"/>
            <w:vAlign w:val="bottom"/>
          </w:tcPr>
          <w:p>
            <w:pPr>
              <w:spacing w:after="0"/>
              <w:rPr>
                <w:sz w:val="23"/>
                <w:szCs w:val="23"/>
                <w:color w:val="auto"/>
              </w:rPr>
            </w:pPr>
          </w:p>
        </w:tc>
        <w:tc>
          <w:tcPr>
            <w:tcW w:w="8720" w:type="dxa"/>
            <w:vAlign w:val="bottom"/>
          </w:tcPr>
          <w:p>
            <w:pPr>
              <w:jc w:val="center"/>
              <w:ind w:left="772"/>
              <w:spacing w:after="0"/>
              <w:rPr>
                <w:sz w:val="20"/>
                <w:szCs w:val="20"/>
                <w:color w:val="auto"/>
              </w:rPr>
            </w:pPr>
            <w:r>
              <w:rPr>
                <w:rFonts w:ascii="Arial" w:cs="Arial" w:eastAsia="Arial" w:hAnsi="Arial"/>
                <w:sz w:val="22"/>
                <w:szCs w:val="22"/>
                <w:color w:val="auto"/>
                <w:w w:val="88"/>
              </w:rPr>
              <w:t>Guaranty</w:t>
            </w:r>
          </w:p>
        </w:tc>
        <w:tc>
          <w:tcPr>
            <w:tcW w:w="1700" w:type="dxa"/>
            <w:vAlign w:val="bottom"/>
          </w:tcPr>
          <w:p>
            <w:pPr>
              <w:spacing w:after="0"/>
              <w:rPr>
                <w:sz w:val="23"/>
                <w:szCs w:val="23"/>
                <w:color w:val="auto"/>
              </w:rPr>
            </w:pPr>
          </w:p>
        </w:tc>
      </w:tr>
      <w:tr>
        <w:trPr>
          <w:trHeight w:val="320"/>
        </w:trPr>
        <w:tc>
          <w:tcPr>
            <w:tcW w:w="820" w:type="dxa"/>
            <w:vAlign w:val="bottom"/>
          </w:tcPr>
          <w:p>
            <w:pPr>
              <w:spacing w:after="0"/>
              <w:rPr>
                <w:sz w:val="20"/>
                <w:szCs w:val="20"/>
                <w:color w:val="auto"/>
              </w:rPr>
            </w:pPr>
            <w:r>
              <w:rPr>
                <w:rFonts w:ascii="Arial" w:cs="Arial" w:eastAsia="Arial" w:hAnsi="Arial"/>
                <w:sz w:val="22"/>
                <w:szCs w:val="22"/>
                <w:color w:val="auto"/>
              </w:rPr>
              <w:t>10.01</w:t>
            </w:r>
          </w:p>
        </w:tc>
        <w:tc>
          <w:tcPr>
            <w:tcW w:w="8720" w:type="dxa"/>
            <w:vAlign w:val="bottom"/>
          </w:tcPr>
          <w:p>
            <w:pPr>
              <w:ind w:left="340"/>
              <w:spacing w:after="0"/>
              <w:rPr>
                <w:sz w:val="20"/>
                <w:szCs w:val="20"/>
                <w:color w:val="auto"/>
              </w:rPr>
            </w:pPr>
            <w:r>
              <w:rPr>
                <w:rFonts w:ascii="Arial" w:cs="Arial" w:eastAsia="Arial" w:hAnsi="Arial"/>
                <w:sz w:val="22"/>
                <w:szCs w:val="22"/>
                <w:color w:val="auto"/>
              </w:rPr>
              <w:t>The Guaranty</w:t>
            </w:r>
          </w:p>
        </w:tc>
        <w:tc>
          <w:tcPr>
            <w:tcW w:w="170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10.02</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Guaranty Unconditional</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10.03</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Discharge Only Upon Payment In Full; Reinstatement In Certain Circumstances</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10.04</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Waiver by Toro</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10.05</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No Subrogation</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10.06</w:t>
            </w:r>
          </w:p>
        </w:tc>
        <w:tc>
          <w:tcPr>
            <w:tcW w:w="8720" w:type="dxa"/>
            <w:vAlign w:val="bottom"/>
          </w:tcPr>
          <w:p>
            <w:pPr>
              <w:ind w:left="340"/>
              <w:spacing w:after="0"/>
              <w:rPr>
                <w:sz w:val="20"/>
                <w:szCs w:val="20"/>
                <w:color w:val="auto"/>
              </w:rPr>
            </w:pPr>
            <w:r>
              <w:rPr>
                <w:rFonts w:ascii="Arial" w:cs="Arial" w:eastAsia="Arial" w:hAnsi="Arial"/>
                <w:sz w:val="22"/>
                <w:szCs w:val="22"/>
                <w:color w:val="auto"/>
              </w:rPr>
              <w:t>Stay of Acceleration</w:t>
            </w:r>
          </w:p>
        </w:tc>
        <w:tc>
          <w:tcPr>
            <w:tcW w:w="170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320"/>
        </w:trPr>
        <w:tc>
          <w:tcPr>
            <w:tcW w:w="820" w:type="dxa"/>
            <w:vAlign w:val="bottom"/>
          </w:tcPr>
          <w:p>
            <w:pPr>
              <w:spacing w:after="0"/>
              <w:rPr>
                <w:sz w:val="24"/>
                <w:szCs w:val="24"/>
                <w:color w:val="auto"/>
              </w:rPr>
            </w:pPr>
          </w:p>
        </w:tc>
        <w:tc>
          <w:tcPr>
            <w:tcW w:w="8720" w:type="dxa"/>
            <w:vAlign w:val="bottom"/>
          </w:tcPr>
          <w:p>
            <w:pPr>
              <w:jc w:val="center"/>
              <w:ind w:left="772"/>
              <w:spacing w:after="0"/>
              <w:rPr>
                <w:sz w:val="20"/>
                <w:szCs w:val="20"/>
                <w:color w:val="auto"/>
              </w:rPr>
            </w:pPr>
            <w:r>
              <w:rPr>
                <w:rFonts w:ascii="Arial" w:cs="Arial" w:eastAsia="Arial" w:hAnsi="Arial"/>
                <w:sz w:val="22"/>
                <w:szCs w:val="22"/>
                <w:color w:val="auto"/>
                <w:w w:val="98"/>
              </w:rPr>
              <w:t>ARTICLE XI.</w:t>
            </w:r>
          </w:p>
        </w:tc>
        <w:tc>
          <w:tcPr>
            <w:tcW w:w="1700" w:type="dxa"/>
            <w:vAlign w:val="bottom"/>
          </w:tcPr>
          <w:p>
            <w:pPr>
              <w:spacing w:after="0"/>
              <w:rPr>
                <w:sz w:val="24"/>
                <w:szCs w:val="24"/>
                <w:color w:val="auto"/>
              </w:rPr>
            </w:pPr>
          </w:p>
        </w:tc>
      </w:tr>
      <w:tr>
        <w:trPr>
          <w:trHeight w:val="274"/>
        </w:trPr>
        <w:tc>
          <w:tcPr>
            <w:tcW w:w="820" w:type="dxa"/>
            <w:vAlign w:val="bottom"/>
          </w:tcPr>
          <w:p>
            <w:pPr>
              <w:spacing w:after="0"/>
              <w:rPr>
                <w:sz w:val="23"/>
                <w:szCs w:val="23"/>
                <w:color w:val="auto"/>
              </w:rPr>
            </w:pPr>
          </w:p>
        </w:tc>
        <w:tc>
          <w:tcPr>
            <w:tcW w:w="8720" w:type="dxa"/>
            <w:vAlign w:val="bottom"/>
          </w:tcPr>
          <w:p>
            <w:pPr>
              <w:jc w:val="center"/>
              <w:ind w:left="772"/>
              <w:spacing w:after="0"/>
              <w:rPr>
                <w:sz w:val="20"/>
                <w:szCs w:val="20"/>
                <w:color w:val="auto"/>
              </w:rPr>
            </w:pPr>
            <w:r>
              <w:rPr>
                <w:rFonts w:ascii="Arial" w:cs="Arial" w:eastAsia="Arial" w:hAnsi="Arial"/>
                <w:sz w:val="22"/>
                <w:szCs w:val="22"/>
                <w:color w:val="auto"/>
                <w:w w:val="96"/>
              </w:rPr>
              <w:t>MISCELLANEOUS</w:t>
            </w:r>
          </w:p>
        </w:tc>
        <w:tc>
          <w:tcPr>
            <w:tcW w:w="1700" w:type="dxa"/>
            <w:vAlign w:val="bottom"/>
          </w:tcPr>
          <w:p>
            <w:pPr>
              <w:spacing w:after="0"/>
              <w:rPr>
                <w:sz w:val="23"/>
                <w:szCs w:val="23"/>
                <w:color w:val="auto"/>
              </w:rPr>
            </w:pPr>
          </w:p>
        </w:tc>
      </w:tr>
      <w:tr>
        <w:trPr>
          <w:trHeight w:val="320"/>
        </w:trPr>
        <w:tc>
          <w:tcPr>
            <w:tcW w:w="820" w:type="dxa"/>
            <w:vAlign w:val="bottom"/>
          </w:tcPr>
          <w:p>
            <w:pPr>
              <w:spacing w:after="0"/>
              <w:rPr>
                <w:sz w:val="20"/>
                <w:szCs w:val="20"/>
                <w:color w:val="auto"/>
              </w:rPr>
            </w:pPr>
            <w:r>
              <w:rPr>
                <w:rFonts w:ascii="Arial" w:cs="Arial" w:eastAsia="Arial" w:hAnsi="Arial"/>
                <w:sz w:val="22"/>
                <w:szCs w:val="22"/>
                <w:color w:val="auto"/>
              </w:rPr>
              <w:t>11.01</w:t>
            </w:r>
          </w:p>
        </w:tc>
        <w:tc>
          <w:tcPr>
            <w:tcW w:w="8720" w:type="dxa"/>
            <w:vAlign w:val="bottom"/>
          </w:tcPr>
          <w:p>
            <w:pPr>
              <w:ind w:left="340"/>
              <w:spacing w:after="0"/>
              <w:rPr>
                <w:sz w:val="20"/>
                <w:szCs w:val="20"/>
                <w:color w:val="auto"/>
              </w:rPr>
            </w:pPr>
            <w:r>
              <w:rPr>
                <w:rFonts w:ascii="Arial" w:cs="Arial" w:eastAsia="Arial" w:hAnsi="Arial"/>
                <w:sz w:val="22"/>
                <w:szCs w:val="22"/>
                <w:color w:val="auto"/>
              </w:rPr>
              <w:t>Amendments, Etc</w:t>
            </w:r>
          </w:p>
        </w:tc>
        <w:tc>
          <w:tcPr>
            <w:tcW w:w="170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11.02</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Notices; Effectiveness; Electronic Communication</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111</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11.03</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No Waiver; Cumulative Remedies; Enforcement</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113</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11.04</w:t>
            </w:r>
          </w:p>
        </w:tc>
        <w:tc>
          <w:tcPr>
            <w:tcW w:w="8720" w:type="dxa"/>
            <w:vAlign w:val="bottom"/>
          </w:tcPr>
          <w:p>
            <w:pPr>
              <w:ind w:left="340"/>
              <w:spacing w:after="0" w:line="243" w:lineRule="exact"/>
              <w:rPr>
                <w:sz w:val="20"/>
                <w:szCs w:val="20"/>
                <w:color w:val="auto"/>
              </w:rPr>
            </w:pPr>
            <w:r>
              <w:rPr>
                <w:rFonts w:ascii="Arial" w:cs="Arial" w:eastAsia="Arial" w:hAnsi="Arial"/>
                <w:sz w:val="22"/>
                <w:szCs w:val="22"/>
                <w:color w:val="auto"/>
              </w:rPr>
              <w:t>Expenses; Indemnity; Damage Waiver</w:t>
            </w:r>
          </w:p>
        </w:tc>
        <w:tc>
          <w:tcPr>
            <w:tcW w:w="1700" w:type="dxa"/>
            <w:vAlign w:val="bottom"/>
          </w:tcPr>
          <w:p>
            <w:pPr>
              <w:jc w:val="right"/>
              <w:spacing w:after="0" w:line="243" w:lineRule="exact"/>
              <w:rPr>
                <w:sz w:val="20"/>
                <w:szCs w:val="20"/>
                <w:color w:val="auto"/>
              </w:rPr>
            </w:pPr>
            <w:r>
              <w:rPr>
                <w:rFonts w:ascii="Arial" w:cs="Arial" w:eastAsia="Arial" w:hAnsi="Arial"/>
                <w:sz w:val="22"/>
                <w:szCs w:val="22"/>
                <w:color w:val="auto"/>
              </w:rPr>
              <w:t>113</w:t>
            </w: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11.05</w:t>
            </w:r>
          </w:p>
        </w:tc>
        <w:tc>
          <w:tcPr>
            <w:tcW w:w="8720" w:type="dxa"/>
            <w:vAlign w:val="bottom"/>
          </w:tcPr>
          <w:p>
            <w:pPr>
              <w:ind w:left="340"/>
              <w:spacing w:after="0"/>
              <w:rPr>
                <w:sz w:val="20"/>
                <w:szCs w:val="20"/>
                <w:color w:val="auto"/>
              </w:rPr>
            </w:pPr>
            <w:r>
              <w:rPr>
                <w:rFonts w:ascii="Arial" w:cs="Arial" w:eastAsia="Arial" w:hAnsi="Arial"/>
                <w:sz w:val="22"/>
                <w:szCs w:val="22"/>
                <w:color w:val="auto"/>
              </w:rPr>
              <w:t>Payments Set Aside</w:t>
            </w:r>
          </w:p>
        </w:tc>
        <w:tc>
          <w:tcPr>
            <w:tcW w:w="1700" w:type="dxa"/>
            <w:vAlign w:val="bottom"/>
          </w:tcPr>
          <w:p>
            <w:pPr>
              <w:jc w:val="right"/>
              <w:spacing w:after="0"/>
              <w:rPr>
                <w:sz w:val="20"/>
                <w:szCs w:val="20"/>
                <w:color w:val="auto"/>
              </w:rPr>
            </w:pPr>
            <w:r>
              <w:rPr>
                <w:rFonts w:ascii="Arial" w:cs="Arial" w:eastAsia="Arial" w:hAnsi="Arial"/>
                <w:sz w:val="22"/>
                <w:szCs w:val="22"/>
                <w:color w:val="auto"/>
              </w:rPr>
              <w:t>115</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2"/>
                <w:szCs w:val="22"/>
                <w:color w:val="auto"/>
              </w:rPr>
              <w:t>11.06</w:t>
            </w:r>
          </w:p>
        </w:tc>
        <w:tc>
          <w:tcPr>
            <w:tcW w:w="8500" w:type="dxa"/>
            <w:vAlign w:val="bottom"/>
          </w:tcPr>
          <w:p>
            <w:pPr>
              <w:ind w:left="340"/>
              <w:spacing w:after="0"/>
              <w:rPr>
                <w:sz w:val="20"/>
                <w:szCs w:val="20"/>
                <w:color w:val="auto"/>
              </w:rPr>
            </w:pPr>
            <w:r>
              <w:rPr>
                <w:rFonts w:ascii="Arial" w:cs="Arial" w:eastAsia="Arial" w:hAnsi="Arial"/>
                <w:sz w:val="22"/>
                <w:szCs w:val="22"/>
                <w:color w:val="auto"/>
              </w:rPr>
              <w:t>Successors and Assigns</w:t>
            </w:r>
          </w:p>
        </w:tc>
        <w:tc>
          <w:tcPr>
            <w:tcW w:w="19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11.07</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Treatment of Certain Information; Confidentiality</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120</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11.08</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Right of Setoff</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120</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11.09</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Interest Rate Limitation</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11.10</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Integration; Effectiveness</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11.11</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Survival of Representations and Warranties</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11.12</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Severability</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11.13</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Replacement of Lenders</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122</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11.14</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Governing Law; Jurisdiction; Etc</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122</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11.15</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Waiver of Jury Trial</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123</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11.16</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USA PATRIOT Act Notice</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11.17</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Liability of the Borrowers</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11.18</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Judgment Currency</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11.19</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Automatic Debits of Principal, Interest, Fees</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11.20</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Termination of Existing Term Loan Credit Agreement</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11.21</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No Advisory or Fiduciary Responsibility</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11.22</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Electronic Execution of Assignments and Certain Other Documents</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126</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11.23</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ENTIRE AGREEMENT</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127</w:t>
            </w: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rPr>
              <w:t>11.24</w:t>
            </w:r>
          </w:p>
        </w:tc>
        <w:tc>
          <w:tcPr>
            <w:tcW w:w="8500" w:type="dxa"/>
            <w:vAlign w:val="bottom"/>
          </w:tcPr>
          <w:p>
            <w:pPr>
              <w:ind w:left="340"/>
              <w:spacing w:after="0" w:line="243" w:lineRule="exact"/>
              <w:rPr>
                <w:sz w:val="20"/>
                <w:szCs w:val="20"/>
                <w:color w:val="auto"/>
              </w:rPr>
            </w:pPr>
            <w:r>
              <w:rPr>
                <w:rFonts w:ascii="Arial" w:cs="Arial" w:eastAsia="Arial" w:hAnsi="Arial"/>
                <w:sz w:val="22"/>
                <w:szCs w:val="22"/>
                <w:color w:val="auto"/>
              </w:rPr>
              <w:t>Acknowledgement and Consent to Bail-In of Affected Financial Institutions</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127</w:t>
            </w:r>
          </w:p>
        </w:tc>
      </w:tr>
      <w:tr>
        <w:trPr>
          <w:trHeight w:val="261"/>
        </w:trPr>
        <w:tc>
          <w:tcPr>
            <w:tcW w:w="820" w:type="dxa"/>
            <w:vAlign w:val="bottom"/>
          </w:tcPr>
          <w:p>
            <w:pPr>
              <w:spacing w:after="0"/>
              <w:rPr>
                <w:sz w:val="20"/>
                <w:szCs w:val="20"/>
                <w:color w:val="auto"/>
              </w:rPr>
            </w:pPr>
            <w:r>
              <w:rPr>
                <w:rFonts w:ascii="Arial" w:cs="Arial" w:eastAsia="Arial" w:hAnsi="Arial"/>
                <w:sz w:val="22"/>
                <w:szCs w:val="22"/>
                <w:color w:val="auto"/>
              </w:rPr>
              <w:t>11.25</w:t>
            </w:r>
          </w:p>
        </w:tc>
        <w:tc>
          <w:tcPr>
            <w:tcW w:w="8500" w:type="dxa"/>
            <w:vAlign w:val="bottom"/>
          </w:tcPr>
          <w:p>
            <w:pPr>
              <w:ind w:left="340"/>
              <w:spacing w:after="0"/>
              <w:rPr>
                <w:sz w:val="20"/>
                <w:szCs w:val="20"/>
                <w:color w:val="auto"/>
              </w:rPr>
            </w:pPr>
            <w:r>
              <w:rPr>
                <w:rFonts w:ascii="Arial" w:cs="Arial" w:eastAsia="Arial" w:hAnsi="Arial"/>
                <w:sz w:val="22"/>
                <w:szCs w:val="22"/>
                <w:color w:val="auto"/>
              </w:rPr>
              <w:t>Acknowledgement Regarding Any Supported QFCs</w:t>
            </w:r>
          </w:p>
        </w:tc>
        <w:tc>
          <w:tcPr>
            <w:tcW w:w="1920" w:type="dxa"/>
            <w:vAlign w:val="bottom"/>
          </w:tcPr>
          <w:p>
            <w:pPr>
              <w:jc w:val="right"/>
              <w:spacing w:after="0"/>
              <w:rPr>
                <w:sz w:val="20"/>
                <w:szCs w:val="20"/>
                <w:color w:val="auto"/>
              </w:rPr>
            </w:pPr>
            <w:r>
              <w:rPr>
                <w:rFonts w:ascii="Arial" w:cs="Arial" w:eastAsia="Arial" w:hAnsi="Arial"/>
                <w:sz w:val="22"/>
                <w:szCs w:val="22"/>
                <w:color w:val="auto"/>
              </w:rPr>
              <w:t>127</w:t>
            </w:r>
          </w:p>
        </w:tc>
      </w:tr>
    </w:tbl>
    <w:p>
      <w:pPr>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6"/>
        </w:trPr>
        <w:tc>
          <w:tcPr>
            <w:tcW w:w="1580" w:type="dxa"/>
            <w:vAlign w:val="bottom"/>
          </w:tcPr>
          <w:p>
            <w:pPr>
              <w:spacing w:after="0"/>
              <w:rPr>
                <w:sz w:val="20"/>
                <w:szCs w:val="20"/>
                <w:color w:val="auto"/>
              </w:rPr>
            </w:pPr>
            <w:r>
              <w:rPr>
                <w:rFonts w:ascii="Arial" w:cs="Arial" w:eastAsia="Arial" w:hAnsi="Arial"/>
                <w:sz w:val="20"/>
                <w:szCs w:val="20"/>
                <w:b w:val="1"/>
                <w:bCs w:val="1"/>
                <w:color w:val="auto"/>
              </w:rPr>
              <w:t>SCHEDULES</w:t>
            </w:r>
          </w:p>
        </w:tc>
        <w:tc>
          <w:tcPr>
            <w:tcW w:w="5640" w:type="dxa"/>
            <w:vAlign w:val="bottom"/>
          </w:tcPr>
          <w:p>
            <w:pPr>
              <w:spacing w:after="0"/>
              <w:rPr>
                <w:sz w:val="22"/>
                <w:szCs w:val="22"/>
                <w:color w:val="auto"/>
              </w:rPr>
            </w:pPr>
          </w:p>
        </w:tc>
      </w:tr>
      <w:tr>
        <w:trPr>
          <w:trHeight w:val="425"/>
        </w:trPr>
        <w:tc>
          <w:tcPr>
            <w:tcW w:w="1580" w:type="dxa"/>
            <w:vAlign w:val="bottom"/>
          </w:tcPr>
          <w:p>
            <w:pPr>
              <w:ind w:left="880"/>
              <w:spacing w:after="0"/>
              <w:rPr>
                <w:sz w:val="20"/>
                <w:szCs w:val="20"/>
                <w:color w:val="auto"/>
              </w:rPr>
            </w:pPr>
            <w:r>
              <w:rPr>
                <w:rFonts w:ascii="Arial" w:cs="Arial" w:eastAsia="Arial" w:hAnsi="Arial"/>
                <w:sz w:val="20"/>
                <w:szCs w:val="20"/>
                <w:color w:val="auto"/>
              </w:rPr>
              <w:t>1.01(e)</w:t>
            </w:r>
          </w:p>
        </w:tc>
        <w:tc>
          <w:tcPr>
            <w:tcW w:w="5640" w:type="dxa"/>
            <w:vAlign w:val="bottom"/>
          </w:tcPr>
          <w:p>
            <w:pPr>
              <w:ind w:left="500"/>
              <w:spacing w:after="0"/>
              <w:rPr>
                <w:sz w:val="20"/>
                <w:szCs w:val="20"/>
                <w:color w:val="auto"/>
              </w:rPr>
            </w:pPr>
            <w:r>
              <w:rPr>
                <w:rFonts w:ascii="Arial" w:cs="Arial" w:eastAsia="Arial" w:hAnsi="Arial"/>
                <w:sz w:val="20"/>
                <w:szCs w:val="20"/>
                <w:color w:val="auto"/>
              </w:rPr>
              <w:t>Existing Letters of Credit</w:t>
            </w:r>
          </w:p>
        </w:tc>
      </w:tr>
      <w:tr>
        <w:trPr>
          <w:trHeight w:val="230"/>
        </w:trPr>
        <w:tc>
          <w:tcPr>
            <w:tcW w:w="1580" w:type="dxa"/>
            <w:vAlign w:val="bottom"/>
          </w:tcPr>
          <w:p>
            <w:pPr>
              <w:ind w:left="860"/>
              <w:spacing w:after="0"/>
              <w:rPr>
                <w:sz w:val="20"/>
                <w:szCs w:val="20"/>
                <w:color w:val="auto"/>
              </w:rPr>
            </w:pPr>
            <w:r>
              <w:rPr>
                <w:rFonts w:ascii="Arial" w:cs="Arial" w:eastAsia="Arial" w:hAnsi="Arial"/>
                <w:sz w:val="20"/>
                <w:szCs w:val="20"/>
                <w:color w:val="auto"/>
              </w:rPr>
              <w:t>2.01A</w:t>
            </w:r>
          </w:p>
        </w:tc>
        <w:tc>
          <w:tcPr>
            <w:tcW w:w="5640" w:type="dxa"/>
            <w:vAlign w:val="bottom"/>
          </w:tcPr>
          <w:p>
            <w:pPr>
              <w:ind w:left="120"/>
              <w:spacing w:after="0"/>
              <w:rPr>
                <w:sz w:val="20"/>
                <w:szCs w:val="20"/>
                <w:color w:val="auto"/>
              </w:rPr>
            </w:pPr>
            <w:r>
              <w:rPr>
                <w:rFonts w:ascii="Arial" w:cs="Arial" w:eastAsia="Arial" w:hAnsi="Arial"/>
                <w:sz w:val="20"/>
                <w:szCs w:val="20"/>
                <w:color w:val="auto"/>
              </w:rPr>
              <w:t>Commitments and Applicable Percentages</w:t>
            </w:r>
          </w:p>
        </w:tc>
      </w:tr>
      <w:tr>
        <w:trPr>
          <w:trHeight w:val="229"/>
        </w:trPr>
        <w:tc>
          <w:tcPr>
            <w:tcW w:w="1580" w:type="dxa"/>
            <w:vAlign w:val="bottom"/>
          </w:tcPr>
          <w:p>
            <w:pPr>
              <w:ind w:left="860"/>
              <w:spacing w:after="0"/>
              <w:rPr>
                <w:sz w:val="20"/>
                <w:szCs w:val="20"/>
                <w:color w:val="auto"/>
              </w:rPr>
            </w:pPr>
            <w:r>
              <w:rPr>
                <w:rFonts w:ascii="Arial" w:cs="Arial" w:eastAsia="Arial" w:hAnsi="Arial"/>
                <w:sz w:val="20"/>
                <w:szCs w:val="20"/>
                <w:color w:val="auto"/>
              </w:rPr>
              <w:t>2.01B</w:t>
            </w:r>
          </w:p>
        </w:tc>
        <w:tc>
          <w:tcPr>
            <w:tcW w:w="5640" w:type="dxa"/>
            <w:vAlign w:val="bottom"/>
          </w:tcPr>
          <w:p>
            <w:pPr>
              <w:ind w:left="120"/>
              <w:spacing w:after="0"/>
              <w:rPr>
                <w:sz w:val="20"/>
                <w:szCs w:val="20"/>
                <w:color w:val="auto"/>
              </w:rPr>
            </w:pPr>
            <w:r>
              <w:rPr>
                <w:rFonts w:ascii="Arial" w:cs="Arial" w:eastAsia="Arial" w:hAnsi="Arial"/>
                <w:sz w:val="20"/>
                <w:szCs w:val="20"/>
                <w:color w:val="auto"/>
              </w:rPr>
              <w:t>Swing Line Commitments</w:t>
            </w:r>
          </w:p>
        </w:tc>
      </w:tr>
      <w:tr>
        <w:trPr>
          <w:trHeight w:val="230"/>
        </w:trPr>
        <w:tc>
          <w:tcPr>
            <w:tcW w:w="1580" w:type="dxa"/>
            <w:vAlign w:val="bottom"/>
          </w:tcPr>
          <w:p>
            <w:pPr>
              <w:ind w:left="880"/>
              <w:spacing w:after="0"/>
              <w:rPr>
                <w:sz w:val="20"/>
                <w:szCs w:val="20"/>
                <w:color w:val="auto"/>
              </w:rPr>
            </w:pPr>
            <w:r>
              <w:rPr>
                <w:rFonts w:ascii="Arial" w:cs="Arial" w:eastAsia="Arial" w:hAnsi="Arial"/>
                <w:sz w:val="20"/>
                <w:szCs w:val="20"/>
                <w:color w:val="auto"/>
              </w:rPr>
              <w:t>2.01C</w:t>
            </w:r>
          </w:p>
        </w:tc>
        <w:tc>
          <w:tcPr>
            <w:tcW w:w="5640" w:type="dxa"/>
            <w:vAlign w:val="bottom"/>
          </w:tcPr>
          <w:p>
            <w:pPr>
              <w:ind w:left="460"/>
              <w:spacing w:after="0"/>
              <w:rPr>
                <w:sz w:val="20"/>
                <w:szCs w:val="20"/>
                <w:color w:val="auto"/>
              </w:rPr>
            </w:pPr>
            <w:r>
              <w:rPr>
                <w:rFonts w:ascii="Arial" w:cs="Arial" w:eastAsia="Arial" w:hAnsi="Arial"/>
                <w:sz w:val="20"/>
                <w:szCs w:val="20"/>
                <w:color w:val="auto"/>
              </w:rPr>
              <w:t>L/C Commitments</w:t>
            </w:r>
          </w:p>
        </w:tc>
      </w:tr>
      <w:tr>
        <w:trPr>
          <w:trHeight w:val="229"/>
        </w:trPr>
        <w:tc>
          <w:tcPr>
            <w:tcW w:w="1580" w:type="dxa"/>
            <w:vAlign w:val="bottom"/>
          </w:tcPr>
          <w:p>
            <w:pPr>
              <w:ind w:left="880"/>
              <w:spacing w:after="0"/>
              <w:rPr>
                <w:sz w:val="20"/>
                <w:szCs w:val="20"/>
                <w:color w:val="auto"/>
              </w:rPr>
            </w:pPr>
            <w:r>
              <w:rPr>
                <w:rFonts w:ascii="Arial" w:cs="Arial" w:eastAsia="Arial" w:hAnsi="Arial"/>
                <w:sz w:val="20"/>
                <w:szCs w:val="20"/>
                <w:color w:val="auto"/>
              </w:rPr>
              <w:t>5.06</w:t>
            </w:r>
          </w:p>
        </w:tc>
        <w:tc>
          <w:tcPr>
            <w:tcW w:w="5640" w:type="dxa"/>
            <w:vAlign w:val="bottom"/>
          </w:tcPr>
          <w:p>
            <w:pPr>
              <w:ind w:left="280"/>
              <w:spacing w:after="0"/>
              <w:rPr>
                <w:sz w:val="20"/>
                <w:szCs w:val="20"/>
                <w:color w:val="auto"/>
              </w:rPr>
            </w:pPr>
            <w:r>
              <w:rPr>
                <w:rFonts w:ascii="Arial" w:cs="Arial" w:eastAsia="Arial" w:hAnsi="Arial"/>
                <w:sz w:val="20"/>
                <w:szCs w:val="20"/>
                <w:color w:val="auto"/>
              </w:rPr>
              <w:t>Litigation</w:t>
            </w:r>
          </w:p>
        </w:tc>
      </w:tr>
      <w:tr>
        <w:trPr>
          <w:trHeight w:val="229"/>
        </w:trPr>
        <w:tc>
          <w:tcPr>
            <w:tcW w:w="1580" w:type="dxa"/>
            <w:vAlign w:val="bottom"/>
          </w:tcPr>
          <w:p>
            <w:pPr>
              <w:ind w:left="880"/>
              <w:spacing w:after="0"/>
              <w:rPr>
                <w:sz w:val="20"/>
                <w:szCs w:val="20"/>
                <w:color w:val="auto"/>
              </w:rPr>
            </w:pPr>
            <w:r>
              <w:rPr>
                <w:rFonts w:ascii="Arial" w:cs="Arial" w:eastAsia="Arial" w:hAnsi="Arial"/>
                <w:sz w:val="20"/>
                <w:szCs w:val="20"/>
                <w:color w:val="auto"/>
              </w:rPr>
              <w:t>5.09</w:t>
            </w:r>
          </w:p>
        </w:tc>
        <w:tc>
          <w:tcPr>
            <w:tcW w:w="5640" w:type="dxa"/>
            <w:vAlign w:val="bottom"/>
          </w:tcPr>
          <w:p>
            <w:pPr>
              <w:ind w:left="280"/>
              <w:spacing w:after="0"/>
              <w:rPr>
                <w:sz w:val="20"/>
                <w:szCs w:val="20"/>
                <w:color w:val="auto"/>
              </w:rPr>
            </w:pPr>
            <w:r>
              <w:rPr>
                <w:rFonts w:ascii="Arial" w:cs="Arial" w:eastAsia="Arial" w:hAnsi="Arial"/>
                <w:sz w:val="20"/>
                <w:szCs w:val="20"/>
                <w:color w:val="auto"/>
              </w:rPr>
              <w:t>Environmental Matters</w:t>
            </w:r>
          </w:p>
        </w:tc>
      </w:tr>
      <w:tr>
        <w:trPr>
          <w:trHeight w:val="230"/>
        </w:trPr>
        <w:tc>
          <w:tcPr>
            <w:tcW w:w="1580" w:type="dxa"/>
            <w:vAlign w:val="bottom"/>
          </w:tcPr>
          <w:p>
            <w:pPr>
              <w:ind w:left="880"/>
              <w:spacing w:after="0"/>
              <w:rPr>
                <w:sz w:val="20"/>
                <w:szCs w:val="20"/>
                <w:color w:val="auto"/>
              </w:rPr>
            </w:pPr>
            <w:r>
              <w:rPr>
                <w:rFonts w:ascii="Arial" w:cs="Arial" w:eastAsia="Arial" w:hAnsi="Arial"/>
                <w:sz w:val="20"/>
                <w:szCs w:val="20"/>
                <w:color w:val="auto"/>
              </w:rPr>
              <w:t>5.10</w:t>
            </w:r>
          </w:p>
        </w:tc>
        <w:tc>
          <w:tcPr>
            <w:tcW w:w="5640" w:type="dxa"/>
            <w:vAlign w:val="bottom"/>
          </w:tcPr>
          <w:p>
            <w:pPr>
              <w:ind w:left="280"/>
              <w:spacing w:after="0"/>
              <w:rPr>
                <w:sz w:val="20"/>
                <w:szCs w:val="20"/>
                <w:color w:val="auto"/>
              </w:rPr>
            </w:pPr>
            <w:r>
              <w:rPr>
                <w:rFonts w:ascii="Arial" w:cs="Arial" w:eastAsia="Arial" w:hAnsi="Arial"/>
                <w:sz w:val="20"/>
                <w:szCs w:val="20"/>
                <w:color w:val="auto"/>
              </w:rPr>
              <w:t>Insurance Matters</w:t>
            </w:r>
          </w:p>
        </w:tc>
      </w:tr>
      <w:tr>
        <w:trPr>
          <w:trHeight w:val="229"/>
        </w:trPr>
        <w:tc>
          <w:tcPr>
            <w:tcW w:w="1580" w:type="dxa"/>
            <w:vAlign w:val="bottom"/>
          </w:tcPr>
          <w:p>
            <w:pPr>
              <w:ind w:left="880"/>
              <w:spacing w:after="0"/>
              <w:rPr>
                <w:sz w:val="20"/>
                <w:szCs w:val="20"/>
                <w:color w:val="auto"/>
              </w:rPr>
            </w:pPr>
            <w:r>
              <w:rPr>
                <w:rFonts w:ascii="Arial" w:cs="Arial" w:eastAsia="Arial" w:hAnsi="Arial"/>
                <w:sz w:val="20"/>
                <w:szCs w:val="20"/>
                <w:color w:val="auto"/>
              </w:rPr>
              <w:t>5.13</w:t>
            </w:r>
          </w:p>
        </w:tc>
        <w:tc>
          <w:tcPr>
            <w:tcW w:w="5640" w:type="dxa"/>
            <w:vAlign w:val="bottom"/>
          </w:tcPr>
          <w:p>
            <w:pPr>
              <w:ind w:left="280"/>
              <w:spacing w:after="0"/>
              <w:rPr>
                <w:sz w:val="20"/>
                <w:szCs w:val="20"/>
                <w:color w:val="auto"/>
              </w:rPr>
            </w:pPr>
            <w:r>
              <w:rPr>
                <w:rFonts w:ascii="Arial" w:cs="Arial" w:eastAsia="Arial" w:hAnsi="Arial"/>
                <w:sz w:val="20"/>
                <w:szCs w:val="20"/>
                <w:color w:val="auto"/>
                <w:w w:val="89"/>
              </w:rPr>
              <w:t>Subsidiaries and Other Equity Investments; Equity Interests in Toro</w:t>
            </w:r>
          </w:p>
        </w:tc>
      </w:tr>
      <w:tr>
        <w:trPr>
          <w:trHeight w:val="229"/>
        </w:trPr>
        <w:tc>
          <w:tcPr>
            <w:tcW w:w="1580" w:type="dxa"/>
            <w:vAlign w:val="bottom"/>
          </w:tcPr>
          <w:p>
            <w:pPr>
              <w:ind w:left="880"/>
              <w:spacing w:after="0"/>
              <w:rPr>
                <w:sz w:val="20"/>
                <w:szCs w:val="20"/>
                <w:color w:val="auto"/>
              </w:rPr>
            </w:pPr>
            <w:r>
              <w:rPr>
                <w:rFonts w:ascii="Arial" w:cs="Arial" w:eastAsia="Arial" w:hAnsi="Arial"/>
                <w:sz w:val="20"/>
                <w:szCs w:val="20"/>
                <w:color w:val="auto"/>
              </w:rPr>
              <w:t>5.19</w:t>
            </w:r>
          </w:p>
        </w:tc>
        <w:tc>
          <w:tcPr>
            <w:tcW w:w="5640" w:type="dxa"/>
            <w:vAlign w:val="bottom"/>
          </w:tcPr>
          <w:p>
            <w:pPr>
              <w:ind w:left="280"/>
              <w:spacing w:after="0"/>
              <w:rPr>
                <w:sz w:val="20"/>
                <w:szCs w:val="20"/>
                <w:color w:val="auto"/>
              </w:rPr>
            </w:pPr>
            <w:r>
              <w:rPr>
                <w:rFonts w:ascii="Arial" w:cs="Arial" w:eastAsia="Arial" w:hAnsi="Arial"/>
                <w:sz w:val="20"/>
                <w:szCs w:val="20"/>
                <w:color w:val="auto"/>
              </w:rPr>
              <w:t>Identification Numbers for Foreign Obligors</w:t>
            </w:r>
          </w:p>
        </w:tc>
      </w:tr>
      <w:tr>
        <w:trPr>
          <w:trHeight w:val="230"/>
        </w:trPr>
        <w:tc>
          <w:tcPr>
            <w:tcW w:w="1580" w:type="dxa"/>
            <w:vAlign w:val="bottom"/>
          </w:tcPr>
          <w:p>
            <w:pPr>
              <w:ind w:left="880"/>
              <w:spacing w:after="0"/>
              <w:rPr>
                <w:sz w:val="20"/>
                <w:szCs w:val="20"/>
                <w:color w:val="auto"/>
              </w:rPr>
            </w:pPr>
            <w:r>
              <w:rPr>
                <w:rFonts w:ascii="Arial" w:cs="Arial" w:eastAsia="Arial" w:hAnsi="Arial"/>
                <w:sz w:val="20"/>
                <w:szCs w:val="20"/>
                <w:color w:val="auto"/>
              </w:rPr>
              <w:t>7.01</w:t>
            </w:r>
          </w:p>
        </w:tc>
        <w:tc>
          <w:tcPr>
            <w:tcW w:w="5640" w:type="dxa"/>
            <w:vAlign w:val="bottom"/>
          </w:tcPr>
          <w:p>
            <w:pPr>
              <w:ind w:left="280"/>
              <w:spacing w:after="0"/>
              <w:rPr>
                <w:sz w:val="20"/>
                <w:szCs w:val="20"/>
                <w:color w:val="auto"/>
              </w:rPr>
            </w:pPr>
            <w:r>
              <w:rPr>
                <w:rFonts w:ascii="Arial" w:cs="Arial" w:eastAsia="Arial" w:hAnsi="Arial"/>
                <w:sz w:val="20"/>
                <w:szCs w:val="20"/>
                <w:color w:val="auto"/>
              </w:rPr>
              <w:t>Existing Liens</w:t>
            </w:r>
          </w:p>
        </w:tc>
      </w:tr>
      <w:tr>
        <w:trPr>
          <w:trHeight w:val="250"/>
        </w:trPr>
        <w:tc>
          <w:tcPr>
            <w:tcW w:w="1580" w:type="dxa"/>
            <w:vAlign w:val="bottom"/>
          </w:tcPr>
          <w:p>
            <w:pPr>
              <w:ind w:left="880"/>
              <w:spacing w:after="0"/>
              <w:rPr>
                <w:sz w:val="20"/>
                <w:szCs w:val="20"/>
                <w:color w:val="auto"/>
              </w:rPr>
            </w:pPr>
            <w:r>
              <w:rPr>
                <w:rFonts w:ascii="Arial" w:cs="Arial" w:eastAsia="Arial" w:hAnsi="Arial"/>
                <w:sz w:val="20"/>
                <w:szCs w:val="20"/>
                <w:color w:val="auto"/>
              </w:rPr>
              <w:t>11.02</w:t>
            </w:r>
          </w:p>
        </w:tc>
        <w:tc>
          <w:tcPr>
            <w:tcW w:w="5640" w:type="dxa"/>
            <w:vAlign w:val="bottom"/>
          </w:tcPr>
          <w:p>
            <w:pPr>
              <w:ind w:left="380"/>
              <w:spacing w:after="0"/>
              <w:rPr>
                <w:sz w:val="20"/>
                <w:szCs w:val="20"/>
                <w:color w:val="auto"/>
              </w:rPr>
            </w:pPr>
            <w:r>
              <w:rPr>
                <w:rFonts w:ascii="Arial" w:cs="Arial" w:eastAsia="Arial" w:hAnsi="Arial"/>
                <w:sz w:val="20"/>
                <w:szCs w:val="20"/>
                <w:color w:val="auto"/>
                <w:w w:val="98"/>
              </w:rPr>
              <w:t>Administrative Agent’s Office; Certain Addresses for Notices</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b w:val="1"/>
          <w:bCs w:val="1"/>
          <w:i w:val="1"/>
          <w:iCs w:val="1"/>
          <w:color w:val="auto"/>
        </w:rPr>
        <w:t>Form of</w:t>
      </w:r>
    </w:p>
    <w:p>
      <w:pPr>
        <w:spacing w:after="0" w:line="216" w:lineRule="exact"/>
        <w:rPr>
          <w:sz w:val="20"/>
          <w:szCs w:val="20"/>
          <w:color w:val="auto"/>
        </w:rPr>
      </w:pPr>
    </w:p>
    <w:p>
      <w:pPr>
        <w:ind w:left="1660" w:hanging="788"/>
        <w:spacing w:after="0"/>
        <w:tabs>
          <w:tab w:leader="none" w:pos="1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Loan Notice</w:t>
      </w:r>
    </w:p>
    <w:p>
      <w:pPr>
        <w:spacing w:after="0" w:line="15" w:lineRule="exact"/>
        <w:rPr>
          <w:sz w:val="20"/>
          <w:szCs w:val="20"/>
          <w:color w:val="auto"/>
        </w:rPr>
      </w:pPr>
    </w:p>
    <w:p>
      <w:pPr>
        <w:ind w:left="1660" w:hanging="788"/>
        <w:spacing w:after="0"/>
        <w:tabs>
          <w:tab w:leader="none" w:pos="1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Swing Line Loan Notice</w:t>
      </w:r>
    </w:p>
    <w:tbl>
      <w:tblPr>
        <w:tblLayout w:type="fixed"/>
        <w:tblInd w:w="860" w:type="dxa"/>
        <w:tblCellMar>
          <w:top w:w="0" w:type="dxa"/>
          <w:left w:w="0" w:type="dxa"/>
          <w:bottom w:w="0" w:type="dxa"/>
          <w:right w:w="0" w:type="dxa"/>
        </w:tblCellMar>
      </w:tblPr>
      <w:tr>
        <w:trPr>
          <w:trHeight w:val="214"/>
        </w:trPr>
        <w:tc>
          <w:tcPr>
            <w:tcW w:w="640" w:type="dxa"/>
            <w:vAlign w:val="bottom"/>
          </w:tcPr>
          <w:p>
            <w:pPr>
              <w:spacing w:after="0" w:line="213" w:lineRule="exact"/>
              <w:rPr>
                <w:sz w:val="20"/>
                <w:szCs w:val="20"/>
                <w:color w:val="auto"/>
              </w:rPr>
            </w:pPr>
            <w:r>
              <w:rPr>
                <w:rFonts w:ascii="Arial" w:cs="Arial" w:eastAsia="Arial" w:hAnsi="Arial"/>
                <w:sz w:val="20"/>
                <w:szCs w:val="20"/>
                <w:color w:val="auto"/>
              </w:rPr>
              <w:t>C-1</w:t>
            </w:r>
          </w:p>
        </w:tc>
        <w:tc>
          <w:tcPr>
            <w:tcW w:w="2240" w:type="dxa"/>
            <w:vAlign w:val="bottom"/>
          </w:tcPr>
          <w:p>
            <w:pPr>
              <w:ind w:left="440"/>
              <w:spacing w:after="0" w:line="213" w:lineRule="exact"/>
              <w:rPr>
                <w:sz w:val="20"/>
                <w:szCs w:val="20"/>
                <w:color w:val="auto"/>
              </w:rPr>
            </w:pPr>
            <w:r>
              <w:rPr>
                <w:rFonts w:ascii="Arial" w:cs="Arial" w:eastAsia="Arial" w:hAnsi="Arial"/>
                <w:sz w:val="20"/>
                <w:szCs w:val="20"/>
                <w:color w:val="auto"/>
                <w:w w:val="91"/>
              </w:rPr>
              <w:t>Revolving Credit Note</w:t>
            </w:r>
          </w:p>
        </w:tc>
      </w:tr>
      <w:tr>
        <w:trPr>
          <w:trHeight w:val="245"/>
        </w:trPr>
        <w:tc>
          <w:tcPr>
            <w:tcW w:w="640" w:type="dxa"/>
            <w:vAlign w:val="bottom"/>
          </w:tcPr>
          <w:p>
            <w:pPr>
              <w:ind w:left="20"/>
              <w:spacing w:after="0"/>
              <w:rPr>
                <w:sz w:val="20"/>
                <w:szCs w:val="20"/>
                <w:color w:val="auto"/>
              </w:rPr>
            </w:pPr>
            <w:r>
              <w:rPr>
                <w:rFonts w:ascii="Arial" w:cs="Arial" w:eastAsia="Arial" w:hAnsi="Arial"/>
                <w:sz w:val="20"/>
                <w:szCs w:val="20"/>
                <w:color w:val="auto"/>
              </w:rPr>
              <w:t>C-2</w:t>
            </w:r>
          </w:p>
        </w:tc>
        <w:tc>
          <w:tcPr>
            <w:tcW w:w="2240" w:type="dxa"/>
            <w:vAlign w:val="bottom"/>
          </w:tcPr>
          <w:p>
            <w:pPr>
              <w:ind w:left="320"/>
              <w:spacing w:after="0"/>
              <w:rPr>
                <w:sz w:val="20"/>
                <w:szCs w:val="20"/>
                <w:color w:val="auto"/>
              </w:rPr>
            </w:pPr>
            <w:r>
              <w:rPr>
                <w:rFonts w:ascii="Arial" w:cs="Arial" w:eastAsia="Arial" w:hAnsi="Arial"/>
                <w:sz w:val="20"/>
                <w:szCs w:val="20"/>
                <w:color w:val="auto"/>
              </w:rPr>
              <w:t>Term Note</w:t>
            </w:r>
          </w:p>
        </w:tc>
      </w:tr>
    </w:tbl>
    <w:p>
      <w:pPr>
        <w:ind w:left="1660" w:hanging="788"/>
        <w:spacing w:after="0"/>
        <w:tabs>
          <w:tab w:leader="none" w:pos="1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Compliance Certificate</w:t>
      </w:r>
    </w:p>
    <w:p>
      <w:pPr>
        <w:ind w:left="1640" w:hanging="768"/>
        <w:spacing w:after="0"/>
        <w:tabs>
          <w:tab w:leader="none" w:pos="1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Assignment and Assumption</w:t>
      </w:r>
    </w:p>
    <w:p>
      <w:pPr>
        <w:ind w:left="1620" w:hanging="748"/>
        <w:spacing w:after="0"/>
        <w:tabs>
          <w:tab w:leader="none" w:pos="1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Opinion</w:t>
      </w:r>
    </w:p>
    <w:p>
      <w:pPr>
        <w:ind w:left="1660" w:hanging="788"/>
        <w:spacing w:after="0"/>
        <w:tabs>
          <w:tab w:leader="none" w:pos="1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Designated Borrower Request and Assumption Agreement</w:t>
      </w:r>
    </w:p>
    <w:p>
      <w:pPr>
        <w:ind w:left="880"/>
        <w:spacing w:after="0"/>
        <w:rPr>
          <w:rFonts w:ascii="Arial" w:cs="Arial" w:eastAsia="Arial" w:hAnsi="Arial"/>
          <w:sz w:val="20"/>
          <w:szCs w:val="20"/>
          <w:color w:val="auto"/>
        </w:rPr>
      </w:pPr>
      <w:r>
        <w:rPr>
          <w:rFonts w:ascii="Arial" w:cs="Arial" w:eastAsia="Arial" w:hAnsi="Arial"/>
          <w:sz w:val="20"/>
          <w:szCs w:val="20"/>
          <w:color w:val="auto"/>
        </w:rPr>
        <w:t>H</w:t>
      </w:r>
      <w:r>
        <w:rPr>
          <w:rFonts w:ascii="Arial" w:cs="Arial" w:eastAsia="Arial" w:hAnsi="Arial"/>
          <w:sz w:val="18"/>
          <w:szCs w:val="18"/>
          <w:color w:val="auto"/>
        </w:rPr>
        <w:t>Designated Borrower Notice</w:t>
      </w:r>
    </w:p>
    <w:p>
      <w:pPr>
        <w:ind w:left="1580" w:hanging="708"/>
        <w:spacing w:after="0"/>
        <w:tabs>
          <w:tab w:leader="none" w:pos="1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U.S. Tax Compliance Certificates</w:t>
      </w:r>
    </w:p>
    <w:p>
      <w:pPr>
        <w:ind w:left="880"/>
        <w:spacing w:after="0"/>
        <w:rPr>
          <w:rFonts w:ascii="Arial" w:cs="Arial" w:eastAsia="Arial" w:hAnsi="Arial"/>
          <w:sz w:val="20"/>
          <w:szCs w:val="20"/>
          <w:color w:val="auto"/>
        </w:rPr>
      </w:pPr>
      <w:r>
        <w:rPr>
          <w:rFonts w:ascii="Arial" w:cs="Arial" w:eastAsia="Arial" w:hAnsi="Arial"/>
          <w:sz w:val="20"/>
          <w:szCs w:val="20"/>
          <w:color w:val="auto"/>
        </w:rPr>
        <w:t>J</w:t>
      </w:r>
      <w:r>
        <w:rPr>
          <w:rFonts w:ascii="Arial" w:cs="Arial" w:eastAsia="Arial" w:hAnsi="Arial"/>
          <w:sz w:val="18"/>
          <w:szCs w:val="18"/>
          <w:color w:val="auto"/>
        </w:rPr>
        <w:t>Funding Indemnity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216"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AMENDED AND RESTATED CREDIT 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is entered into as of October 5, 2021, among </w:t>
      </w:r>
      <w:r>
        <w:rPr>
          <w:rFonts w:ascii="Arial" w:cs="Arial" w:eastAsia="Arial" w:hAnsi="Arial"/>
          <w:sz w:val="19"/>
          <w:szCs w:val="19"/>
          <w:b w:val="1"/>
          <w:bCs w:val="1"/>
          <w:color w:val="auto"/>
        </w:rPr>
        <w:t>THE TORO COMPANY</w:t>
      </w:r>
      <w:r>
        <w:rPr>
          <w:rFonts w:ascii="Arial" w:cs="Arial" w:eastAsia="Arial" w:hAnsi="Arial"/>
          <w:sz w:val="19"/>
          <w:szCs w:val="19"/>
          <w:color w:val="auto"/>
        </w:rPr>
        <w:t>, a Delaware corporation (“</w:t>
      </w:r>
      <w:r>
        <w:rPr>
          <w:rFonts w:ascii="Arial" w:cs="Arial" w:eastAsia="Arial" w:hAnsi="Arial"/>
          <w:sz w:val="19"/>
          <w:szCs w:val="19"/>
          <w:u w:val="single" w:color="auto"/>
          <w:color w:val="auto"/>
        </w:rPr>
        <w:t>Toro</w:t>
      </w:r>
      <w:r>
        <w:rPr>
          <w:rFonts w:ascii="Arial" w:cs="Arial" w:eastAsia="Arial" w:hAnsi="Arial"/>
          <w:sz w:val="19"/>
          <w:szCs w:val="19"/>
          <w:color w:val="auto"/>
        </w:rPr>
        <w:t>”),</w:t>
      </w:r>
      <w:r>
        <w:rPr>
          <w:rFonts w:ascii="Arial" w:cs="Arial" w:eastAsia="Arial" w:hAnsi="Arial"/>
          <w:sz w:val="19"/>
          <w:szCs w:val="19"/>
          <w:b w:val="1"/>
          <w:bCs w:val="1"/>
          <w:color w:val="auto"/>
        </w:rPr>
        <w:t xml:space="preserve"> TORO LUXEMBOURG S.A.R.L. </w:t>
      </w:r>
      <w:r>
        <w:rPr>
          <w:rFonts w:ascii="Arial" w:cs="Arial" w:eastAsia="Arial" w:hAnsi="Arial"/>
          <w:sz w:val="19"/>
          <w:szCs w:val="19"/>
          <w:color w:val="auto"/>
        </w:rPr>
        <w:t>(“</w:t>
      </w:r>
      <w:r>
        <w:rPr>
          <w:rFonts w:ascii="Arial" w:cs="Arial" w:eastAsia="Arial" w:hAnsi="Arial"/>
          <w:sz w:val="19"/>
          <w:szCs w:val="19"/>
          <w:u w:val="single" w:color="auto"/>
          <w:color w:val="auto"/>
        </w:rPr>
        <w:t>Toro Luxembourg</w:t>
      </w:r>
      <w:r>
        <w:rPr>
          <w:rFonts w:ascii="Arial" w:cs="Arial" w:eastAsia="Arial" w:hAnsi="Arial"/>
          <w:sz w:val="19"/>
          <w:szCs w:val="19"/>
          <w:color w:val="auto"/>
        </w:rPr>
        <w:t>”), a Luxembourg</w:t>
      </w:r>
      <w:r>
        <w:rPr>
          <w:rFonts w:ascii="Arial" w:cs="Arial" w:eastAsia="Arial" w:hAnsi="Arial"/>
          <w:sz w:val="19"/>
          <w:szCs w:val="19"/>
          <w:b w:val="1"/>
          <w:bCs w:val="1"/>
          <w:color w:val="auto"/>
        </w:rPr>
        <w:t xml:space="preserve"> </w:t>
      </w:r>
      <w:r>
        <w:rPr>
          <w:rFonts w:ascii="Arial" w:cs="Arial" w:eastAsia="Arial" w:hAnsi="Arial"/>
          <w:sz w:val="19"/>
          <w:szCs w:val="19"/>
          <w:color w:val="auto"/>
        </w:rPr>
        <w:t>limited liability company (</w:t>
      </w:r>
      <w:r>
        <w:rPr>
          <w:rFonts w:ascii="Arial" w:cs="Arial" w:eastAsia="Arial" w:hAnsi="Arial"/>
          <w:sz w:val="19"/>
          <w:szCs w:val="19"/>
          <w:i w:val="1"/>
          <w:iCs w:val="1"/>
          <w:color w:val="auto"/>
        </w:rPr>
        <w:t>société à responsabilité limitée</w:t>
      </w:r>
      <w:r>
        <w:rPr>
          <w:rFonts w:ascii="Arial" w:cs="Arial" w:eastAsia="Arial" w:hAnsi="Arial"/>
          <w:sz w:val="19"/>
          <w:szCs w:val="19"/>
          <w:color w:val="auto"/>
        </w:rPr>
        <w:t>) incorporated and existing under the laws of the Grand Duchy of Luxembourg, and registered with the Luxembourg trade and companies register (</w:t>
      </w:r>
      <w:r>
        <w:rPr>
          <w:rFonts w:ascii="Arial" w:cs="Arial" w:eastAsia="Arial" w:hAnsi="Arial"/>
          <w:sz w:val="19"/>
          <w:szCs w:val="19"/>
          <w:i w:val="1"/>
          <w:iCs w:val="1"/>
          <w:color w:val="auto"/>
        </w:rPr>
        <w:t>Registre de Commerce et des Sociétés de Luxembourg</w:t>
      </w:r>
      <w:r>
        <w:rPr>
          <w:rFonts w:ascii="Arial" w:cs="Arial" w:eastAsia="Arial" w:hAnsi="Arial"/>
          <w:sz w:val="19"/>
          <w:szCs w:val="19"/>
          <w:color w:val="auto"/>
        </w:rPr>
        <w:t xml:space="preserve">) under registration number B 131.092, certain other Subsidiaries of Toro that become party hereto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Designated Borrower</w:t>
      </w:r>
      <w:r>
        <w:rPr>
          <w:rFonts w:ascii="Arial" w:cs="Arial" w:eastAsia="Arial" w:hAnsi="Arial"/>
          <w:sz w:val="19"/>
          <w:szCs w:val="19"/>
          <w:color w:val="auto"/>
        </w:rPr>
        <w:t>” and, together with Toro Luxembourg, the “</w:t>
      </w:r>
      <w:r>
        <w:rPr>
          <w:rFonts w:ascii="Arial" w:cs="Arial" w:eastAsia="Arial" w:hAnsi="Arial"/>
          <w:sz w:val="19"/>
          <w:szCs w:val="19"/>
          <w:u w:val="single" w:color="auto"/>
          <w:color w:val="auto"/>
        </w:rPr>
        <w:t>Subsidiary Borrowers</w:t>
      </w:r>
      <w:r>
        <w:rPr>
          <w:rFonts w:ascii="Arial" w:cs="Arial" w:eastAsia="Arial" w:hAnsi="Arial"/>
          <w:sz w:val="19"/>
          <w:szCs w:val="19"/>
          <w:color w:val="auto"/>
        </w:rPr>
        <w:t>” and, together with Toro,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a “</w:t>
      </w:r>
      <w:r>
        <w:rPr>
          <w:rFonts w:ascii="Arial" w:cs="Arial" w:eastAsia="Arial" w:hAnsi="Arial"/>
          <w:sz w:val="19"/>
          <w:szCs w:val="19"/>
          <w:u w:val="single" w:color="auto"/>
          <w:color w:val="auto"/>
        </w:rPr>
        <w:t>Borrower</w:t>
      </w:r>
      <w:r>
        <w:rPr>
          <w:rFonts w:ascii="Arial" w:cs="Arial" w:eastAsia="Arial" w:hAnsi="Arial"/>
          <w:sz w:val="19"/>
          <w:szCs w:val="19"/>
          <w:color w:val="auto"/>
        </w:rPr>
        <w:t>”), each lender from time to time party 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and </w:t>
      </w:r>
      <w:r>
        <w:rPr>
          <w:rFonts w:ascii="Arial" w:cs="Arial" w:eastAsia="Arial" w:hAnsi="Arial"/>
          <w:sz w:val="19"/>
          <w:szCs w:val="19"/>
          <w:b w:val="1"/>
          <w:bCs w:val="1"/>
          <w:color w:val="auto"/>
        </w:rPr>
        <w:t>BANK OF AMERICA, N.A.,</w:t>
      </w:r>
      <w:r>
        <w:rPr>
          <w:rFonts w:ascii="Arial" w:cs="Arial" w:eastAsia="Arial" w:hAnsi="Arial"/>
          <w:sz w:val="19"/>
          <w:szCs w:val="19"/>
          <w:color w:val="auto"/>
        </w:rPr>
        <w:t xml:space="preserve"> as Administrative Agent, Swing Line Lender and L/C Issuer.</w:t>
      </w:r>
    </w:p>
    <w:p>
      <w:pPr>
        <w:spacing w:after="0" w:line="179"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The Borrowers, the lenders party thereto (the “</w:t>
      </w:r>
      <w:r>
        <w:rPr>
          <w:rFonts w:ascii="Arial" w:cs="Arial" w:eastAsia="Arial" w:hAnsi="Arial"/>
          <w:sz w:val="20"/>
          <w:szCs w:val="20"/>
          <w:u w:val="single" w:color="auto"/>
          <w:color w:val="auto"/>
        </w:rPr>
        <w:t>Existing Revolving Lenders</w:t>
      </w:r>
      <w:r>
        <w:rPr>
          <w:rFonts w:ascii="Arial" w:cs="Arial" w:eastAsia="Arial" w:hAnsi="Arial"/>
          <w:sz w:val="20"/>
          <w:szCs w:val="20"/>
          <w:color w:val="auto"/>
        </w:rPr>
        <w:t>”), certain other parties thereto and Bank of America, N.A., as Administrative Agent, are parties to that certain Credit Agreement, dated as of June 19, 2018 (as amended, restated, supplemented or otherwise modified from time to time prior to the date hereof, the “</w:t>
      </w:r>
      <w:r>
        <w:rPr>
          <w:rFonts w:ascii="Arial" w:cs="Arial" w:eastAsia="Arial" w:hAnsi="Arial"/>
          <w:sz w:val="20"/>
          <w:szCs w:val="20"/>
          <w:u w:val="single" w:color="auto"/>
          <w:color w:val="auto"/>
        </w:rPr>
        <w:t>Existing Revolving Credit Agreement</w:t>
      </w:r>
      <w:r>
        <w:rPr>
          <w:rFonts w:ascii="Arial" w:cs="Arial" w:eastAsia="Arial" w:hAnsi="Arial"/>
          <w:sz w:val="20"/>
          <w:szCs w:val="20"/>
          <w:color w:val="auto"/>
        </w:rPr>
        <w:t>”), pursuant to which such Existing Revolving Lenders originally agreed to provide the Borrowers with a revolving credit facility, including subfacilities for swing line loans and letters of credit; and</w:t>
      </w:r>
    </w:p>
    <w:p>
      <w:pPr>
        <w:spacing w:after="0" w:line="19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The Borrowers have requested that the Existing Revolving Credit Agreement be amended and restated in order to, among other things, (i) provide a term loan facility to Toro, (ii) extend the maturity date of the revolving credit facility and (iii) make certain other amendments to the Existing Revolving Credit Agreement (the “</w:t>
      </w:r>
      <w:r>
        <w:rPr>
          <w:rFonts w:ascii="Arial" w:cs="Arial" w:eastAsia="Arial" w:hAnsi="Arial"/>
          <w:sz w:val="20"/>
          <w:szCs w:val="20"/>
          <w:u w:val="single" w:color="auto"/>
          <w:color w:val="auto"/>
        </w:rPr>
        <w:t>Restatement</w:t>
      </w:r>
      <w:r>
        <w:rPr>
          <w:rFonts w:ascii="Arial" w:cs="Arial" w:eastAsia="Arial" w:hAnsi="Arial"/>
          <w:sz w:val="20"/>
          <w:szCs w:val="20"/>
          <w:color w:val="auto"/>
        </w:rPr>
        <w:t>”), and the Lenders are willing to do so on the terms and conditions set forth herein.</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 AND ACCOUNTING TERMS</w:t>
      </w:r>
    </w:p>
    <w:p>
      <w:pPr>
        <w:spacing w:after="0" w:line="18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8"/>
          <w:szCs w:val="18"/>
          <w:b w:val="1"/>
          <w:bCs w:val="1"/>
          <w:color w:val="auto"/>
        </w:rPr>
        <w:t>Defined Terms</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9"/>
          <w:szCs w:val="19"/>
          <w:color w:val="auto"/>
        </w:rPr>
        <w:t>As used in this Agreement, the following terms shall have the meanings set forth below:</w:t>
      </w:r>
    </w:p>
    <w:p>
      <w:pPr>
        <w:spacing w:after="0" w:line="240"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xml:space="preserve">” means any investment which involves a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(i) before and after giving pro forma effect to any such Acquisition, Toro is in compliance with the financial covenant set forth in </w:t>
      </w:r>
      <w:r>
        <w:rPr>
          <w:rFonts w:ascii="Arial" w:cs="Arial" w:eastAsia="Arial" w:hAnsi="Arial"/>
          <w:sz w:val="20"/>
          <w:szCs w:val="20"/>
          <w:u w:val="single" w:color="auto"/>
          <w:color w:val="auto"/>
        </w:rPr>
        <w:t>Section 7.05</w:t>
      </w:r>
      <w:r>
        <w:rPr>
          <w:rFonts w:ascii="Arial" w:cs="Arial" w:eastAsia="Arial" w:hAnsi="Arial"/>
          <w:sz w:val="20"/>
          <w:szCs w:val="20"/>
          <w:color w:val="auto"/>
        </w:rPr>
        <w:t>, (ii) such Acquisition is undertaken in accordance with all Applicable Laws, and (iii) the prior, effective written consent or approval to such Acquisition of the board of directors or equivalent governing body of the acquiree is obtained.</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means USA PATRIOT Act (Title III of Pub. L. 107-56 (signed into law October 26, 2001)).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jc w:val="both"/>
        <w:ind w:firstLine="864"/>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(or any designated branch offices or Affiliates of Bank of America) in its capacity as administrative agent under any of the Loan Documents, or any successor administrative agent as permitted by this Agreement.</w:t>
      </w:r>
    </w:p>
    <w:p>
      <w:pPr>
        <w:spacing w:after="0" w:line="8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the Administrative Agent’s address and, as appropriate, account as set forth on </w:t>
      </w:r>
      <w:r>
        <w:rPr>
          <w:rFonts w:ascii="Arial" w:cs="Arial" w:eastAsia="Arial" w:hAnsi="Arial"/>
          <w:sz w:val="20"/>
          <w:szCs w:val="20"/>
          <w:u w:val="single" w:color="auto"/>
          <w:color w:val="auto"/>
        </w:rPr>
        <w:t>Schedule 11.02</w:t>
      </w:r>
      <w:r>
        <w:rPr>
          <w:rFonts w:ascii="Arial" w:cs="Arial" w:eastAsia="Arial" w:hAnsi="Arial"/>
          <w:sz w:val="20"/>
          <w:szCs w:val="20"/>
          <w:color w:val="auto"/>
        </w:rPr>
        <w:t xml:space="preserve"> with respect to such currency, or such other address or account with respect to such currency as the Administrative Agent may from time to time notify Toro and the Lenders.</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approved by the Administrative Agent.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w:t>
      </w:r>
      <w:r>
        <w:rPr>
          <w:rFonts w:ascii="Arial" w:cs="Arial" w:eastAsia="Arial" w:hAnsi="Arial"/>
          <w:sz w:val="20"/>
          <w:szCs w:val="20"/>
          <w:u w:val="single" w:color="auto"/>
          <w:color w:val="auto"/>
        </w:rPr>
        <w:t>a</w:t>
      </w:r>
      <w:r>
        <w:rPr>
          <w:rFonts w:ascii="Arial" w:cs="Arial" w:eastAsia="Arial" w:hAnsi="Arial"/>
          <w:sz w:val="20"/>
          <w:szCs w:val="20"/>
          <w:color w:val="auto"/>
        </w:rPr>
        <w:t>) any EEA Financi</w:t>
      </w:r>
      <w:r>
        <w:rPr>
          <w:rFonts w:ascii="Arial" w:cs="Arial" w:eastAsia="Arial" w:hAnsi="Arial"/>
          <w:sz w:val="20"/>
          <w:szCs w:val="20"/>
          <w:u w:val="single" w:color="auto"/>
          <w:color w:val="auto"/>
        </w:rPr>
        <w:t>a</w:t>
      </w:r>
      <w:r>
        <w:rPr>
          <w:rFonts w:ascii="Arial" w:cs="Arial" w:eastAsia="Arial" w:hAnsi="Arial"/>
          <w:sz w:val="20"/>
          <w:szCs w:val="20"/>
          <w:color w:val="auto"/>
        </w:rPr>
        <w:t>l Institution or (b) any UK Financial Institution.</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17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xml:space="preserve">” means each of Euro, Sterling, Australian Dollars, Canadian Dollars, Mexican Pesos and each other currency (other than Dollars) that is approved in accordance with </w:t>
      </w:r>
      <w:r>
        <w:rPr>
          <w:rFonts w:ascii="Arial" w:cs="Arial" w:eastAsia="Arial" w:hAnsi="Arial"/>
          <w:sz w:val="20"/>
          <w:szCs w:val="20"/>
          <w:u w:val="single" w:color="auto"/>
          <w:color w:val="auto"/>
        </w:rPr>
        <w:t>Section 1.05</w:t>
      </w:r>
      <w:r>
        <w:rPr>
          <w:rFonts w:ascii="Arial" w:cs="Arial" w:eastAsia="Arial" w:hAnsi="Arial"/>
          <w:sz w:val="20"/>
          <w:szCs w:val="20"/>
          <w:color w:val="auto"/>
        </w:rPr>
        <w:t>.</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Daily Rate</w:t>
      </w:r>
      <w:r>
        <w:rPr>
          <w:rFonts w:ascii="Arial" w:cs="Arial" w:eastAsia="Arial" w:hAnsi="Arial"/>
          <w:sz w:val="20"/>
          <w:szCs w:val="20"/>
          <w:color w:val="auto"/>
        </w:rPr>
        <w:t>” means, for any day, with respect to any Credit Extension:</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0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Arial" w:cs="Arial" w:eastAsia="Arial" w:hAnsi="Arial"/>
                <w:sz w:val="20"/>
                <w:szCs w:val="20"/>
                <w:color w:val="auto"/>
              </w:rPr>
              <w:t>(a)</w:t>
            </w:r>
          </w:p>
        </w:tc>
        <w:tc>
          <w:tcPr>
            <w:tcW w:w="8700" w:type="dxa"/>
            <w:vAlign w:val="bottom"/>
          </w:tcPr>
          <w:p>
            <w:pPr>
              <w:ind w:left="640"/>
              <w:spacing w:after="0"/>
              <w:rPr>
                <w:sz w:val="20"/>
                <w:szCs w:val="20"/>
                <w:color w:val="auto"/>
              </w:rPr>
            </w:pPr>
            <w:r>
              <w:rPr>
                <w:rFonts w:ascii="Arial" w:cs="Arial" w:eastAsia="Arial" w:hAnsi="Arial"/>
                <w:sz w:val="20"/>
                <w:szCs w:val="20"/>
                <w:color w:val="auto"/>
                <w:w w:val="92"/>
              </w:rPr>
              <w:t>denominated in Sterling, the rate per annum equal to SONIA determined pursuant to the definition</w:t>
            </w:r>
          </w:p>
        </w:tc>
      </w:tr>
      <w:tr>
        <w:trPr>
          <w:trHeight w:val="206"/>
        </w:trPr>
        <w:tc>
          <w:tcPr>
            <w:tcW w:w="10360" w:type="dxa"/>
            <w:vAlign w:val="bottom"/>
            <w:gridSpan w:val="4"/>
          </w:tcPr>
          <w:p>
            <w:pPr>
              <w:spacing w:after="0" w:line="206" w:lineRule="exact"/>
              <w:rPr>
                <w:sz w:val="20"/>
                <w:szCs w:val="20"/>
                <w:color w:val="auto"/>
              </w:rPr>
            </w:pPr>
            <w:r>
              <w:rPr>
                <w:rFonts w:ascii="Arial" w:cs="Arial" w:eastAsia="Arial" w:hAnsi="Arial"/>
                <w:sz w:val="20"/>
                <w:szCs w:val="20"/>
                <w:color w:val="auto"/>
              </w:rPr>
              <w:t>thereof plus the SONIA Adjustment; and</w:t>
            </w:r>
          </w:p>
        </w:tc>
      </w:tr>
      <w:tr>
        <w:trPr>
          <w:trHeight w:val="20"/>
        </w:trPr>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465"/>
        </w:trPr>
        <w:tc>
          <w:tcPr>
            <w:tcW w:w="600" w:type="dxa"/>
            <w:vAlign w:val="bottom"/>
          </w:tcPr>
          <w:p>
            <w:pPr>
              <w:spacing w:after="0"/>
              <w:rPr>
                <w:sz w:val="24"/>
                <w:szCs w:val="24"/>
                <w:color w:val="auto"/>
              </w:rPr>
            </w:pPr>
          </w:p>
        </w:tc>
        <w:tc>
          <w:tcPr>
            <w:tcW w:w="1060" w:type="dxa"/>
            <w:vAlign w:val="bottom"/>
            <w:gridSpan w:val="2"/>
          </w:tcPr>
          <w:p>
            <w:pPr>
              <w:ind w:left="180"/>
              <w:spacing w:after="0"/>
              <w:rPr>
                <w:sz w:val="20"/>
                <w:szCs w:val="20"/>
                <w:color w:val="auto"/>
              </w:rPr>
            </w:pPr>
            <w:r>
              <w:rPr>
                <w:rFonts w:ascii="Arial" w:cs="Arial" w:eastAsia="Arial" w:hAnsi="Arial"/>
                <w:sz w:val="20"/>
                <w:szCs w:val="20"/>
                <w:color w:val="auto"/>
              </w:rPr>
              <w:t>(b)</w:t>
            </w:r>
          </w:p>
        </w:tc>
        <w:tc>
          <w:tcPr>
            <w:tcW w:w="8700" w:type="dxa"/>
            <w:vAlign w:val="bottom"/>
          </w:tcPr>
          <w:p>
            <w:pPr>
              <w:ind w:left="660"/>
              <w:spacing w:after="0"/>
              <w:rPr>
                <w:sz w:val="20"/>
                <w:szCs w:val="20"/>
                <w:color w:val="auto"/>
              </w:rPr>
            </w:pPr>
            <w:r>
              <w:rPr>
                <w:rFonts w:ascii="Arial" w:cs="Arial" w:eastAsia="Arial" w:hAnsi="Arial"/>
                <w:sz w:val="20"/>
                <w:szCs w:val="20"/>
                <w:color w:val="auto"/>
                <w:w w:val="96"/>
              </w:rPr>
              <w:t>denominated in any other Alternative Currency (to the extent such Loans denominated in such</w:t>
            </w:r>
          </w:p>
        </w:tc>
      </w:tr>
    </w:tbl>
    <w:p>
      <w:pPr>
        <w:ind w:left="880"/>
        <w:spacing w:after="0"/>
        <w:rPr>
          <w:sz w:val="20"/>
          <w:szCs w:val="20"/>
          <w:color w:val="auto"/>
        </w:rPr>
      </w:pPr>
      <w:r>
        <w:rPr>
          <w:rFonts w:ascii="Arial" w:cs="Arial" w:eastAsia="Arial" w:hAnsi="Arial"/>
          <w:sz w:val="18"/>
          <w:szCs w:val="18"/>
          <w:color w:val="auto"/>
        </w:rPr>
        <w:t>currency will bear interest at a daily rate), the daily rate per annum as designated with respect to such Alternative Currency at the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time such Alternative Currency is approved by the Administrative Agent and the Revolving Credit Lenders pursuant to </w:t>
      </w:r>
      <w:r>
        <w:rPr>
          <w:rFonts w:ascii="Arial" w:cs="Arial" w:eastAsia="Arial" w:hAnsi="Arial"/>
          <w:sz w:val="18"/>
          <w:szCs w:val="18"/>
          <w:u w:val="single" w:color="auto"/>
          <w:color w:val="auto"/>
        </w:rPr>
        <w:t>Section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1.05(a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adjustment (if any) determined by the Administrative Agent and the Revolving Credit Lenders pursuant to </w:t>
      </w:r>
      <w:r>
        <w:rPr>
          <w:rFonts w:ascii="Arial" w:cs="Arial" w:eastAsia="Arial" w:hAnsi="Arial"/>
          <w:sz w:val="18"/>
          <w:szCs w:val="18"/>
          <w:u w:val="single" w:color="auto"/>
          <w:color w:val="auto"/>
        </w:rPr>
        <w:t>Section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1.05(a)</w:t>
      </w:r>
      <w:r>
        <w:rPr>
          <w:rFonts w:ascii="Arial" w:cs="Arial" w:eastAsia="Arial" w:hAnsi="Arial"/>
          <w:sz w:val="20"/>
          <w:szCs w:val="20"/>
          <w:color w:val="auto"/>
        </w:rPr>
        <w:t>;</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4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Daily Rate Loan</w:t>
      </w:r>
      <w:r>
        <w:rPr>
          <w:rFonts w:ascii="Arial" w:cs="Arial" w:eastAsia="Arial" w:hAnsi="Arial"/>
          <w:sz w:val="20"/>
          <w:szCs w:val="20"/>
          <w:color w:val="auto"/>
        </w:rPr>
        <w:t>” means a Loan that bears interest at a rate based on the definition of “Alternative Currency Daily Rate.” All Alternative Currency Daily Rate Loans must be denominated in an Alternative Currency.</w:t>
      </w:r>
    </w:p>
    <w:p>
      <w:pPr>
        <w:spacing w:after="0" w:line="13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Equivalent</w:t>
      </w:r>
      <w:r>
        <w:rPr>
          <w:rFonts w:ascii="Arial" w:cs="Arial" w:eastAsia="Arial" w:hAnsi="Arial"/>
          <w:sz w:val="20"/>
          <w:szCs w:val="20"/>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 w:name="page13"/>
    <w:bookmarkEnd w:id="12"/>
    <w:p>
      <w:pPr>
        <w:ind w:right="20" w:firstLine="864"/>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Loan</w:t>
      </w:r>
      <w:r>
        <w:rPr>
          <w:rFonts w:ascii="Arial" w:cs="Arial" w:eastAsia="Arial" w:hAnsi="Arial"/>
          <w:sz w:val="18"/>
          <w:szCs w:val="18"/>
          <w:color w:val="auto"/>
        </w:rPr>
        <w:t>” means an Alternative Currency Daily Rate Loan or an Alternative Currency Term Rate Loan, as applicable. All Loans denominated in an Alternative Currency must be Eurocurrency Rate Loans or Alternative Currency Daily Rate Loans.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Term Rate</w:t>
      </w:r>
      <w:r>
        <w:rPr>
          <w:rFonts w:ascii="Arial" w:cs="Arial" w:eastAsia="Arial" w:hAnsi="Arial"/>
          <w:sz w:val="20"/>
          <w:szCs w:val="20"/>
          <w:color w:val="auto"/>
        </w:rPr>
        <w:t>” means, for any Interest Period, with respect to any Credit Extension:</w:t>
      </w:r>
    </w:p>
    <w:p>
      <w:pPr>
        <w:spacing w:after="0" w:line="216" w:lineRule="exact"/>
        <w:rPr>
          <w:sz w:val="20"/>
          <w:szCs w:val="20"/>
          <w:color w:val="auto"/>
        </w:rPr>
      </w:pPr>
    </w:p>
    <w:p>
      <w:pPr>
        <w:jc w:val="both"/>
        <w:ind w:left="880" w:firstLine="789"/>
        <w:spacing w:after="0" w:line="246" w:lineRule="auto"/>
        <w:tabs>
          <w:tab w:leader="none" w:pos="2545"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denominated in Euros, the rate per annum equal to the Euro Interbank Offered Rate (“</w:t>
      </w:r>
      <w:r>
        <w:rPr>
          <w:rFonts w:ascii="Arial" w:cs="Arial" w:eastAsia="Arial" w:hAnsi="Arial"/>
          <w:sz w:val="20"/>
          <w:szCs w:val="20"/>
          <w:u w:val="single" w:color="auto"/>
          <w:color w:val="auto"/>
        </w:rPr>
        <w:t>EURIBOR</w:t>
      </w:r>
      <w:r>
        <w:rPr>
          <w:rFonts w:ascii="Arial" w:cs="Arial" w:eastAsia="Arial" w:hAnsi="Arial"/>
          <w:sz w:val="20"/>
          <w:szCs w:val="20"/>
          <w:color w:val="auto"/>
        </w:rPr>
        <w:t>”), as published on the applicable Reuters screen page (or such other commercially available source providing such quotations as may be designated by the Administrative Agent from time to time) at or about 11:00 a.m. (Brussels, Belgium time) on the Rate Determination Date with a term equivalent to such Interest Period;</w:t>
      </w:r>
    </w:p>
    <w:p>
      <w:pPr>
        <w:spacing w:after="0" w:line="191" w:lineRule="exact"/>
        <w:rPr>
          <w:rFonts w:ascii="Arial" w:cs="Arial" w:eastAsia="Arial" w:hAnsi="Arial"/>
          <w:sz w:val="20"/>
          <w:szCs w:val="20"/>
          <w:color w:val="auto"/>
        </w:rPr>
      </w:pPr>
    </w:p>
    <w:p>
      <w:pPr>
        <w:jc w:val="both"/>
        <w:ind w:left="880" w:firstLine="789"/>
        <w:spacing w:after="0" w:line="244" w:lineRule="auto"/>
        <w:tabs>
          <w:tab w:leader="none" w:pos="2556"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denominated in Canadian Dollars, the rate per annum equal to the Canadian Dealer Offered Rate (“</w:t>
      </w:r>
      <w:r>
        <w:rPr>
          <w:rFonts w:ascii="Arial" w:cs="Arial" w:eastAsia="Arial" w:hAnsi="Arial"/>
          <w:sz w:val="20"/>
          <w:szCs w:val="20"/>
          <w:u w:val="single" w:color="auto"/>
          <w:color w:val="auto"/>
        </w:rPr>
        <w:t>CDOR</w:t>
      </w:r>
      <w:r>
        <w:rPr>
          <w:rFonts w:ascii="Arial" w:cs="Arial" w:eastAsia="Arial" w:hAnsi="Arial"/>
          <w:sz w:val="20"/>
          <w:szCs w:val="20"/>
          <w:color w:val="auto"/>
        </w:rPr>
        <w:t>”), or a comparable or successor rate which rate is approved by the Administrative Agent, as published on the applicable Reuters screen page (or such other commercially available source providing such quotations as may be designated by the Administrative Agent from time to time) at or about 10:00 a.m. (Toronto, Ontario time) on the Rate Determination Date with a term equivalent to such Interest Period;</w:t>
      </w:r>
    </w:p>
    <w:p>
      <w:pPr>
        <w:spacing w:after="0" w:line="194" w:lineRule="exact"/>
        <w:rPr>
          <w:rFonts w:ascii="Arial" w:cs="Arial" w:eastAsia="Arial" w:hAnsi="Arial"/>
          <w:sz w:val="20"/>
          <w:szCs w:val="20"/>
          <w:color w:val="auto"/>
        </w:rPr>
      </w:pPr>
    </w:p>
    <w:p>
      <w:pPr>
        <w:jc w:val="both"/>
        <w:ind w:left="880" w:firstLine="789"/>
        <w:spacing w:after="0" w:line="244" w:lineRule="auto"/>
        <w:tabs>
          <w:tab w:leader="none" w:pos="2545"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denominated in Australian Dollars, the rate per annum equal to the Bank Bill Swap Reference Bid Rate (“</w:t>
      </w:r>
      <w:r>
        <w:rPr>
          <w:rFonts w:ascii="Arial" w:cs="Arial" w:eastAsia="Arial" w:hAnsi="Arial"/>
          <w:sz w:val="20"/>
          <w:szCs w:val="20"/>
          <w:u w:val="single" w:color="auto"/>
          <w:color w:val="auto"/>
        </w:rPr>
        <w:t>BBSY</w:t>
      </w:r>
      <w:r>
        <w:rPr>
          <w:rFonts w:ascii="Arial" w:cs="Arial" w:eastAsia="Arial" w:hAnsi="Arial"/>
          <w:sz w:val="20"/>
          <w:szCs w:val="20"/>
          <w:color w:val="auto"/>
        </w:rPr>
        <w:t>”) or a comparable or successor rate, which rate is approved by the Administrative Agent, as published on the applicable Reuters screen page (or such other commercially available source providing such quotations as may be designated by the Administrative Agent from time to time) at or about 10:30 a.m. (Melbourne, Australia time) on the Rate Determination Date with a term equivalent to such Interest Period;</w:t>
      </w:r>
    </w:p>
    <w:p>
      <w:pPr>
        <w:spacing w:after="0" w:line="194" w:lineRule="exact"/>
        <w:rPr>
          <w:sz w:val="20"/>
          <w:szCs w:val="20"/>
          <w:color w:val="auto"/>
        </w:rPr>
      </w:pPr>
    </w:p>
    <w:p>
      <w:pPr>
        <w:jc w:val="both"/>
        <w:ind w:left="880" w:firstLine="789"/>
        <w:spacing w:after="0" w:line="244" w:lineRule="auto"/>
        <w:tabs>
          <w:tab w:leader="none" w:pos="2611"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denominated in Mexican Pesos, the rate per annum equal to the Interbanking Equilibrium Interest Rate (“</w:t>
      </w:r>
      <w:r>
        <w:rPr>
          <w:rFonts w:ascii="Arial" w:cs="Arial" w:eastAsia="Arial" w:hAnsi="Arial"/>
          <w:sz w:val="20"/>
          <w:szCs w:val="20"/>
          <w:u w:val="single" w:color="auto"/>
          <w:color w:val="auto"/>
        </w:rPr>
        <w:t>TIIE</w:t>
      </w:r>
      <w:r>
        <w:rPr>
          <w:rFonts w:ascii="Arial" w:cs="Arial" w:eastAsia="Arial" w:hAnsi="Arial"/>
          <w:sz w:val="20"/>
          <w:szCs w:val="20"/>
          <w:color w:val="auto"/>
        </w:rPr>
        <w:t>”), or a comparable or successor rate which rate is approved by the Administrative Agent, as published by Banco de Mexico in the Federation’s Official Gazette (or such other commercially available source providing such quotations as may be designated by the Administrative Agent from time to time) at or about 2:00 p.m. (Mexico City, Mexico time) on the Rate Determination Date with a term equivalent to such Interest Period; and</w:t>
      </w:r>
    </w:p>
    <w:p>
      <w:pPr>
        <w:spacing w:after="0" w:line="194" w:lineRule="exact"/>
        <w:rPr>
          <w:sz w:val="20"/>
          <w:szCs w:val="20"/>
          <w:color w:val="auto"/>
        </w:rPr>
      </w:pPr>
    </w:p>
    <w:p>
      <w:pPr>
        <w:jc w:val="both"/>
        <w:ind w:left="880" w:firstLine="789"/>
        <w:spacing w:after="0" w:line="282" w:lineRule="auto"/>
        <w:tabs>
          <w:tab w:leader="none" w:pos="25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adjustment (if any) determined by the Administrative Agent and the relevant Lenders pursuant to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if any Alternative Currency Term Rate shall be less than zero, such rate shall be deemed zero for purposes of this Agreement.</w:t>
      </w:r>
    </w:p>
    <w:p>
      <w:pPr>
        <w:spacing w:after="0" w:line="239"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Term Rate Loan</w:t>
      </w:r>
      <w:r>
        <w:rPr>
          <w:rFonts w:ascii="Arial" w:cs="Arial" w:eastAsia="Arial" w:hAnsi="Arial"/>
          <w:sz w:val="20"/>
          <w:szCs w:val="20"/>
          <w:color w:val="auto"/>
        </w:rPr>
        <w:t>” means a Loan that bears interest at a rate based on the definition of “Alternative Currency Term Rate.” All Alternative Currency Term Rate Loans must be denominated in an Alternative Currency.</w:t>
      </w:r>
    </w:p>
    <w:p>
      <w:pPr>
        <w:spacing w:after="0" w:line="177"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Authority</w:t>
      </w:r>
      <w:r>
        <w:rPr>
          <w:rFonts w:ascii="Arial" w:cs="Arial" w:eastAsia="Arial" w:hAnsi="Arial"/>
          <w:sz w:val="20"/>
          <w:szCs w:val="20"/>
          <w:color w:val="auto"/>
        </w:rPr>
        <w:t>” means the applicable administrator for the Relevant Rate for such Alternative Currency or any Governmental Authority having jurisdiction over the Administrative Agent or such administrator.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 w:name="page14"/>
    <w:bookmarkEnd w:id="13"/>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Currency</w:t>
      </w:r>
      <w:r>
        <w:rPr>
          <w:rFonts w:ascii="Arial" w:cs="Arial" w:eastAsia="Arial" w:hAnsi="Arial"/>
          <w:sz w:val="20"/>
          <w:szCs w:val="20"/>
          <w:color w:val="auto"/>
        </w:rPr>
        <w:t>” means Dollars or any Alternative Currency that bears interest at a rate based on an Applicable Reference Rate, as applicable.</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as to any Person, all applicable Laws binding upon such Person or to which such a Person is subject.</w:t>
      </w:r>
    </w:p>
    <w:p>
      <w:pPr>
        <w:spacing w:after="0" w:line="21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(a) in respect of the Term Facility, with respect to any Term Lender at any time, the percentage (carried out to the ninth decimal place) of the Term Facility represented by (i) on or prior to the Closing Date, such Term Lender’s Term Commitment at such time,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(ii) thereafter, the principal amount of such Term Lender’s Term Loans at such time and (b)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If the commitment of each Revolving Credit Lender to make Revolving Credit Loans and the obligation of the L/C Issuer to make L/C Credit Extensions have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and to any Lender’s status as a Defaulting Lender at the time of determination. The initial Applicable Percentage of each Lender in respect of each Facility is set forth opposite the name of such Lender on </w:t>
      </w:r>
      <w:r>
        <w:rPr>
          <w:rFonts w:ascii="Arial" w:cs="Arial" w:eastAsia="Arial" w:hAnsi="Arial"/>
          <w:sz w:val="19"/>
          <w:szCs w:val="19"/>
          <w:u w:val="single" w:color="auto"/>
          <w:color w:val="auto"/>
        </w:rPr>
        <w:t>Schedule 2.01A</w:t>
      </w:r>
      <w:r>
        <w:rPr>
          <w:rFonts w:ascii="Arial" w:cs="Arial" w:eastAsia="Arial" w:hAnsi="Arial"/>
          <w:sz w:val="19"/>
          <w:szCs w:val="19"/>
          <w:color w:val="auto"/>
        </w:rPr>
        <w:t xml:space="preserve"> or in the Assignment and Assumption pursuant to which such Lender becomes a party hereto, as applicable.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 w:name="page15"/>
    <w:bookmarkEnd w:id="14"/>
    <w:p>
      <w:pPr>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from time to time, the following percentages per annum, based upon (a) the Leverage Ratio for such period, and (b) the Debt Rating as set forth below:</w:t>
      </w: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369"/>
        </w:trPr>
        <w:tc>
          <w:tcPr>
            <w:tcW w:w="108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1700" w:type="dxa"/>
            <w:vAlign w:val="bottom"/>
            <w:tcBorders>
              <w:top w:val="single" w:sz="8" w:color="auto"/>
              <w:right w:val="single" w:sz="8" w:color="auto"/>
            </w:tcBorders>
            <w:shd w:val="clear" w:color="auto" w:fill="D9D9D9"/>
          </w:tcPr>
          <w:p>
            <w:pPr>
              <w:spacing w:after="0"/>
              <w:rPr>
                <w:sz w:val="24"/>
                <w:szCs w:val="24"/>
                <w:color w:val="auto"/>
              </w:rPr>
            </w:pPr>
          </w:p>
        </w:tc>
        <w:tc>
          <w:tcPr>
            <w:tcW w:w="200" w:type="dxa"/>
            <w:vAlign w:val="bottom"/>
            <w:tcBorders>
              <w:top w:val="single" w:sz="8" w:color="auto"/>
            </w:tcBorders>
            <w:shd w:val="clear" w:color="auto" w:fill="D9D9D9"/>
          </w:tcPr>
          <w:p>
            <w:pPr>
              <w:spacing w:after="0"/>
              <w:rPr>
                <w:sz w:val="24"/>
                <w:szCs w:val="24"/>
                <w:color w:val="auto"/>
              </w:rPr>
            </w:pPr>
          </w:p>
        </w:tc>
        <w:tc>
          <w:tcPr>
            <w:tcW w:w="120" w:type="dxa"/>
            <w:vAlign w:val="bottom"/>
            <w:tcBorders>
              <w:top w:val="single" w:sz="8" w:color="auto"/>
            </w:tcBorders>
            <w:shd w:val="clear" w:color="auto" w:fill="D9D9D9"/>
          </w:tcPr>
          <w:p>
            <w:pPr>
              <w:spacing w:after="0"/>
              <w:rPr>
                <w:sz w:val="24"/>
                <w:szCs w:val="24"/>
                <w:color w:val="auto"/>
              </w:rPr>
            </w:pPr>
          </w:p>
        </w:tc>
        <w:tc>
          <w:tcPr>
            <w:tcW w:w="1140" w:type="dxa"/>
            <w:vAlign w:val="bottom"/>
            <w:tcBorders>
              <w:top w:val="single" w:sz="8" w:color="auto"/>
              <w:right w:val="single" w:sz="8" w:color="auto"/>
            </w:tcBorders>
            <w:shd w:val="clear" w:color="auto" w:fill="D9D9D9"/>
          </w:tcPr>
          <w:p>
            <w:pPr>
              <w:spacing w:after="0"/>
              <w:rPr>
                <w:sz w:val="24"/>
                <w:szCs w:val="24"/>
                <w:color w:val="auto"/>
              </w:rPr>
            </w:pPr>
          </w:p>
        </w:tc>
        <w:tc>
          <w:tcPr>
            <w:tcW w:w="860" w:type="dxa"/>
            <w:vAlign w:val="bottom"/>
            <w:tcBorders>
              <w:top w:val="single" w:sz="8" w:color="auto"/>
            </w:tcBorders>
            <w:shd w:val="clear" w:color="auto" w:fill="D9D9D9"/>
          </w:tcPr>
          <w:p>
            <w:pPr>
              <w:spacing w:after="0"/>
              <w:rPr>
                <w:sz w:val="24"/>
                <w:szCs w:val="24"/>
                <w:color w:val="auto"/>
              </w:rPr>
            </w:pPr>
          </w:p>
        </w:tc>
        <w:tc>
          <w:tcPr>
            <w:tcW w:w="3040" w:type="dxa"/>
            <w:vAlign w:val="bottom"/>
            <w:tcBorders>
              <w:top w:val="single" w:sz="8" w:color="auto"/>
              <w:right w:val="single" w:sz="8" w:color="auto"/>
            </w:tcBorders>
            <w:gridSpan w:val="3"/>
            <w:shd w:val="clear" w:color="auto" w:fill="D9D9D9"/>
          </w:tcPr>
          <w:p>
            <w:pPr>
              <w:ind w:left="20"/>
              <w:spacing w:after="0"/>
              <w:rPr>
                <w:sz w:val="20"/>
                <w:szCs w:val="20"/>
                <w:color w:val="auto"/>
              </w:rPr>
            </w:pPr>
            <w:r>
              <w:rPr>
                <w:rFonts w:ascii="Arial" w:cs="Arial" w:eastAsia="Arial" w:hAnsi="Arial"/>
                <w:sz w:val="20"/>
                <w:szCs w:val="20"/>
                <w:b w:val="1"/>
                <w:bCs w:val="1"/>
                <w:color w:val="auto"/>
              </w:rPr>
              <w:t>Revolving Credit Facility</w:t>
            </w:r>
          </w:p>
        </w:tc>
        <w:tc>
          <w:tcPr>
            <w:tcW w:w="3100" w:type="dxa"/>
            <w:vAlign w:val="bottom"/>
            <w:tcBorders>
              <w:top w:val="single" w:sz="8" w:color="auto"/>
              <w:right w:val="single" w:sz="8" w:color="auto"/>
            </w:tcBorders>
            <w:gridSpan w:val="2"/>
            <w:shd w:val="clear" w:color="auto" w:fill="D9D9D9"/>
          </w:tcPr>
          <w:p>
            <w:pPr>
              <w:ind w:left="980"/>
              <w:spacing w:after="0"/>
              <w:rPr>
                <w:sz w:val="20"/>
                <w:szCs w:val="20"/>
                <w:color w:val="auto"/>
              </w:rPr>
            </w:pPr>
            <w:r>
              <w:rPr>
                <w:rFonts w:ascii="Arial" w:cs="Arial" w:eastAsia="Arial" w:hAnsi="Arial"/>
                <w:sz w:val="20"/>
                <w:szCs w:val="20"/>
                <w:b w:val="1"/>
                <w:bCs w:val="1"/>
                <w:color w:val="auto"/>
              </w:rPr>
              <w:t>Term Facility</w:t>
            </w:r>
          </w:p>
        </w:tc>
        <w:tc>
          <w:tcPr>
            <w:tcW w:w="0" w:type="dxa"/>
            <w:vAlign w:val="bottom"/>
          </w:tcPr>
          <w:p>
            <w:pPr>
              <w:spacing w:after="0"/>
              <w:rPr>
                <w:sz w:val="1"/>
                <w:szCs w:val="1"/>
                <w:color w:val="auto"/>
              </w:rPr>
            </w:pPr>
          </w:p>
        </w:tc>
      </w:tr>
      <w:tr>
        <w:trPr>
          <w:trHeight w:val="111"/>
        </w:trPr>
        <w:tc>
          <w:tcPr>
            <w:tcW w:w="108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700" w:type="dxa"/>
            <w:vAlign w:val="bottom"/>
            <w:tcBorders>
              <w:bottom w:val="single" w:sz="8" w:color="auto"/>
              <w:right w:val="single" w:sz="8" w:color="auto"/>
            </w:tcBorders>
            <w:shd w:val="clear" w:color="auto" w:fill="D9D9D9"/>
          </w:tcPr>
          <w:p>
            <w:pPr>
              <w:spacing w:after="0"/>
              <w:rPr>
                <w:sz w:val="9"/>
                <w:szCs w:val="9"/>
                <w:color w:val="auto"/>
              </w:rPr>
            </w:pPr>
          </w:p>
        </w:tc>
        <w:tc>
          <w:tcPr>
            <w:tcW w:w="200" w:type="dxa"/>
            <w:vAlign w:val="bottom"/>
            <w:tcBorders>
              <w:bottom w:val="single" w:sz="8" w:color="auto"/>
            </w:tcBorders>
            <w:shd w:val="clear" w:color="auto" w:fill="D9D9D9"/>
          </w:tcPr>
          <w:p>
            <w:pPr>
              <w:spacing w:after="0"/>
              <w:rPr>
                <w:sz w:val="9"/>
                <w:szCs w:val="9"/>
                <w:color w:val="auto"/>
              </w:rPr>
            </w:pPr>
          </w:p>
        </w:tc>
        <w:tc>
          <w:tcPr>
            <w:tcW w:w="120" w:type="dxa"/>
            <w:vAlign w:val="bottom"/>
            <w:tcBorders>
              <w:bottom w:val="single" w:sz="8" w:color="auto"/>
            </w:tcBorders>
            <w:shd w:val="clear" w:color="auto" w:fill="D9D9D9"/>
          </w:tcPr>
          <w:p>
            <w:pPr>
              <w:spacing w:after="0"/>
              <w:rPr>
                <w:sz w:val="9"/>
                <w:szCs w:val="9"/>
                <w:color w:val="auto"/>
              </w:rPr>
            </w:pPr>
          </w:p>
        </w:tc>
        <w:tc>
          <w:tcPr>
            <w:tcW w:w="1140" w:type="dxa"/>
            <w:vAlign w:val="bottom"/>
            <w:tcBorders>
              <w:bottom w:val="single" w:sz="8" w:color="auto"/>
              <w:right w:val="single" w:sz="8" w:color="auto"/>
            </w:tcBorders>
            <w:shd w:val="clear" w:color="auto" w:fill="D9D9D9"/>
          </w:tcPr>
          <w:p>
            <w:pPr>
              <w:spacing w:after="0"/>
              <w:rPr>
                <w:sz w:val="9"/>
                <w:szCs w:val="9"/>
                <w:color w:val="auto"/>
              </w:rPr>
            </w:pPr>
          </w:p>
        </w:tc>
        <w:tc>
          <w:tcPr>
            <w:tcW w:w="860" w:type="dxa"/>
            <w:vAlign w:val="bottom"/>
            <w:tcBorders>
              <w:bottom w:val="single" w:sz="8" w:color="auto"/>
            </w:tcBorders>
            <w:shd w:val="clear" w:color="auto" w:fill="D9D9D9"/>
          </w:tcPr>
          <w:p>
            <w:pPr>
              <w:spacing w:after="0"/>
              <w:rPr>
                <w:sz w:val="9"/>
                <w:szCs w:val="9"/>
                <w:color w:val="auto"/>
              </w:rPr>
            </w:pPr>
          </w:p>
        </w:tc>
        <w:tc>
          <w:tcPr>
            <w:tcW w:w="220" w:type="dxa"/>
            <w:vAlign w:val="bottom"/>
            <w:tcBorders>
              <w:bottom w:val="single" w:sz="8" w:color="auto"/>
              <w:right w:val="single" w:sz="8" w:color="D9D9D9"/>
            </w:tcBorders>
            <w:shd w:val="clear" w:color="auto" w:fill="D9D9D9"/>
          </w:tcPr>
          <w:p>
            <w:pPr>
              <w:spacing w:after="0"/>
              <w:rPr>
                <w:sz w:val="9"/>
                <w:szCs w:val="9"/>
                <w:color w:val="auto"/>
              </w:rPr>
            </w:pPr>
          </w:p>
        </w:tc>
        <w:tc>
          <w:tcPr>
            <w:tcW w:w="1780" w:type="dxa"/>
            <w:vAlign w:val="bottom"/>
            <w:tcBorders>
              <w:bottom w:val="single" w:sz="8" w:color="auto"/>
              <w:right w:val="single" w:sz="8" w:color="D9D9D9"/>
            </w:tcBorders>
            <w:shd w:val="clear" w:color="auto" w:fill="D9D9D9"/>
          </w:tcPr>
          <w:p>
            <w:pPr>
              <w:spacing w:after="0"/>
              <w:rPr>
                <w:sz w:val="9"/>
                <w:szCs w:val="9"/>
                <w:color w:val="auto"/>
              </w:rPr>
            </w:pPr>
          </w:p>
        </w:tc>
        <w:tc>
          <w:tcPr>
            <w:tcW w:w="1040" w:type="dxa"/>
            <w:vAlign w:val="bottom"/>
            <w:tcBorders>
              <w:bottom w:val="single" w:sz="8" w:color="auto"/>
              <w:right w:val="single" w:sz="8" w:color="auto"/>
            </w:tcBorders>
            <w:shd w:val="clear" w:color="auto" w:fill="D9D9D9"/>
          </w:tcPr>
          <w:p>
            <w:pPr>
              <w:spacing w:after="0"/>
              <w:rPr>
                <w:sz w:val="9"/>
                <w:szCs w:val="9"/>
                <w:color w:val="auto"/>
              </w:rPr>
            </w:pPr>
          </w:p>
        </w:tc>
        <w:tc>
          <w:tcPr>
            <w:tcW w:w="1820" w:type="dxa"/>
            <w:vAlign w:val="bottom"/>
            <w:tcBorders>
              <w:bottom w:val="single" w:sz="8" w:color="auto"/>
              <w:right w:val="single" w:sz="8" w:color="D9D9D9"/>
            </w:tcBorders>
            <w:shd w:val="clear" w:color="auto" w:fill="D9D9D9"/>
          </w:tcPr>
          <w:p>
            <w:pPr>
              <w:spacing w:after="0"/>
              <w:rPr>
                <w:sz w:val="9"/>
                <w:szCs w:val="9"/>
                <w:color w:val="auto"/>
              </w:rPr>
            </w:pPr>
          </w:p>
        </w:tc>
        <w:tc>
          <w:tcPr>
            <w:tcW w:w="128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315"/>
        </w:trPr>
        <w:tc>
          <w:tcPr>
            <w:tcW w:w="1080" w:type="dxa"/>
            <w:vAlign w:val="bottom"/>
            <w:tcBorders>
              <w:left w:val="single" w:sz="8" w:color="auto"/>
              <w:right w:val="single" w:sz="8" w:color="auto"/>
            </w:tcBorders>
            <w:shd w:val="clear" w:color="auto" w:fill="D9D9D9"/>
          </w:tcPr>
          <w:p>
            <w:pPr>
              <w:spacing w:after="0"/>
              <w:rPr>
                <w:sz w:val="24"/>
                <w:szCs w:val="24"/>
                <w:color w:val="auto"/>
              </w:rPr>
            </w:pPr>
          </w:p>
        </w:tc>
        <w:tc>
          <w:tcPr>
            <w:tcW w:w="1700" w:type="dxa"/>
            <w:vAlign w:val="bottom"/>
            <w:tcBorders>
              <w:right w:val="single" w:sz="8" w:color="auto"/>
            </w:tcBorders>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1140" w:type="dxa"/>
            <w:vAlign w:val="bottom"/>
            <w:tcBorders>
              <w:right w:val="single" w:sz="8" w:color="auto"/>
            </w:tcBorders>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220" w:type="dxa"/>
            <w:vAlign w:val="bottom"/>
            <w:tcBorders>
              <w:right w:val="single" w:sz="8" w:color="auto"/>
            </w:tcBorders>
            <w:shd w:val="clear" w:color="auto" w:fill="D9D9D9"/>
          </w:tcPr>
          <w:p>
            <w:pPr>
              <w:spacing w:after="0"/>
              <w:rPr>
                <w:sz w:val="24"/>
                <w:szCs w:val="24"/>
                <w:color w:val="auto"/>
              </w:rPr>
            </w:pPr>
          </w:p>
        </w:tc>
        <w:tc>
          <w:tcPr>
            <w:tcW w:w="17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Eurocurrency Rate</w:t>
            </w:r>
          </w:p>
        </w:tc>
        <w:tc>
          <w:tcPr>
            <w:tcW w:w="1040" w:type="dxa"/>
            <w:vAlign w:val="bottom"/>
            <w:tcBorders>
              <w:right w:val="single" w:sz="8" w:color="auto"/>
            </w:tcBorders>
            <w:shd w:val="clear" w:color="auto" w:fill="D9D9D9"/>
          </w:tcPr>
          <w:p>
            <w:pPr>
              <w:spacing w:after="0"/>
              <w:rPr>
                <w:sz w:val="24"/>
                <w:szCs w:val="24"/>
                <w:color w:val="auto"/>
              </w:rPr>
            </w:pPr>
          </w:p>
        </w:tc>
        <w:tc>
          <w:tcPr>
            <w:tcW w:w="1820" w:type="dxa"/>
            <w:vAlign w:val="bottom"/>
            <w:tcBorders>
              <w:right w:val="single" w:sz="8" w:color="auto"/>
            </w:tcBorders>
            <w:shd w:val="clear" w:color="auto" w:fill="D9D9D9"/>
          </w:tcPr>
          <w:p>
            <w:pPr>
              <w:spacing w:after="0"/>
              <w:rPr>
                <w:sz w:val="24"/>
                <w:szCs w:val="24"/>
                <w:color w:val="auto"/>
              </w:rPr>
            </w:pPr>
          </w:p>
        </w:tc>
        <w:tc>
          <w:tcPr>
            <w:tcW w:w="128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8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Pricing</w:t>
            </w:r>
          </w:p>
        </w:tc>
        <w:tc>
          <w:tcPr>
            <w:tcW w:w="1700" w:type="dxa"/>
            <w:vAlign w:val="bottom"/>
            <w:tcBorders>
              <w:right w:val="single" w:sz="8" w:color="auto"/>
            </w:tcBorders>
            <w:vMerge w:val="restart"/>
            <w:shd w:val="clear" w:color="auto" w:fill="D9D9D9"/>
          </w:tcPr>
          <w:p>
            <w:pPr>
              <w:ind w:left="180"/>
              <w:spacing w:after="0"/>
              <w:rPr>
                <w:sz w:val="20"/>
                <w:szCs w:val="20"/>
                <w:color w:val="auto"/>
              </w:rPr>
            </w:pPr>
            <w:r>
              <w:rPr>
                <w:rFonts w:ascii="Arial" w:cs="Arial" w:eastAsia="Arial" w:hAnsi="Arial"/>
                <w:sz w:val="20"/>
                <w:szCs w:val="20"/>
                <w:b w:val="1"/>
                <w:bCs w:val="1"/>
                <w:color w:val="auto"/>
              </w:rPr>
              <w:t>Leverage Ratio</w:t>
            </w:r>
          </w:p>
        </w:tc>
        <w:tc>
          <w:tcPr>
            <w:tcW w:w="1460" w:type="dxa"/>
            <w:vAlign w:val="bottom"/>
            <w:tcBorders>
              <w:right w:val="single" w:sz="8" w:color="auto"/>
            </w:tcBorders>
            <w:gridSpan w:val="3"/>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0"/>
              </w:rPr>
              <w:t>Debt Rating</w:t>
            </w:r>
          </w:p>
        </w:tc>
        <w:tc>
          <w:tcPr>
            <w:tcW w:w="108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Facility Fee</w:t>
            </w:r>
          </w:p>
        </w:tc>
        <w:tc>
          <w:tcPr>
            <w:tcW w:w="17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Loans, Alternative</w:t>
            </w:r>
          </w:p>
        </w:tc>
        <w:tc>
          <w:tcPr>
            <w:tcW w:w="10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6"/>
              </w:rPr>
              <w:t>Base Rate</w:t>
            </w:r>
          </w:p>
        </w:tc>
        <w:tc>
          <w:tcPr>
            <w:tcW w:w="18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Eurocurrency Rate</w:t>
            </w:r>
          </w:p>
        </w:tc>
        <w:tc>
          <w:tcPr>
            <w:tcW w:w="12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6"/>
              </w:rPr>
              <w:t>Base Rate</w:t>
            </w:r>
          </w:p>
        </w:tc>
        <w:tc>
          <w:tcPr>
            <w:tcW w:w="0" w:type="dxa"/>
            <w:vAlign w:val="bottom"/>
          </w:tcPr>
          <w:p>
            <w:pPr>
              <w:spacing w:after="0"/>
              <w:rPr>
                <w:sz w:val="1"/>
                <w:szCs w:val="1"/>
                <w:color w:val="auto"/>
              </w:rPr>
            </w:pPr>
          </w:p>
        </w:tc>
      </w:tr>
      <w:tr>
        <w:trPr>
          <w:trHeight w:val="153"/>
        </w:trPr>
        <w:tc>
          <w:tcPr>
            <w:tcW w:w="1080" w:type="dxa"/>
            <w:vAlign w:val="bottom"/>
            <w:tcBorders>
              <w:left w:val="single" w:sz="8" w:color="auto"/>
              <w:right w:val="single" w:sz="8" w:color="auto"/>
            </w:tcBorders>
            <w:vMerge w:val="continue"/>
            <w:shd w:val="clear" w:color="auto" w:fill="D9D9D9"/>
          </w:tcPr>
          <w:p>
            <w:pPr>
              <w:spacing w:after="0"/>
              <w:rPr>
                <w:sz w:val="13"/>
                <w:szCs w:val="13"/>
                <w:color w:val="auto"/>
              </w:rPr>
            </w:pPr>
          </w:p>
        </w:tc>
        <w:tc>
          <w:tcPr>
            <w:tcW w:w="1700" w:type="dxa"/>
            <w:vAlign w:val="bottom"/>
            <w:tcBorders>
              <w:right w:val="single" w:sz="8" w:color="auto"/>
            </w:tcBorders>
            <w:vMerge w:val="continue"/>
            <w:shd w:val="clear" w:color="auto" w:fill="D9D9D9"/>
          </w:tcPr>
          <w:p>
            <w:pPr>
              <w:spacing w:after="0"/>
              <w:rPr>
                <w:sz w:val="13"/>
                <w:szCs w:val="13"/>
                <w:color w:val="auto"/>
              </w:rPr>
            </w:pPr>
          </w:p>
        </w:tc>
        <w:tc>
          <w:tcPr>
            <w:tcW w:w="1460" w:type="dxa"/>
            <w:vAlign w:val="bottom"/>
            <w:tcBorders>
              <w:right w:val="single" w:sz="8" w:color="auto"/>
            </w:tcBorders>
            <w:gridSpan w:val="3"/>
            <w:vMerge w:val="continue"/>
            <w:shd w:val="clear" w:color="auto" w:fill="D9D9D9"/>
          </w:tcPr>
          <w:p>
            <w:pPr>
              <w:spacing w:after="0"/>
              <w:rPr>
                <w:sz w:val="13"/>
                <w:szCs w:val="13"/>
                <w:color w:val="auto"/>
              </w:rPr>
            </w:pPr>
          </w:p>
        </w:tc>
        <w:tc>
          <w:tcPr>
            <w:tcW w:w="1080" w:type="dxa"/>
            <w:vAlign w:val="bottom"/>
            <w:tcBorders>
              <w:right w:val="single" w:sz="8" w:color="auto"/>
            </w:tcBorders>
            <w:gridSpan w:val="2"/>
            <w:vMerge w:val="continue"/>
            <w:shd w:val="clear" w:color="auto" w:fill="D9D9D9"/>
          </w:tcPr>
          <w:p>
            <w:pPr>
              <w:spacing w:after="0"/>
              <w:rPr>
                <w:sz w:val="13"/>
                <w:szCs w:val="13"/>
                <w:color w:val="auto"/>
              </w:rPr>
            </w:pPr>
          </w:p>
        </w:tc>
        <w:tc>
          <w:tcPr>
            <w:tcW w:w="1780" w:type="dxa"/>
            <w:vAlign w:val="bottom"/>
            <w:tcBorders>
              <w:right w:val="single" w:sz="8" w:color="auto"/>
            </w:tcBorders>
            <w:shd w:val="clear" w:color="auto" w:fill="D9D9D9"/>
          </w:tcPr>
          <w:p>
            <w:pPr>
              <w:jc w:val="center"/>
              <w:spacing w:after="0" w:line="153" w:lineRule="exact"/>
              <w:rPr>
                <w:sz w:val="20"/>
                <w:szCs w:val="20"/>
                <w:color w:val="auto"/>
              </w:rPr>
            </w:pPr>
            <w:r>
              <w:rPr>
                <w:rFonts w:ascii="Arial" w:cs="Arial" w:eastAsia="Arial" w:hAnsi="Arial"/>
                <w:sz w:val="16"/>
                <w:szCs w:val="16"/>
                <w:b w:val="1"/>
                <w:bCs w:val="1"/>
                <w:color w:val="auto"/>
              </w:rPr>
              <w:t>Currency Daily Rate</w:t>
            </w:r>
          </w:p>
        </w:tc>
        <w:tc>
          <w:tcPr>
            <w:tcW w:w="10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Loans</w:t>
            </w: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Loans</w:t>
            </w: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Loans</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Level</w:t>
            </w:r>
          </w:p>
        </w:tc>
        <w:tc>
          <w:tcPr>
            <w:tcW w:w="1700" w:type="dxa"/>
            <w:vAlign w:val="bottom"/>
            <w:tcBorders>
              <w:right w:val="single" w:sz="8" w:color="auto"/>
            </w:tcBorders>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140" w:type="dxa"/>
            <w:vAlign w:val="bottom"/>
            <w:tcBorders>
              <w:right w:val="single" w:sz="8" w:color="auto"/>
            </w:tcBorders>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220" w:type="dxa"/>
            <w:vAlign w:val="bottom"/>
            <w:tcBorders>
              <w:right w:val="single" w:sz="8" w:color="auto"/>
            </w:tcBorders>
            <w:shd w:val="clear" w:color="auto" w:fill="D9D9D9"/>
          </w:tcPr>
          <w:p>
            <w:pPr>
              <w:spacing w:after="0"/>
              <w:rPr>
                <w:sz w:val="11"/>
                <w:szCs w:val="11"/>
                <w:color w:val="auto"/>
              </w:rPr>
            </w:pPr>
          </w:p>
        </w:tc>
        <w:tc>
          <w:tcPr>
            <w:tcW w:w="17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Loans and Letters of</w:t>
            </w:r>
          </w:p>
        </w:tc>
        <w:tc>
          <w:tcPr>
            <w:tcW w:w="1040" w:type="dxa"/>
            <w:vAlign w:val="bottom"/>
            <w:tcBorders>
              <w:right w:val="single" w:sz="8" w:color="auto"/>
            </w:tcBorders>
            <w:vMerge w:val="continue"/>
            <w:shd w:val="clear" w:color="auto" w:fill="D9D9D9"/>
          </w:tcPr>
          <w:p>
            <w:pPr>
              <w:spacing w:after="0"/>
              <w:rPr>
                <w:sz w:val="11"/>
                <w:szCs w:val="11"/>
                <w:color w:val="auto"/>
              </w:rPr>
            </w:pPr>
          </w:p>
        </w:tc>
        <w:tc>
          <w:tcPr>
            <w:tcW w:w="1820" w:type="dxa"/>
            <w:vAlign w:val="bottom"/>
            <w:tcBorders>
              <w:right w:val="single" w:sz="8" w:color="auto"/>
            </w:tcBorders>
            <w:vMerge w:val="continue"/>
            <w:shd w:val="clear" w:color="auto" w:fill="D9D9D9"/>
          </w:tcPr>
          <w:p>
            <w:pPr>
              <w:spacing w:after="0"/>
              <w:rPr>
                <w:sz w:val="11"/>
                <w:szCs w:val="11"/>
                <w:color w:val="auto"/>
              </w:rPr>
            </w:pPr>
          </w:p>
        </w:tc>
        <w:tc>
          <w:tcPr>
            <w:tcW w:w="1280" w:type="dxa"/>
            <w:vAlign w:val="bottom"/>
            <w:tcBorders>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080" w:type="dxa"/>
            <w:vAlign w:val="bottom"/>
            <w:tcBorders>
              <w:left w:val="single" w:sz="8" w:color="auto"/>
              <w:right w:val="single" w:sz="8" w:color="auto"/>
            </w:tcBorders>
            <w:vMerge w:val="continue"/>
            <w:shd w:val="clear" w:color="auto" w:fill="D9D9D9"/>
          </w:tcPr>
          <w:p>
            <w:pPr>
              <w:spacing w:after="0"/>
              <w:rPr>
                <w:sz w:val="8"/>
                <w:szCs w:val="8"/>
                <w:color w:val="auto"/>
              </w:rPr>
            </w:pPr>
          </w:p>
        </w:tc>
        <w:tc>
          <w:tcPr>
            <w:tcW w:w="1700" w:type="dxa"/>
            <w:vAlign w:val="bottom"/>
            <w:tcBorders>
              <w:right w:val="single" w:sz="8" w:color="auto"/>
            </w:tcBorders>
            <w:shd w:val="clear" w:color="auto" w:fill="D9D9D9"/>
          </w:tcPr>
          <w:p>
            <w:pPr>
              <w:spacing w:after="0"/>
              <w:rPr>
                <w:sz w:val="8"/>
                <w:szCs w:val="8"/>
                <w:color w:val="auto"/>
              </w:rPr>
            </w:pPr>
          </w:p>
        </w:tc>
        <w:tc>
          <w:tcPr>
            <w:tcW w:w="20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140" w:type="dxa"/>
            <w:vAlign w:val="bottom"/>
            <w:tcBorders>
              <w:right w:val="single" w:sz="8" w:color="auto"/>
            </w:tcBorders>
            <w:shd w:val="clear" w:color="auto" w:fill="D9D9D9"/>
          </w:tcPr>
          <w:p>
            <w:pPr>
              <w:spacing w:after="0"/>
              <w:rPr>
                <w:sz w:val="8"/>
                <w:szCs w:val="8"/>
                <w:color w:val="auto"/>
              </w:rPr>
            </w:pPr>
          </w:p>
        </w:tc>
        <w:tc>
          <w:tcPr>
            <w:tcW w:w="860" w:type="dxa"/>
            <w:vAlign w:val="bottom"/>
            <w:shd w:val="clear" w:color="auto" w:fill="D9D9D9"/>
          </w:tcPr>
          <w:p>
            <w:pPr>
              <w:spacing w:after="0"/>
              <w:rPr>
                <w:sz w:val="8"/>
                <w:szCs w:val="8"/>
                <w:color w:val="auto"/>
              </w:rPr>
            </w:pPr>
          </w:p>
        </w:tc>
        <w:tc>
          <w:tcPr>
            <w:tcW w:w="220" w:type="dxa"/>
            <w:vAlign w:val="bottom"/>
            <w:tcBorders>
              <w:right w:val="single" w:sz="8" w:color="auto"/>
            </w:tcBorders>
            <w:shd w:val="clear" w:color="auto" w:fill="D9D9D9"/>
          </w:tcPr>
          <w:p>
            <w:pPr>
              <w:spacing w:after="0"/>
              <w:rPr>
                <w:sz w:val="8"/>
                <w:szCs w:val="8"/>
                <w:color w:val="auto"/>
              </w:rPr>
            </w:pPr>
          </w:p>
        </w:tc>
        <w:tc>
          <w:tcPr>
            <w:tcW w:w="1780" w:type="dxa"/>
            <w:vAlign w:val="bottom"/>
            <w:tcBorders>
              <w:right w:val="single" w:sz="8" w:color="auto"/>
            </w:tcBorders>
            <w:vMerge w:val="continue"/>
            <w:shd w:val="clear" w:color="auto" w:fill="D9D9D9"/>
          </w:tcPr>
          <w:p>
            <w:pPr>
              <w:spacing w:after="0"/>
              <w:rPr>
                <w:sz w:val="8"/>
                <w:szCs w:val="8"/>
                <w:color w:val="auto"/>
              </w:rPr>
            </w:pPr>
          </w:p>
        </w:tc>
        <w:tc>
          <w:tcPr>
            <w:tcW w:w="1040" w:type="dxa"/>
            <w:vAlign w:val="bottom"/>
            <w:tcBorders>
              <w:right w:val="single" w:sz="8" w:color="auto"/>
            </w:tcBorders>
            <w:shd w:val="clear" w:color="auto" w:fill="D9D9D9"/>
          </w:tcPr>
          <w:p>
            <w:pPr>
              <w:spacing w:after="0"/>
              <w:rPr>
                <w:sz w:val="8"/>
                <w:szCs w:val="8"/>
                <w:color w:val="auto"/>
              </w:rPr>
            </w:pPr>
          </w:p>
        </w:tc>
        <w:tc>
          <w:tcPr>
            <w:tcW w:w="1820" w:type="dxa"/>
            <w:vAlign w:val="bottom"/>
            <w:tcBorders>
              <w:right w:val="single" w:sz="8" w:color="auto"/>
            </w:tcBorders>
            <w:shd w:val="clear" w:color="auto" w:fill="D9D9D9"/>
          </w:tcPr>
          <w:p>
            <w:pPr>
              <w:spacing w:after="0"/>
              <w:rPr>
                <w:sz w:val="8"/>
                <w:szCs w:val="8"/>
                <w:color w:val="auto"/>
              </w:rPr>
            </w:pPr>
          </w:p>
        </w:tc>
        <w:tc>
          <w:tcPr>
            <w:tcW w:w="128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080" w:type="dxa"/>
            <w:vAlign w:val="bottom"/>
            <w:tcBorders>
              <w:left w:val="single" w:sz="8" w:color="auto"/>
              <w:right w:val="single" w:sz="8" w:color="auto"/>
            </w:tcBorders>
            <w:shd w:val="clear" w:color="auto" w:fill="D9D9D9"/>
          </w:tcPr>
          <w:p>
            <w:pPr>
              <w:spacing w:after="0"/>
              <w:rPr>
                <w:sz w:val="22"/>
                <w:szCs w:val="22"/>
                <w:color w:val="auto"/>
              </w:rPr>
            </w:pPr>
          </w:p>
        </w:tc>
        <w:tc>
          <w:tcPr>
            <w:tcW w:w="1700" w:type="dxa"/>
            <w:vAlign w:val="bottom"/>
            <w:tcBorders>
              <w:right w:val="single" w:sz="8" w:color="auto"/>
            </w:tcBorders>
            <w:shd w:val="clear" w:color="auto" w:fill="D9D9D9"/>
          </w:tcPr>
          <w:p>
            <w:pPr>
              <w:spacing w:after="0"/>
              <w:rPr>
                <w:sz w:val="22"/>
                <w:szCs w:val="22"/>
                <w:color w:val="auto"/>
              </w:rPr>
            </w:pPr>
          </w:p>
        </w:tc>
        <w:tc>
          <w:tcPr>
            <w:tcW w:w="200" w:type="dxa"/>
            <w:vAlign w:val="bottom"/>
            <w:shd w:val="clear" w:color="auto" w:fill="D9D9D9"/>
          </w:tcPr>
          <w:p>
            <w:pPr>
              <w:spacing w:after="0"/>
              <w:rPr>
                <w:sz w:val="22"/>
                <w:szCs w:val="22"/>
                <w:color w:val="auto"/>
              </w:rPr>
            </w:pPr>
          </w:p>
        </w:tc>
        <w:tc>
          <w:tcPr>
            <w:tcW w:w="120" w:type="dxa"/>
            <w:vAlign w:val="bottom"/>
            <w:shd w:val="clear" w:color="auto" w:fill="D9D9D9"/>
          </w:tcPr>
          <w:p>
            <w:pPr>
              <w:spacing w:after="0"/>
              <w:rPr>
                <w:sz w:val="22"/>
                <w:szCs w:val="22"/>
                <w:color w:val="auto"/>
              </w:rPr>
            </w:pPr>
          </w:p>
        </w:tc>
        <w:tc>
          <w:tcPr>
            <w:tcW w:w="1140" w:type="dxa"/>
            <w:vAlign w:val="bottom"/>
            <w:tcBorders>
              <w:right w:val="single" w:sz="8" w:color="auto"/>
            </w:tcBorders>
            <w:shd w:val="clear" w:color="auto" w:fill="D9D9D9"/>
          </w:tcPr>
          <w:p>
            <w:pPr>
              <w:spacing w:after="0"/>
              <w:rPr>
                <w:sz w:val="22"/>
                <w:szCs w:val="22"/>
                <w:color w:val="auto"/>
              </w:rPr>
            </w:pPr>
          </w:p>
        </w:tc>
        <w:tc>
          <w:tcPr>
            <w:tcW w:w="860" w:type="dxa"/>
            <w:vAlign w:val="bottom"/>
            <w:shd w:val="clear" w:color="auto" w:fill="D9D9D9"/>
          </w:tcPr>
          <w:p>
            <w:pPr>
              <w:spacing w:after="0"/>
              <w:rPr>
                <w:sz w:val="22"/>
                <w:szCs w:val="22"/>
                <w:color w:val="auto"/>
              </w:rPr>
            </w:pPr>
          </w:p>
        </w:tc>
        <w:tc>
          <w:tcPr>
            <w:tcW w:w="220" w:type="dxa"/>
            <w:vAlign w:val="bottom"/>
            <w:tcBorders>
              <w:right w:val="single" w:sz="8" w:color="auto"/>
            </w:tcBorders>
            <w:shd w:val="clear" w:color="auto" w:fill="D9D9D9"/>
          </w:tcPr>
          <w:p>
            <w:pPr>
              <w:spacing w:after="0"/>
              <w:rPr>
                <w:sz w:val="22"/>
                <w:szCs w:val="22"/>
                <w:color w:val="auto"/>
              </w:rPr>
            </w:pPr>
          </w:p>
        </w:tc>
        <w:tc>
          <w:tcPr>
            <w:tcW w:w="17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6"/>
              </w:rPr>
              <w:t>Credit</w:t>
            </w:r>
          </w:p>
        </w:tc>
        <w:tc>
          <w:tcPr>
            <w:tcW w:w="1040" w:type="dxa"/>
            <w:vAlign w:val="bottom"/>
            <w:tcBorders>
              <w:right w:val="single" w:sz="8" w:color="auto"/>
            </w:tcBorders>
            <w:shd w:val="clear" w:color="auto" w:fill="D9D9D9"/>
          </w:tcPr>
          <w:p>
            <w:pPr>
              <w:spacing w:after="0"/>
              <w:rPr>
                <w:sz w:val="22"/>
                <w:szCs w:val="22"/>
                <w:color w:val="auto"/>
              </w:rPr>
            </w:pPr>
          </w:p>
        </w:tc>
        <w:tc>
          <w:tcPr>
            <w:tcW w:w="1820" w:type="dxa"/>
            <w:vAlign w:val="bottom"/>
            <w:tcBorders>
              <w:right w:val="single" w:sz="8" w:color="auto"/>
            </w:tcBorders>
            <w:shd w:val="clear" w:color="auto" w:fill="D9D9D9"/>
          </w:tcPr>
          <w:p>
            <w:pPr>
              <w:spacing w:after="0"/>
              <w:rPr>
                <w:sz w:val="22"/>
                <w:szCs w:val="22"/>
                <w:color w:val="auto"/>
              </w:rPr>
            </w:pPr>
          </w:p>
        </w:tc>
        <w:tc>
          <w:tcPr>
            <w:tcW w:w="1280" w:type="dxa"/>
            <w:vAlign w:val="bottom"/>
            <w:tcBorders>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108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700" w:type="dxa"/>
            <w:vAlign w:val="bottom"/>
            <w:tcBorders>
              <w:bottom w:val="single" w:sz="8" w:color="auto"/>
              <w:right w:val="single" w:sz="8" w:color="auto"/>
            </w:tcBorders>
            <w:shd w:val="clear" w:color="auto" w:fill="D9D9D9"/>
          </w:tcPr>
          <w:p>
            <w:pPr>
              <w:spacing w:after="0"/>
              <w:rPr>
                <w:sz w:val="9"/>
                <w:szCs w:val="9"/>
                <w:color w:val="auto"/>
              </w:rPr>
            </w:pPr>
          </w:p>
        </w:tc>
        <w:tc>
          <w:tcPr>
            <w:tcW w:w="200" w:type="dxa"/>
            <w:vAlign w:val="bottom"/>
            <w:tcBorders>
              <w:bottom w:val="single" w:sz="8" w:color="auto"/>
            </w:tcBorders>
            <w:shd w:val="clear" w:color="auto" w:fill="D9D9D9"/>
          </w:tcPr>
          <w:p>
            <w:pPr>
              <w:spacing w:after="0"/>
              <w:rPr>
                <w:sz w:val="9"/>
                <w:szCs w:val="9"/>
                <w:color w:val="auto"/>
              </w:rPr>
            </w:pPr>
          </w:p>
        </w:tc>
        <w:tc>
          <w:tcPr>
            <w:tcW w:w="120" w:type="dxa"/>
            <w:vAlign w:val="bottom"/>
            <w:tcBorders>
              <w:bottom w:val="single" w:sz="8" w:color="auto"/>
            </w:tcBorders>
            <w:shd w:val="clear" w:color="auto" w:fill="D9D9D9"/>
          </w:tcPr>
          <w:p>
            <w:pPr>
              <w:spacing w:after="0"/>
              <w:rPr>
                <w:sz w:val="9"/>
                <w:szCs w:val="9"/>
                <w:color w:val="auto"/>
              </w:rPr>
            </w:pPr>
          </w:p>
        </w:tc>
        <w:tc>
          <w:tcPr>
            <w:tcW w:w="1140" w:type="dxa"/>
            <w:vAlign w:val="bottom"/>
            <w:tcBorders>
              <w:bottom w:val="single" w:sz="8" w:color="auto"/>
              <w:right w:val="single" w:sz="8" w:color="auto"/>
            </w:tcBorders>
            <w:shd w:val="clear" w:color="auto" w:fill="D9D9D9"/>
          </w:tcPr>
          <w:p>
            <w:pPr>
              <w:spacing w:after="0"/>
              <w:rPr>
                <w:sz w:val="9"/>
                <w:szCs w:val="9"/>
                <w:color w:val="auto"/>
              </w:rPr>
            </w:pPr>
          </w:p>
        </w:tc>
        <w:tc>
          <w:tcPr>
            <w:tcW w:w="860" w:type="dxa"/>
            <w:vAlign w:val="bottom"/>
            <w:tcBorders>
              <w:bottom w:val="single" w:sz="8" w:color="auto"/>
            </w:tcBorders>
            <w:shd w:val="clear" w:color="auto" w:fill="D9D9D9"/>
          </w:tcPr>
          <w:p>
            <w:pPr>
              <w:spacing w:after="0"/>
              <w:rPr>
                <w:sz w:val="9"/>
                <w:szCs w:val="9"/>
                <w:color w:val="auto"/>
              </w:rPr>
            </w:pPr>
          </w:p>
        </w:tc>
        <w:tc>
          <w:tcPr>
            <w:tcW w:w="220" w:type="dxa"/>
            <w:vAlign w:val="bottom"/>
            <w:tcBorders>
              <w:bottom w:val="single" w:sz="8" w:color="auto"/>
              <w:right w:val="single" w:sz="8" w:color="auto"/>
            </w:tcBorders>
            <w:shd w:val="clear" w:color="auto" w:fill="D9D9D9"/>
          </w:tcPr>
          <w:p>
            <w:pPr>
              <w:spacing w:after="0"/>
              <w:rPr>
                <w:sz w:val="9"/>
                <w:szCs w:val="9"/>
                <w:color w:val="auto"/>
              </w:rPr>
            </w:pPr>
          </w:p>
        </w:tc>
        <w:tc>
          <w:tcPr>
            <w:tcW w:w="1780" w:type="dxa"/>
            <w:vAlign w:val="bottom"/>
            <w:tcBorders>
              <w:bottom w:val="single" w:sz="8" w:color="auto"/>
              <w:right w:val="single" w:sz="8" w:color="auto"/>
            </w:tcBorders>
            <w:shd w:val="clear" w:color="auto" w:fill="D9D9D9"/>
          </w:tcPr>
          <w:p>
            <w:pPr>
              <w:spacing w:after="0"/>
              <w:rPr>
                <w:sz w:val="9"/>
                <w:szCs w:val="9"/>
                <w:color w:val="auto"/>
              </w:rPr>
            </w:pPr>
          </w:p>
        </w:tc>
        <w:tc>
          <w:tcPr>
            <w:tcW w:w="1040" w:type="dxa"/>
            <w:vAlign w:val="bottom"/>
            <w:tcBorders>
              <w:bottom w:val="single" w:sz="8" w:color="auto"/>
              <w:right w:val="single" w:sz="8" w:color="auto"/>
            </w:tcBorders>
            <w:shd w:val="clear" w:color="auto" w:fill="D9D9D9"/>
          </w:tcPr>
          <w:p>
            <w:pPr>
              <w:spacing w:after="0"/>
              <w:rPr>
                <w:sz w:val="9"/>
                <w:szCs w:val="9"/>
                <w:color w:val="auto"/>
              </w:rPr>
            </w:pPr>
          </w:p>
        </w:tc>
        <w:tc>
          <w:tcPr>
            <w:tcW w:w="1820" w:type="dxa"/>
            <w:vAlign w:val="bottom"/>
            <w:tcBorders>
              <w:bottom w:val="single" w:sz="8" w:color="auto"/>
              <w:right w:val="single" w:sz="8" w:color="auto"/>
            </w:tcBorders>
            <w:shd w:val="clear" w:color="auto" w:fill="D9D9D9"/>
          </w:tcPr>
          <w:p>
            <w:pPr>
              <w:spacing w:after="0"/>
              <w:rPr>
                <w:sz w:val="9"/>
                <w:szCs w:val="9"/>
                <w:color w:val="auto"/>
              </w:rPr>
            </w:pPr>
          </w:p>
        </w:tc>
        <w:tc>
          <w:tcPr>
            <w:tcW w:w="128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Less than or equal to</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right w:val="single" w:sz="8" w:color="auto"/>
            </w:tcBorders>
            <w:vMerge w:val="restart"/>
          </w:tcPr>
          <w:p>
            <w:pPr>
              <w:jc w:val="center"/>
              <w:ind w:right="261"/>
              <w:spacing w:after="0"/>
              <w:rPr>
                <w:sz w:val="20"/>
                <w:szCs w:val="20"/>
                <w:color w:val="auto"/>
              </w:rPr>
            </w:pPr>
            <w:r>
              <w:rPr>
                <w:rFonts w:ascii="Arial" w:cs="Arial" w:eastAsia="Arial" w:hAnsi="Arial"/>
                <w:sz w:val="20"/>
                <w:szCs w:val="20"/>
                <w:color w:val="auto"/>
                <w:w w:val="95"/>
              </w:rPr>
              <w:t>≥ A- / A3</w:t>
            </w:r>
          </w:p>
        </w:tc>
        <w:tc>
          <w:tcPr>
            <w:tcW w:w="860" w:type="dxa"/>
            <w:vAlign w:val="bottom"/>
            <w:vMerge w:val="restart"/>
          </w:tcPr>
          <w:p>
            <w:pPr>
              <w:jc w:val="center"/>
              <w:ind w:left="101"/>
              <w:spacing w:after="0"/>
              <w:rPr>
                <w:sz w:val="20"/>
                <w:szCs w:val="20"/>
                <w:color w:val="auto"/>
              </w:rPr>
            </w:pPr>
            <w:r>
              <w:rPr>
                <w:rFonts w:ascii="Arial" w:cs="Arial" w:eastAsia="Arial" w:hAnsi="Arial"/>
                <w:sz w:val="20"/>
                <w:szCs w:val="20"/>
                <w:color w:val="auto"/>
                <w:w w:val="91"/>
              </w:rPr>
              <w:t>0.075%</w:t>
            </w:r>
          </w:p>
        </w:tc>
        <w:tc>
          <w:tcPr>
            <w:tcW w:w="22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0.800%</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0.000%</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0.750%</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0.000%</w:t>
            </w:r>
          </w:p>
        </w:tc>
        <w:tc>
          <w:tcPr>
            <w:tcW w:w="0" w:type="dxa"/>
            <w:vAlign w:val="bottom"/>
          </w:tcPr>
          <w:p>
            <w:pPr>
              <w:spacing w:after="0"/>
              <w:rPr>
                <w:sz w:val="1"/>
                <w:szCs w:val="1"/>
                <w:color w:val="auto"/>
              </w:rPr>
            </w:pPr>
          </w:p>
        </w:tc>
      </w:tr>
      <w:tr>
        <w:trPr>
          <w:trHeight w:val="129"/>
        </w:trPr>
        <w:tc>
          <w:tcPr>
            <w:tcW w:w="1080" w:type="dxa"/>
            <w:vAlign w:val="bottom"/>
            <w:tcBorders>
              <w:left w:val="single" w:sz="8" w:color="auto"/>
              <w:right w:val="single" w:sz="8" w:color="auto"/>
            </w:tcBorders>
            <w:vMerge w:val="continue"/>
          </w:tcPr>
          <w:p>
            <w:pPr>
              <w:spacing w:after="0"/>
              <w:rPr>
                <w:sz w:val="11"/>
                <w:szCs w:val="11"/>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0.25x</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8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1080" w:type="dxa"/>
            <w:vAlign w:val="bottom"/>
            <w:tcBorders>
              <w:left w:val="single" w:sz="8" w:color="auto"/>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Less than or equal to</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1.00x but greater</w:t>
            </w:r>
          </w:p>
        </w:tc>
        <w:tc>
          <w:tcPr>
            <w:tcW w:w="146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92"/>
              </w:rPr>
              <w:t>BBB+ / Baa1</w:t>
            </w:r>
          </w:p>
        </w:tc>
        <w:tc>
          <w:tcPr>
            <w:tcW w:w="860" w:type="dxa"/>
            <w:vAlign w:val="bottom"/>
          </w:tcPr>
          <w:p>
            <w:pPr>
              <w:jc w:val="center"/>
              <w:ind w:left="101"/>
              <w:spacing w:after="0"/>
              <w:rPr>
                <w:sz w:val="20"/>
                <w:szCs w:val="20"/>
                <w:color w:val="auto"/>
              </w:rPr>
            </w:pPr>
            <w:r>
              <w:rPr>
                <w:rFonts w:ascii="Arial" w:cs="Arial" w:eastAsia="Arial" w:hAnsi="Arial"/>
                <w:sz w:val="20"/>
                <w:szCs w:val="20"/>
                <w:color w:val="auto"/>
                <w:w w:val="91"/>
              </w:rPr>
              <w:t>0.100%</w:t>
            </w:r>
          </w:p>
        </w:tc>
        <w:tc>
          <w:tcPr>
            <w:tcW w:w="22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0.900%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0.000%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0.875%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0.000%</w:t>
            </w:r>
          </w:p>
        </w:tc>
        <w:tc>
          <w:tcPr>
            <w:tcW w:w="0" w:type="dxa"/>
            <w:vAlign w:val="bottom"/>
          </w:tcPr>
          <w:p>
            <w:pPr>
              <w:spacing w:after="0"/>
              <w:rPr>
                <w:sz w:val="1"/>
                <w:szCs w:val="1"/>
                <w:color w:val="auto"/>
              </w:rPr>
            </w:pPr>
          </w:p>
        </w:tc>
      </w:tr>
      <w:tr>
        <w:trPr>
          <w:trHeight w:val="250"/>
        </w:trPr>
        <w:tc>
          <w:tcPr>
            <w:tcW w:w="1080" w:type="dxa"/>
            <w:vAlign w:val="bottom"/>
            <w:tcBorders>
              <w:left w:val="single" w:sz="8" w:color="auto"/>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than 0.25x</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08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1080" w:type="dxa"/>
            <w:vAlign w:val="bottom"/>
            <w:tcBorders>
              <w:left w:val="single" w:sz="8" w:color="auto"/>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Less than or equal to</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1.50x but greater</w:t>
            </w:r>
          </w:p>
        </w:tc>
        <w:tc>
          <w:tcPr>
            <w:tcW w:w="2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141"/>
              <w:spacing w:after="0"/>
              <w:rPr>
                <w:sz w:val="20"/>
                <w:szCs w:val="20"/>
                <w:color w:val="auto"/>
              </w:rPr>
            </w:pPr>
            <w:r>
              <w:rPr>
                <w:rFonts w:ascii="Arial" w:cs="Arial" w:eastAsia="Arial" w:hAnsi="Arial"/>
                <w:sz w:val="20"/>
                <w:szCs w:val="20"/>
                <w:color w:val="auto"/>
                <w:w w:val="90"/>
              </w:rPr>
              <w:t>BBB / Baa2</w:t>
            </w:r>
          </w:p>
        </w:tc>
        <w:tc>
          <w:tcPr>
            <w:tcW w:w="860" w:type="dxa"/>
            <w:vAlign w:val="bottom"/>
          </w:tcPr>
          <w:p>
            <w:pPr>
              <w:jc w:val="center"/>
              <w:ind w:left="101"/>
              <w:spacing w:after="0"/>
              <w:rPr>
                <w:sz w:val="20"/>
                <w:szCs w:val="20"/>
                <w:color w:val="auto"/>
              </w:rPr>
            </w:pPr>
            <w:r>
              <w:rPr>
                <w:rFonts w:ascii="Arial" w:cs="Arial" w:eastAsia="Arial" w:hAnsi="Arial"/>
                <w:sz w:val="20"/>
                <w:szCs w:val="20"/>
                <w:color w:val="auto"/>
                <w:w w:val="91"/>
              </w:rPr>
              <w:t>0.125%</w:t>
            </w:r>
          </w:p>
        </w:tc>
        <w:tc>
          <w:tcPr>
            <w:tcW w:w="22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1.000%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0.000%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1.000%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0.000%</w:t>
            </w:r>
          </w:p>
        </w:tc>
        <w:tc>
          <w:tcPr>
            <w:tcW w:w="0" w:type="dxa"/>
            <w:vAlign w:val="bottom"/>
          </w:tcPr>
          <w:p>
            <w:pPr>
              <w:spacing w:after="0"/>
              <w:rPr>
                <w:sz w:val="1"/>
                <w:szCs w:val="1"/>
                <w:color w:val="auto"/>
              </w:rPr>
            </w:pPr>
          </w:p>
        </w:tc>
      </w:tr>
      <w:tr>
        <w:trPr>
          <w:trHeight w:val="250"/>
        </w:trPr>
        <w:tc>
          <w:tcPr>
            <w:tcW w:w="1080" w:type="dxa"/>
            <w:vAlign w:val="bottom"/>
            <w:tcBorders>
              <w:left w:val="single" w:sz="8" w:color="auto"/>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than 1.00x</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08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1080" w:type="dxa"/>
            <w:vAlign w:val="bottom"/>
            <w:tcBorders>
              <w:left w:val="single" w:sz="8" w:color="auto"/>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Less than or equal to</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2.00x but greater</w:t>
            </w:r>
          </w:p>
        </w:tc>
        <w:tc>
          <w:tcPr>
            <w:tcW w:w="146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92"/>
              </w:rPr>
              <w:t>BBB- / Baa3</w:t>
            </w:r>
          </w:p>
        </w:tc>
        <w:tc>
          <w:tcPr>
            <w:tcW w:w="860" w:type="dxa"/>
            <w:vAlign w:val="bottom"/>
          </w:tcPr>
          <w:p>
            <w:pPr>
              <w:jc w:val="center"/>
              <w:ind w:left="101"/>
              <w:spacing w:after="0"/>
              <w:rPr>
                <w:sz w:val="20"/>
                <w:szCs w:val="20"/>
                <w:color w:val="auto"/>
              </w:rPr>
            </w:pPr>
            <w:r>
              <w:rPr>
                <w:rFonts w:ascii="Arial" w:cs="Arial" w:eastAsia="Arial" w:hAnsi="Arial"/>
                <w:sz w:val="20"/>
                <w:szCs w:val="20"/>
                <w:color w:val="auto"/>
                <w:w w:val="91"/>
              </w:rPr>
              <w:t>0.175%</w:t>
            </w:r>
          </w:p>
        </w:tc>
        <w:tc>
          <w:tcPr>
            <w:tcW w:w="22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1.200%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0.200%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1.250%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0.250%</w:t>
            </w:r>
          </w:p>
        </w:tc>
        <w:tc>
          <w:tcPr>
            <w:tcW w:w="0" w:type="dxa"/>
            <w:vAlign w:val="bottom"/>
          </w:tcPr>
          <w:p>
            <w:pPr>
              <w:spacing w:after="0"/>
              <w:rPr>
                <w:sz w:val="1"/>
                <w:szCs w:val="1"/>
                <w:color w:val="auto"/>
              </w:rPr>
            </w:pPr>
          </w:p>
        </w:tc>
      </w:tr>
      <w:tr>
        <w:trPr>
          <w:trHeight w:val="250"/>
        </w:trPr>
        <w:tc>
          <w:tcPr>
            <w:tcW w:w="1080" w:type="dxa"/>
            <w:vAlign w:val="bottom"/>
            <w:tcBorders>
              <w:left w:val="single" w:sz="8" w:color="auto"/>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than 1.50x</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08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2.00x</w:t>
            </w:r>
          </w:p>
        </w:tc>
        <w:tc>
          <w:tcPr>
            <w:tcW w:w="146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94"/>
              </w:rPr>
              <w:t>&lt; BB+ / Ba1</w:t>
            </w:r>
          </w:p>
        </w:tc>
        <w:tc>
          <w:tcPr>
            <w:tcW w:w="860" w:type="dxa"/>
            <w:vAlign w:val="bottom"/>
          </w:tcPr>
          <w:p>
            <w:pPr>
              <w:jc w:val="center"/>
              <w:ind w:left="101"/>
              <w:spacing w:after="0"/>
              <w:rPr>
                <w:sz w:val="20"/>
                <w:szCs w:val="20"/>
                <w:color w:val="auto"/>
              </w:rPr>
            </w:pPr>
            <w:r>
              <w:rPr>
                <w:rFonts w:ascii="Arial" w:cs="Arial" w:eastAsia="Arial" w:hAnsi="Arial"/>
                <w:sz w:val="20"/>
                <w:szCs w:val="20"/>
                <w:color w:val="auto"/>
                <w:w w:val="91"/>
              </w:rPr>
              <w:t>0.225%</w:t>
            </w:r>
          </w:p>
        </w:tc>
        <w:tc>
          <w:tcPr>
            <w:tcW w:w="22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1.400%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0.400%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1.500%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0.500%</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left="900" w:firstLine="75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Rating</w:t>
      </w:r>
      <w:r>
        <w:rPr>
          <w:rFonts w:ascii="Arial" w:cs="Arial" w:eastAsia="Arial" w:hAnsi="Arial"/>
          <w:sz w:val="20"/>
          <w:szCs w:val="20"/>
          <w:color w:val="auto"/>
        </w:rPr>
        <w:t>” means, as of any date of determination, the rating as determined by either S&amp;P or Moody’s (collectively, the “</w:t>
      </w:r>
      <w:r>
        <w:rPr>
          <w:rFonts w:ascii="Arial" w:cs="Arial" w:eastAsia="Arial" w:hAnsi="Arial"/>
          <w:sz w:val="20"/>
          <w:szCs w:val="20"/>
          <w:u w:val="single" w:color="auto"/>
          <w:color w:val="auto"/>
        </w:rPr>
        <w:t>Debt Ratings</w:t>
      </w:r>
      <w:r>
        <w:rPr>
          <w:rFonts w:ascii="Arial" w:cs="Arial" w:eastAsia="Arial" w:hAnsi="Arial"/>
          <w:sz w:val="20"/>
          <w:szCs w:val="20"/>
          <w:color w:val="auto"/>
        </w:rPr>
        <w:t xml:space="preserve">”) of Toro’s non-credit-enhanced, senior unsecured long-term debt;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Debt Rating is issued by each of the foregoing rating agencies and such Debt Ratings differ, then the higher of such Debt Ratings shall apply (with the Debt Rating for Pricing Level 1 being the highest and the Debt Rating for Pricing Level 5 being the lowest), unless there is a split in Debt Ratings of more than one level, in which case the Pricing Level that is one level higher than the Pricing Level of the lower Debt Rating shall apply.</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as of any date of determination, the Leverage Ratio for such period corresponds to a Pricing Level different than that Pricing Level corresponding to the Debt Rating issued at the time of calculation of such ratio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the Closing Date, the Debt Rating shall be the Debt Rating specified in the certificate delivered pursuant to </w:t>
      </w:r>
      <w:r>
        <w:rPr>
          <w:rFonts w:ascii="Arial" w:cs="Arial" w:eastAsia="Arial" w:hAnsi="Arial"/>
          <w:sz w:val="20"/>
          <w:szCs w:val="20"/>
          <w:u w:val="single" w:color="auto"/>
          <w:color w:val="auto"/>
        </w:rPr>
        <w:t>Section 4.01(a)(viii)</w:t>
      </w:r>
      <w:r>
        <w:rPr>
          <w:rFonts w:ascii="Arial" w:cs="Arial" w:eastAsia="Arial" w:hAnsi="Arial"/>
          <w:sz w:val="20"/>
          <w:szCs w:val="20"/>
          <w:color w:val="auto"/>
        </w:rPr>
        <w:t>), then the lower of such two Pricing Levels (with Pricing Level 1 being the lowest and the Pricing Level 5 being the highest) will apply, unless there is a split of more than one level in corresponding Pricing Levels, in which case the Pricing Level that is one level higher than the lower Pricing Level will apply. Thereafter, each change in the Applicable Rate resulting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 w:name="page16"/>
    <w:bookmarkEnd w:id="15"/>
    <w:p>
      <w:pPr>
        <w:jc w:val="both"/>
        <w:spacing w:after="0" w:line="256" w:lineRule="auto"/>
        <w:rPr>
          <w:sz w:val="20"/>
          <w:szCs w:val="20"/>
          <w:color w:val="auto"/>
        </w:rPr>
      </w:pPr>
      <w:r>
        <w:rPr>
          <w:rFonts w:ascii="Arial" w:cs="Arial" w:eastAsia="Arial" w:hAnsi="Arial"/>
          <w:sz w:val="19"/>
          <w:szCs w:val="19"/>
          <w:color w:val="auto"/>
        </w:rPr>
        <w:t xml:space="preserve">from a publicly announced change in the Debt Rating will be effective during the period commencing on the date of the public announcement thereof and ending on the date immediately preceding the effective date of the next such change, and any change in the Applicable Rate resulting from a change in the Leverage Ratio for such period will become effective as of the first Business Day after the date on which such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Compliance Certificate is not delivered when due in accordance with such Section, then Pricing Level 5 will be the applicable Pricing Level corresponding to such ratio for determination as set forth above of the Applicable Rate as of the first Business Day after the date on which such Compliance Certificate was required to have been delivered. In the event that a Debt Rating has not been issued as of any date of determination, the Pricing Level corresponding to the Leverage Ratio for such period as of such date of determination shall apply. In the event that only one Debt Rating has been issued as of any date of determination, that Debt Rating shall apply.</w:t>
      </w:r>
    </w:p>
    <w:p>
      <w:pPr>
        <w:spacing w:after="0" w:line="19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Reference Rate</w:t>
      </w:r>
      <w:r>
        <w:rPr>
          <w:rFonts w:ascii="Arial" w:cs="Arial" w:eastAsia="Arial" w:hAnsi="Arial"/>
          <w:sz w:val="19"/>
          <w:szCs w:val="19"/>
          <w:color w:val="auto"/>
        </w:rPr>
        <w:t xml:space="preserve">” means, for any Eurocurrency Rate Loan denominated in any LIBOR Quoted Currency, LIBOR, for any Eurocurrency Rate Loan denominated in Euro, EURIBOR, for any Eurocurrency Rate Loan denominated in Canadian Dollars, CDOR, for any Eurocurrency Rate Loan denominated in Australian Dollars, BBSY, for any Eurocurrency Rate Loan denominated in Mexican Pesos, TIIE, for any Alternative Currency Daily Rate Loan denominated in Sterling, SONIA, and for any other Alternative Currency Loans denominated in any other Alternative Currency that is approved in accordance with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such Alternative Currency for any Alternative Currency Loans denominated in an Alternative Currency approved in accordance with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the rate per annum as designated with respect to such Alternative Currency, and with respect to any Successor Rate determined in accordance with </w:t>
      </w:r>
      <w:r>
        <w:rPr>
          <w:rFonts w:ascii="Arial" w:cs="Arial" w:eastAsia="Arial" w:hAnsi="Arial"/>
          <w:sz w:val="19"/>
          <w:szCs w:val="19"/>
          <w:u w:val="single" w:color="auto"/>
          <w:color w:val="auto"/>
        </w:rPr>
        <w:t>Section 3.03</w:t>
      </w:r>
      <w:r>
        <w:rPr>
          <w:rFonts w:ascii="Arial" w:cs="Arial" w:eastAsia="Arial" w:hAnsi="Arial"/>
          <w:sz w:val="19"/>
          <w:szCs w:val="19"/>
          <w:color w:val="auto"/>
        </w:rPr>
        <w:t>, such Successor Rate, as applicable.</w:t>
      </w:r>
    </w:p>
    <w:p>
      <w:pPr>
        <w:spacing w:after="0" w:line="18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Revolving Credit Percentage</w:t>
      </w:r>
      <w:r>
        <w:rPr>
          <w:rFonts w:ascii="Arial" w:cs="Arial" w:eastAsia="Arial" w:hAnsi="Arial"/>
          <w:sz w:val="20"/>
          <w:szCs w:val="20"/>
          <w:color w:val="auto"/>
        </w:rPr>
        <w:t>” means, with respect to any Revolving Credit Lender at any time, such Revolving Credit Lender’s Applicable Percentage in respect of the Revolving Credit Facility at such time.</w:t>
      </w:r>
    </w:p>
    <w:p>
      <w:pPr>
        <w:spacing w:after="0" w:line="177"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 Borrower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Appropriate Lender</w:t>
      </w:r>
      <w:r>
        <w:rPr>
          <w:rFonts w:ascii="Arial" w:cs="Arial" w:eastAsia="Arial" w:hAnsi="Arial"/>
          <w:sz w:val="20"/>
          <w:szCs w:val="20"/>
          <w:color w:val="auto"/>
        </w:rPr>
        <w:t xml:space="preserve">” means, at any time, (a) with respect to any of the Term Facility or the Revolving Credit Facility, a Lender that has a Commitment with respect to such Facility or holds a Term Loan or a Revolving Credit Loan, respectively, at such time, (b) with respect to the Letter of Credit Sublimit, (i) the L/C Issuer and (ii) if any Letters of Credit have been issued pursuant to </w:t>
      </w:r>
      <w:r>
        <w:rPr>
          <w:rFonts w:ascii="Arial" w:cs="Arial" w:eastAsia="Arial" w:hAnsi="Arial"/>
          <w:sz w:val="20"/>
          <w:szCs w:val="20"/>
          <w:u w:val="single" w:color="auto"/>
          <w:color w:val="auto"/>
        </w:rPr>
        <w:t>Section 2.03(a)</w:t>
      </w:r>
      <w:r>
        <w:rPr>
          <w:rFonts w:ascii="Arial" w:cs="Arial" w:eastAsia="Arial" w:hAnsi="Arial"/>
          <w:sz w:val="20"/>
          <w:szCs w:val="20"/>
          <w:color w:val="auto"/>
        </w:rPr>
        <w:t xml:space="preserve">, the Revolving Credit Lenders and (c) with respect to the Swing Line Sublimit, (i) the Swing Line Lender and (ii) if any Swing Line Loans are outstanding pursuant to </w:t>
      </w:r>
      <w:r>
        <w:rPr>
          <w:rFonts w:ascii="Arial" w:cs="Arial" w:eastAsia="Arial" w:hAnsi="Arial"/>
          <w:sz w:val="20"/>
          <w:szCs w:val="20"/>
          <w:u w:val="single" w:color="auto"/>
          <w:color w:val="auto"/>
        </w:rPr>
        <w:t>Section 2.04(a)</w:t>
      </w:r>
      <w:r>
        <w:rPr>
          <w:rFonts w:ascii="Arial" w:cs="Arial" w:eastAsia="Arial" w:hAnsi="Arial"/>
          <w:sz w:val="20"/>
          <w:szCs w:val="20"/>
          <w:color w:val="auto"/>
        </w:rPr>
        <w:t>, the Revolving Credit Lenders.</w:t>
      </w:r>
    </w:p>
    <w:p>
      <w:pPr>
        <w:spacing w:after="0" w:line="1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BofA Securities, Inc., WFS and U.S. Bank National Association, in their capacities as joint lead arrangers and joint bookrunners.</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 w:name="page17"/>
    <w:bookmarkEnd w:id="16"/>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11.06(b)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or any other form (including electronic documentation generated by use of an electronic platform) approved by the Administrative Agent.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Attorney Costs</w:t>
      </w:r>
      <w:r>
        <w:rPr>
          <w:rFonts w:ascii="Arial" w:cs="Arial" w:eastAsia="Arial" w:hAnsi="Arial"/>
          <w:sz w:val="19"/>
          <w:szCs w:val="19"/>
          <w:color w:val="auto"/>
        </w:rPr>
        <w:t>” means and includes all reasonable fees and disbursements of any law firm or other external counsel.</w:t>
      </w:r>
    </w:p>
    <w:p>
      <w:pPr>
        <w:spacing w:after="0" w:line="22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6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Toro and its Subsidiaries for the fiscal year ended October 31, 2020, and the related consolidated statements of income or operations, shareholders’ equity and cash flows for such fiscal year of Toro and its Subsidiaries, including the notes thereto.</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Dollar</w:t>
      </w:r>
      <w:r>
        <w:rPr>
          <w:rFonts w:ascii="Arial" w:cs="Arial" w:eastAsia="Arial" w:hAnsi="Arial"/>
          <w:sz w:val="20"/>
          <w:szCs w:val="20"/>
          <w:color w:val="auto"/>
        </w:rPr>
        <w:t>” means the lawful currency of Australia.</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Tenor</w:t>
      </w:r>
      <w:r>
        <w:rPr>
          <w:rFonts w:ascii="Arial" w:cs="Arial" w:eastAsia="Arial" w:hAnsi="Arial"/>
          <w:sz w:val="20"/>
          <w:szCs w:val="20"/>
          <w:color w:val="auto"/>
        </w:rPr>
        <w:t>” means, as of any date of determination and with respect to the then-current Benchmark, as applicable, (a) if the then-current Benchmark is a term rate, any tenor for such Benchmark that is or may be used for determining the length of an Interest Period or (b) otherwise, any payment period for interest calculated with reference to such Benchmark, as applicable, pursuant to this Agreement as of such date.</w:t>
      </w:r>
    </w:p>
    <w:p>
      <w:pPr>
        <w:spacing w:after="0" w:line="19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means, in respect of the Revolving Credit Facility, the period from and including the Closing Date to the earliest of (a) the Maturity Date for the Revolving Credit Facility, (b) the date of termination of the Revolving Credit Commitments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(c) the date of termination of the commitment of each Revolving Credit Lender to make Revolving Credit Loans and of the obligation of the L/C Issuer to make L/C Credit Extensions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xml:space="preserve">” means for any day a fluctuating rate per annum equal to the highest of (a) the Federal Funds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1/2 of 1%, (b) the rate of interest in effect for such day as publicly announced from time to time by Bank of America as its “prime rate,” and (c) the Eurocurrency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1.00%. The “prime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 w:name="page18"/>
    <w:bookmarkEnd w:id="17"/>
    <w:p>
      <w:pPr>
        <w:jc w:val="both"/>
        <w:spacing w:after="0" w:line="278" w:lineRule="auto"/>
        <w:rPr>
          <w:sz w:val="20"/>
          <w:szCs w:val="20"/>
          <w:color w:val="auto"/>
        </w:rPr>
      </w:pPr>
      <w:r>
        <w:rPr>
          <w:rFonts w:ascii="Arial" w:cs="Arial" w:eastAsia="Arial" w:hAnsi="Arial"/>
          <w:sz w:val="18"/>
          <w:szCs w:val="18"/>
          <w:color w:val="auto"/>
        </w:rPr>
        <w:t xml:space="preserve">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hereof, then the Base Rate shall be the greater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 shall be determined without reference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is a Base Rate Loan.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 Loan</w:t>
      </w:r>
      <w:r>
        <w:rPr>
          <w:rFonts w:ascii="Arial" w:cs="Arial" w:eastAsia="Arial" w:hAnsi="Arial"/>
          <w:sz w:val="16"/>
          <w:szCs w:val="16"/>
          <w:color w:val="auto"/>
        </w:rPr>
        <w:t>” means a Loan that bears interest based on the Base Rate. All Base Rate Loans shall be denominated in Dollars.</w:t>
      </w:r>
    </w:p>
    <w:p>
      <w:pPr>
        <w:spacing w:after="0" w:line="262"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LIBOR;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replacement of the Benchmark has occurred pursuant to </w:t>
      </w:r>
      <w:r>
        <w:rPr>
          <w:rFonts w:ascii="Arial" w:cs="Arial" w:eastAsia="Arial" w:hAnsi="Arial"/>
          <w:sz w:val="18"/>
          <w:szCs w:val="18"/>
          <w:u w:val="single" w:color="auto"/>
          <w:color w:val="auto"/>
        </w:rPr>
        <w:t>Section 3.03(c)</w:t>
      </w:r>
      <w:r>
        <w:rPr>
          <w:rFonts w:ascii="Arial" w:cs="Arial" w:eastAsia="Arial" w:hAnsi="Arial"/>
          <w:sz w:val="18"/>
          <w:szCs w:val="18"/>
          <w:color w:val="auto"/>
        </w:rPr>
        <w:t>,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w:t>
      </w:r>
    </w:p>
    <w:p>
      <w:pPr>
        <w:spacing w:after="0" w:line="21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3.03(c)(i)</w:t>
      </w:r>
      <w:r>
        <w:rPr>
          <w:rFonts w:ascii="Arial" w:cs="Arial" w:eastAsia="Arial" w:hAnsi="Arial"/>
          <w:sz w:val="18"/>
          <w:szCs w:val="18"/>
          <w:color w:val="auto"/>
        </w:rPr>
        <w:t>, the first alternative set forth below that can be determined by the Administrative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00" w:lineRule="exact"/>
        <w:rPr>
          <w:sz w:val="20"/>
          <w:szCs w:val="20"/>
          <w:color w:val="auto"/>
        </w:rPr>
      </w:pPr>
    </w:p>
    <w:p>
      <w:pPr>
        <w:jc w:val="both"/>
        <w:ind w:left="880" w:firstLine="789"/>
        <w:spacing w:after="0" w:line="246" w:lineRule="auto"/>
        <w:tabs>
          <w:tab w:leader="none" w:pos="2545"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or</w:t>
      </w:r>
    </w:p>
    <w:p>
      <w:pPr>
        <w:spacing w:after="0" w:line="191" w:lineRule="exact"/>
        <w:rPr>
          <w:rFonts w:ascii="Arial" w:cs="Arial" w:eastAsia="Arial" w:hAnsi="Arial"/>
          <w:sz w:val="20"/>
          <w:szCs w:val="20"/>
          <w:color w:val="auto"/>
        </w:rPr>
      </w:pPr>
    </w:p>
    <w:p>
      <w:pPr>
        <w:ind w:left="2620" w:hanging="885"/>
        <w:spacing w:after="0"/>
        <w:tabs>
          <w:tab w:leader="none" w:pos="2620"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sum of: (i) Daily Simple SOFR and (ii) 0.11448% (11.448 basis points);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initially LIBOR is replaced with the rate contained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Toro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 and</w:t>
      </w:r>
    </w:p>
    <w:p>
      <w:pPr>
        <w:spacing w:after="0" w:line="196" w:lineRule="exact"/>
        <w:rPr>
          <w:sz w:val="20"/>
          <w:szCs w:val="20"/>
          <w:color w:val="auto"/>
        </w:rPr>
      </w:pPr>
    </w:p>
    <w:p>
      <w:pPr>
        <w:jc w:val="both"/>
        <w:ind w:firstLine="872"/>
        <w:spacing w:after="0" w:line="263" w:lineRule="auto"/>
        <w:tabs>
          <w:tab w:leader="none" w:pos="1742"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Section 3.03(c)(ii)</w:t>
      </w:r>
      <w:r>
        <w:rPr>
          <w:rFonts w:ascii="Arial" w:cs="Arial" w:eastAsia="Arial" w:hAnsi="Arial"/>
          <w:sz w:val="19"/>
          <w:szCs w:val="19"/>
          <w:color w:val="auto"/>
        </w:rPr>
        <w:t>, the sum of (a) the alternate benchmark rate and (b) an adjustment (which may be a positive or negative value or zero), in each case, that has been selected by the Administrative Agent and Toro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76" w:lineRule="exact"/>
        <w:rPr>
          <w:sz w:val="20"/>
          <w:szCs w:val="20"/>
          <w:color w:val="auto"/>
        </w:rPr>
      </w:pPr>
    </w:p>
    <w:p>
      <w:pPr>
        <w:spacing w:after="0" w:line="31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determined pursuant to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above would be less than zero percent, the Benchmark Replacement will be deemed to be zero percent for the purposes of this Agreement and the other Loan Documents.</w:t>
      </w:r>
    </w:p>
    <w:p>
      <w:pPr>
        <w:spacing w:after="0" w:line="13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Any Benchmark Replacement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such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Benchmark Replacement shall be applied in a manner as otherwise reasonably determined by the Administrative Agent.</w:t>
      </w:r>
    </w:p>
    <w:p>
      <w:pPr>
        <w:spacing w:after="0" w:line="216"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or Successor Rate,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or Successor Rate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in its reasonable discretion that no market practice for the administration of such Benchmark Replacement or Successor Rate exists, in such other manner of administration as the Administrative Agent decides is reasonably necessary in connection with the administration of this Agreement and the other Loan Documents).</w:t>
      </w:r>
    </w:p>
    <w:p>
      <w:pPr>
        <w:spacing w:after="0" w:line="18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xml:space="preserve">”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is satisfactory to the Administrative Agent, that will continue to provide any representative tenors of such Benchmark after such specific date.</w:t>
      </w:r>
    </w:p>
    <w:p>
      <w:pPr>
        <w:spacing w:after="0" w:line="19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BofA Fee Letter</w:t>
      </w:r>
      <w:r>
        <w:rPr>
          <w:rFonts w:ascii="Arial" w:cs="Arial" w:eastAsia="Arial" w:hAnsi="Arial"/>
          <w:sz w:val="20"/>
          <w:szCs w:val="20"/>
          <w:color w:val="auto"/>
        </w:rPr>
        <w:t>” means that certain letter agreement, dated September 2, 2021 among Toro, Toro Luxembourg, the Administrative Agent and BofA Securities, Inc., as amended by that certain letter agreement, dated September 30, 2021 among Toro, Toro Luxembourg, the Administrative Agent and BofA Securities, Inc.</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and “</w:t>
      </w:r>
      <w:r>
        <w:rPr>
          <w:rFonts w:ascii="Arial" w:cs="Arial" w:eastAsia="Arial" w:hAnsi="Arial"/>
          <w:sz w:val="20"/>
          <w:szCs w:val="20"/>
          <w:u w:val="single" w:color="auto"/>
          <w:color w:val="auto"/>
        </w:rPr>
        <w:t>Borrowers</w:t>
      </w:r>
      <w:r>
        <w:rPr>
          <w:rFonts w:ascii="Arial" w:cs="Arial" w:eastAsia="Arial" w:hAnsi="Arial"/>
          <w:sz w:val="20"/>
          <w:szCs w:val="20"/>
          <w:color w:val="auto"/>
        </w:rPr>
        <w:t>” each has the meaning specified in the introductory paragraph hereto and, solely with respect to the Term Facility, means Toro.</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a Swing Line Borrowing or a Term Borrowing, as the context may require.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 w:name="page20"/>
    <w:bookmarkEnd w:id="19"/>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86" w:lineRule="exact"/>
        <w:rPr>
          <w:sz w:val="20"/>
          <w:szCs w:val="20"/>
          <w:color w:val="auto"/>
        </w:rPr>
      </w:pPr>
    </w:p>
    <w:p>
      <w:pPr>
        <w:jc w:val="both"/>
        <w:ind w:left="900" w:firstLine="791"/>
        <w:spacing w:after="0" w:line="246" w:lineRule="auto"/>
        <w:tabs>
          <w:tab w:leader="none" w:pos="2563" w:val="left"/>
        </w:tabs>
        <w:numPr>
          <w:ilvl w:val="0"/>
          <w:numId w:val="16"/>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London Banking Day;</w:t>
      </w:r>
    </w:p>
    <w:p>
      <w:pPr>
        <w:spacing w:after="0" w:line="191" w:lineRule="exact"/>
        <w:rPr>
          <w:rFonts w:ascii="Arial" w:cs="Arial" w:eastAsia="Arial" w:hAnsi="Arial"/>
          <w:sz w:val="20"/>
          <w:szCs w:val="20"/>
          <w:color w:val="auto"/>
        </w:rPr>
      </w:pPr>
    </w:p>
    <w:p>
      <w:pPr>
        <w:jc w:val="both"/>
        <w:ind w:left="900" w:firstLine="791"/>
        <w:spacing w:after="0" w:line="342" w:lineRule="auto"/>
        <w:tabs>
          <w:tab w:leader="none" w:pos="2574"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pacing w:after="0" w:line="117" w:lineRule="exact"/>
        <w:rPr>
          <w:rFonts w:ascii="Arial" w:cs="Arial" w:eastAsia="Arial" w:hAnsi="Arial"/>
          <w:sz w:val="16"/>
          <w:szCs w:val="16"/>
          <w:color w:val="auto"/>
        </w:rPr>
      </w:pPr>
    </w:p>
    <w:p>
      <w:pPr>
        <w:jc w:val="both"/>
        <w:ind w:left="900" w:firstLine="791"/>
        <w:spacing w:after="0" w:line="250" w:lineRule="auto"/>
        <w:tabs>
          <w:tab w:leader="none" w:pos="2563" w:val="left"/>
        </w:tabs>
        <w:numPr>
          <w:ilvl w:val="0"/>
          <w:numId w:val="16"/>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an Alternative Currency Daily Rate Loan denominated in Sterling, means a day other than a day banks are closed for general business in London because such day is a Saturday, Sunday or a legal holiday under the laws of the United Kingdom;</w:t>
      </w:r>
    </w:p>
    <w:p>
      <w:pPr>
        <w:spacing w:after="0" w:line="185" w:lineRule="exact"/>
        <w:rPr>
          <w:rFonts w:ascii="Arial" w:cs="Arial" w:eastAsia="Arial" w:hAnsi="Arial"/>
          <w:sz w:val="20"/>
          <w:szCs w:val="20"/>
          <w:color w:val="auto"/>
        </w:rPr>
      </w:pPr>
    </w:p>
    <w:p>
      <w:pPr>
        <w:jc w:val="both"/>
        <w:ind w:left="900" w:firstLine="791"/>
        <w:spacing w:after="0" w:line="246" w:lineRule="auto"/>
        <w:tabs>
          <w:tab w:leader="none" w:pos="2574" w:val="left"/>
        </w:tabs>
        <w:numPr>
          <w:ilvl w:val="0"/>
          <w:numId w:val="16"/>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Eurocurrency Rate Loan or Alternative Currency Daily Rate Loan denominated in a currency other than Dollars, Sterling or Euro, means any such day on which dealings in deposits in the relevant currency are conducted by and between banks in the London or other applicable offshore interbank market for such currency; and</w:t>
      </w:r>
    </w:p>
    <w:p>
      <w:pPr>
        <w:spacing w:after="0" w:line="191" w:lineRule="exact"/>
        <w:rPr>
          <w:rFonts w:ascii="Arial" w:cs="Arial" w:eastAsia="Arial" w:hAnsi="Arial"/>
          <w:sz w:val="20"/>
          <w:szCs w:val="20"/>
          <w:color w:val="auto"/>
        </w:rPr>
      </w:pPr>
    </w:p>
    <w:p>
      <w:pPr>
        <w:jc w:val="both"/>
        <w:ind w:left="900" w:firstLine="791"/>
        <w:spacing w:after="0" w:line="243" w:lineRule="auto"/>
        <w:tabs>
          <w:tab w:leader="none" w:pos="2563" w:val="left"/>
        </w:tabs>
        <w:numPr>
          <w:ilvl w:val="0"/>
          <w:numId w:val="16"/>
        </w:numPr>
        <w:rPr>
          <w:rFonts w:ascii="Arial" w:cs="Arial" w:eastAsia="Arial" w:hAnsi="Arial"/>
          <w:sz w:val="20"/>
          <w:szCs w:val="20"/>
          <w:color w:val="auto"/>
        </w:rPr>
      </w:pPr>
      <w:r>
        <w:rPr>
          <w:rFonts w:ascii="Arial" w:cs="Arial" w:eastAsia="Arial" w:hAnsi="Arial"/>
          <w:sz w:val="20"/>
          <w:szCs w:val="20"/>
          <w:color w:val="auto"/>
        </w:rPr>
        <w:t>if such day relates to any fundings, disbursements, settlements and payments in a currency other than Dollars, Sterling or Euro in respect of a Eurocurrency Rate Loan or Alternative Currency Daily Rate Loan denominated in a currency other than Dollars, Sterling or Euro, or any other dealings in any currency other than Dollars, Sterling or Euro to be carried out pursuant to this Agreement in respect of any such Eurocurrency Rate Loan or Alternative Currency Daily Rate Loan (other than any interest rate settings), means any such day on which banks are open for foreign exchange business in the principal financial center of the country of such currency.</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w:t>
      </w:r>
      <w:r>
        <w:rPr>
          <w:rFonts w:ascii="Arial" w:cs="Arial" w:eastAsia="Arial" w:hAnsi="Arial"/>
          <w:sz w:val="20"/>
          <w:szCs w:val="20"/>
          <w:color w:val="auto"/>
        </w:rPr>
        <w:t>” means the lawful currency of Canada.</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deposit or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9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herein to the contrary, (x) the Dodd-Frank Wall Street Reform and Consumer Protection Act and all requests, rules, guidelines or directives thereunder or issued in connection therewith or in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 w:name="page21"/>
    <w:bookmarkEnd w:id="20"/>
    <w:p>
      <w:pPr>
        <w:jc w:val="both"/>
        <w:spacing w:after="0" w:line="342" w:lineRule="auto"/>
        <w:rPr>
          <w:sz w:val="20"/>
          <w:szCs w:val="20"/>
          <w:color w:val="auto"/>
        </w:rPr>
      </w:pPr>
      <w:r>
        <w:rPr>
          <w:rFonts w:ascii="Arial" w:cs="Arial" w:eastAsia="Arial" w:hAnsi="Arial"/>
          <w:sz w:val="16"/>
          <w:szCs w:val="16"/>
          <w:color w:val="auto"/>
        </w:rPr>
        <w:t>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18" w:lineRule="exact"/>
        <w:rPr>
          <w:sz w:val="20"/>
          <w:szCs w:val="20"/>
          <w:color w:val="auto"/>
        </w:rPr>
      </w:pPr>
    </w:p>
    <w:p>
      <w:pPr>
        <w:jc w:val="both"/>
        <w:ind w:firstLine="864"/>
        <w:spacing w:after="0" w:line="231"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 (a) any Person or group within the meaning of Section 13(d)(3) of the Exchange Act and the rules and regulations promulgated thereunder, shall, after the Closing Date, acquire beneficial ownership (within the meaning of Rule 13d</w:t>
      </w:r>
      <w:r>
        <w:rPr>
          <w:rFonts w:ascii="MS PGothic" w:cs="MS PGothic" w:eastAsia="MS PGothic" w:hAnsi="MS PGothic"/>
          <w:sz w:val="18"/>
          <w:szCs w:val="18"/>
          <w:color w:val="auto"/>
        </w:rPr>
        <w:t>‑</w:t>
      </w:r>
      <w:r>
        <w:rPr>
          <w:rFonts w:ascii="Arial" w:cs="Arial" w:eastAsia="Arial" w:hAnsi="Arial"/>
          <w:sz w:val="18"/>
          <w:szCs w:val="18"/>
          <w:color w:val="auto"/>
        </w:rPr>
        <w:t>3 of the Exchange Act), directly or indirectly, of securities of Toro (or other securities convertible into such securities) representing thirty percent (30%) of the combined voting power of all securities of Toro entitled to vote in the election of directors, other than securities having such power only by reason of the happening of a contingency (hereinafter called a “</w:t>
      </w:r>
      <w:r>
        <w:rPr>
          <w:rFonts w:ascii="Arial" w:cs="Arial" w:eastAsia="Arial" w:hAnsi="Arial"/>
          <w:sz w:val="18"/>
          <w:szCs w:val="18"/>
          <w:u w:val="single" w:color="auto"/>
          <w:color w:val="auto"/>
        </w:rPr>
        <w:t>Controlling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or (b) Toro shall cease to own, directly or indirectly, 100% of all of each other Borrower’s issued and outstanding shares of common stock (except for any outstanding qualifying director shares); or (c) a majority of the Board of Directors of Toro shall cease for any reason to consist of (i) individuals who on the Closing Date were serving as directors of Toro and (ii) individuals who subsequently become members of the Board of Directors if such individuals’ nomination for election or election to the Board of Directors is recommended or approved by a majority of the Board of Directors of Toro; or (iv) a default or the happening of any event shall occur under any charter, indenture, agreement or other instrument in connection with which any preferred stock of Toro may be issued, and as a result of such default or event the holders of such preferred stock shall designate or elect members of the Board of Directors of Toro. For purposes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 Person or group shall not be a Controlling Person if such Person or group holds voting power in good faith and not for the purpose of circumventing </w:t>
      </w:r>
      <w:r>
        <w:rPr>
          <w:rFonts w:ascii="Arial" w:cs="Arial" w:eastAsia="Arial" w:hAnsi="Arial"/>
          <w:sz w:val="18"/>
          <w:szCs w:val="18"/>
          <w:u w:val="single" w:color="auto"/>
          <w:color w:val="auto"/>
        </w:rPr>
        <w:t>Section 8.01(l)</w:t>
      </w:r>
      <w:r>
        <w:rPr>
          <w:rFonts w:ascii="Arial" w:cs="Arial" w:eastAsia="Arial" w:hAnsi="Arial"/>
          <w:sz w:val="18"/>
          <w:szCs w:val="18"/>
          <w:color w:val="auto"/>
        </w:rPr>
        <w:t xml:space="preserve">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20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when used in reference to any Loan or Borrowing, refers to whether such Loan, or the Loans comprising such Borrowing, are Revolving Credit Loans or Term Loans and, when used in reference to any Commitment, refers to whether such Commitment is a Revolving Credit Commitment or Term Commitment.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11.01</w:t>
      </w:r>
      <w:r>
        <w:rPr>
          <w:rFonts w:ascii="Arial" w:cs="Arial" w:eastAsia="Arial" w:hAnsi="Arial"/>
          <w:sz w:val="20"/>
          <w:szCs w:val="20"/>
          <w:color w:val="auto"/>
        </w:rPr>
        <w: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 Term Commitment or a Revolving Credit Commitment, as the context may require.</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w:t>
      </w:r>
      <w:r>
        <w:rPr>
          <w:rFonts w:ascii="Arial" w:cs="Arial" w:eastAsia="Arial" w:hAnsi="Arial"/>
          <w:sz w:val="20"/>
          <w:szCs w:val="20"/>
          <w:color w:val="auto"/>
        </w:rPr>
        <w:t>” means this Agreement, any Loan Document and any document, any amendment, approval, consent, information, notice, certificate, request, statement, disclosure or authorization related to any Loan Document.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1" w:name="page22"/>
    <w:bookmarkEnd w:id="21"/>
    <w:p>
      <w:pPr>
        <w:jc w:val="both"/>
        <w:ind w:firstLine="864"/>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w:t>
      </w:r>
      <w:r>
        <w:rPr>
          <w:rFonts w:ascii="Arial" w:cs="Arial" w:eastAsia="Arial" w:hAnsi="Arial"/>
          <w:sz w:val="18"/>
          <w:szCs w:val="18"/>
          <w:color w:val="auto"/>
        </w:rPr>
        <w:t xml:space="preserve">” means, for any period, for Toro and its Subsidiaries on a consolidated basis, an amount equal to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following to the extent deducted in calculating such Consolidated Net Income: (a) Consolidated Interest Charges for such period, (b) the provision for Federal, state, local and foreign income taxes payable by Toro and its Subsidiaries for such period, and (c) one-time, non-recurring cash fees and expenses, not to exceed $50,000,000 in the aggregate, related to</w:t>
      </w:r>
    </w:p>
    <w:p>
      <w:pPr>
        <w:spacing w:after="0" w:line="3" w:lineRule="exact"/>
        <w:rPr>
          <w:sz w:val="20"/>
          <w:szCs w:val="20"/>
          <w:color w:val="auto"/>
        </w:rPr>
      </w:pPr>
    </w:p>
    <w:p>
      <w:pPr>
        <w:jc w:val="both"/>
        <w:ind w:firstLine="8"/>
        <w:spacing w:after="0" w:line="241" w:lineRule="auto"/>
        <w:tabs>
          <w:tab w:leader="none" w:pos="245"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restructurings or (ii) cost savings, restructuring, severance, integration, or consolidation related to an Acquisition, and to include without limitation advisory, legal, financing, and consulting fees related to an Acquisition, incurred in anticipation of, in connection with or as a result of such Acquisition.</w:t>
      </w:r>
    </w:p>
    <w:p>
      <w:pPr>
        <w:spacing w:after="0" w:line="19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Charges</w:t>
      </w:r>
      <w:r>
        <w:rPr>
          <w:rFonts w:ascii="Arial" w:cs="Arial" w:eastAsia="Arial" w:hAnsi="Arial"/>
          <w:sz w:val="19"/>
          <w:szCs w:val="19"/>
          <w:color w:val="auto"/>
        </w:rPr>
        <w:t>” means, for any period, for Toro and its Subsidiaries on a consolidated basis, the sum of (a) all interest, discounts, premium payments, commissions, fees (other than fees incurred hereunder or in connection herewith), charges and related expenses of Toro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Toro and its Subsidiaries with respect to such period under capital leases that is treated as interest in accordance with GAAP.</w:t>
      </w:r>
    </w:p>
    <w:p>
      <w:pPr>
        <w:spacing w:after="0" w:line="178"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means, for any period, for Toro and its Subsidiaries on a consolidated basis, the net income of Toro and its Subsidiaries for that period.</w:t>
      </w:r>
    </w:p>
    <w:p>
      <w:pPr>
        <w:spacing w:after="0" w:line="17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means, as to any Person, any direct or indirect liability of that Person, whether or not contingent, with or without recourse, (a) 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w:t>
      </w:r>
      <w:r>
        <w:rPr>
          <w:rFonts w:ascii="Arial" w:cs="Arial" w:eastAsia="Arial" w:hAnsi="Arial"/>
          <w:sz w:val="18"/>
          <w:szCs w:val="18"/>
          <w:color w:val="auto"/>
        </w:rPr>
        <w:t>”); (b) with respect to any Surety Instrument issued for the account of that Person or as to which that Person is otherwise liable for reimbursement of drawings or payments;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 which is not a Permitted Swap Obligation. The amount of any Contingent Obligation shall, in the case of Guaranty Obligations, be deemed equal to the stated or determinable amount of the primary obligation in respect of which such Guaranty Obligation is made or, if not stated or if indeterminable, the maximum reasonably anticipated liability in respect thereof, and in the case of other Contingent Obligations other than in respect of Swap Contracts, shall be equal to the maximum reasonably anticipated liability in respect thereof and, in the case of Contingent Obligations in respect of Swap Contracts which are not Permitted Swap Obligations, shall be equal to the Swap Termination Value at any time of determination.</w:t>
      </w:r>
    </w:p>
    <w:p>
      <w:pPr>
        <w:spacing w:after="0" w:line="17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2" w:name="page23"/>
    <w:bookmarkEnd w:id="22"/>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Controlling Person</w:t>
      </w:r>
      <w:r>
        <w:rPr>
          <w:rFonts w:ascii="Arial" w:cs="Arial" w:eastAsia="Arial" w:hAnsi="Arial"/>
          <w:sz w:val="20"/>
          <w:szCs w:val="20"/>
          <w:color w:val="auto"/>
        </w:rPr>
        <w:t>” has the meaning specified in the definition of Change of Control.</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the L/C Issuer, the Swing Line Lender, and each Lender.</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with respect to any applicable determination date means the secured overnight financing rate (“</w:t>
      </w:r>
      <w:r>
        <w:rPr>
          <w:rFonts w:ascii="Arial" w:cs="Arial" w:eastAsia="Arial" w:hAnsi="Arial"/>
          <w:sz w:val="20"/>
          <w:szCs w:val="20"/>
          <w:u w:val="single" w:color="auto"/>
          <w:color w:val="auto"/>
        </w:rPr>
        <w:t>SOFR</w:t>
      </w:r>
      <w:r>
        <w:rPr>
          <w:rFonts w:ascii="Arial" w:cs="Arial" w:eastAsia="Arial" w:hAnsi="Arial"/>
          <w:sz w:val="20"/>
          <w:szCs w:val="20"/>
          <w:color w:val="auto"/>
        </w:rPr>
        <w:t>”) published on such date by the Federal Reserve Bank of New York, as the administrator of the benchmark (or a successor administrator) on the Federal Reserve Bank of New York’s website (or any successor source).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Rating</w:t>
      </w:r>
      <w:r>
        <w:rPr>
          <w:rFonts w:ascii="Arial" w:cs="Arial" w:eastAsia="Arial" w:hAnsi="Arial"/>
          <w:sz w:val="20"/>
          <w:szCs w:val="20"/>
          <w:color w:val="auto"/>
        </w:rPr>
        <w:t>” has the meaning specified in the definition of “Applicable Rate.”</w:t>
      </w:r>
    </w:p>
    <w:p>
      <w:pPr>
        <w:spacing w:after="0" w:line="21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52"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Letter of Credit Fees,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Eurocurrency Rate Loan or Alternative Currency Daily Rate Loan, the Default Rate shall be an interest rate equal to the interest rate (including any Applicable Rate applicable to Eurocurrency Rate Loans)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(b) when used with respect to Letter of Credit Fees, a rate equal to the Applicable Rate applicable to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65"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Toro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the case of any Lender, in respect of its participation in Letters of Credit or Swing Line Loans) within two</w:t>
      </w:r>
    </w:p>
    <w:p>
      <w:pPr>
        <w:spacing w:after="0" w:line="1" w:lineRule="exact"/>
        <w:rPr>
          <w:sz w:val="20"/>
          <w:szCs w:val="20"/>
          <w:color w:val="auto"/>
        </w:rPr>
      </w:pPr>
    </w:p>
    <w:p>
      <w:pPr>
        <w:jc w:val="both"/>
        <w:ind w:firstLine="8"/>
        <w:spacing w:after="0" w:line="276" w:lineRule="auto"/>
        <w:tabs>
          <w:tab w:leader="none" w:pos="2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Days of the date when due, (b) has notified Toro,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8"/>
          <w:szCs w:val="18"/>
          <w:color w:val="auto"/>
        </w:rPr>
        <w:t>identified in such writing or public statement) cannot be satisfied), (c) has failed, within three (3) Business Days after written request by the Administrative Agent or Toro, to confirm in writing to the Administrative Agent and Toro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Toro),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Toro, the L/C Issuer, the Swing Line Lender and each other Lender promptly following such determination.</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Request and Assumption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Jurisdiction</w:t>
      </w:r>
      <w:r>
        <w:rPr>
          <w:rFonts w:ascii="Arial" w:cs="Arial" w:eastAsia="Arial" w:hAnsi="Arial"/>
          <w:sz w:val="19"/>
          <w:szCs w:val="19"/>
          <w:color w:val="auto"/>
        </w:rPr>
        <w:t>” means any country or territory to the extent that such country or territory itself is the subject of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Sanction.</w:t>
      </w:r>
    </w:p>
    <w:p>
      <w:pPr>
        <w:spacing w:after="0" w:line="20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except for any issuance of Equity Interests by any Subsidiary of Toro to Toro or another Subsidiary of Toro), including any sale, assignment, transfer or other disposal, with or without recourse, of any notes or accounts receivable or any rights and claims associated therewith.</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Dividing Person</w:t>
      </w:r>
      <w:r>
        <w:rPr>
          <w:rFonts w:ascii="Arial" w:cs="Arial" w:eastAsia="Arial" w:hAnsi="Arial"/>
          <w:sz w:val="20"/>
          <w:szCs w:val="20"/>
          <w:color w:val="auto"/>
        </w:rPr>
        <w:t>” has the meaning specified in the definition of “Division.”</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Division</w:t>
      </w:r>
      <w:r>
        <w:rPr>
          <w:rFonts w:ascii="Arial" w:cs="Arial" w:eastAsia="Arial" w:hAnsi="Arial"/>
          <w:sz w:val="20"/>
          <w:szCs w:val="20"/>
          <w:color w:val="auto"/>
        </w:rPr>
        <w:t>” means the division of the assets, liabilities and/or obligations of a Person (the “</w:t>
      </w:r>
      <w:r>
        <w:rPr>
          <w:rFonts w:ascii="Arial" w:cs="Arial" w:eastAsia="Arial" w:hAnsi="Arial"/>
          <w:sz w:val="20"/>
          <w:szCs w:val="20"/>
          <w:u w:val="single" w:color="auto"/>
          <w:color w:val="auto"/>
        </w:rPr>
        <w:t>Dividing Person</w:t>
      </w:r>
      <w:r>
        <w:rPr>
          <w:rFonts w:ascii="Arial" w:cs="Arial" w:eastAsia="Arial" w:hAnsi="Arial"/>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4" w:name="page25"/>
    <w:bookmarkEnd w:id="24"/>
    <w:p>
      <w:pPr>
        <w:jc w:val="both"/>
        <w:spacing w:after="0" w:line="260" w:lineRule="auto"/>
        <w:rPr>
          <w:sz w:val="20"/>
          <w:szCs w:val="20"/>
          <w:color w:val="auto"/>
        </w:rPr>
      </w:pPr>
      <w:r>
        <w:rPr>
          <w:rFonts w:ascii="Arial" w:cs="Arial" w:eastAsia="Arial" w:hAnsi="Arial"/>
          <w:sz w:val="20"/>
          <w:szCs w:val="20"/>
          <w:color w:val="auto"/>
        </w:rPr>
        <w:t>at such time on the basis of the Spot Rate (determined in respect of the most recent Revaluation Date) for the purchase of Dollars with such Alternative Currency.</w:t>
      </w:r>
    </w:p>
    <w:p>
      <w:pPr>
        <w:spacing w:after="0" w:line="17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Early Opt-in Effective Date</w:t>
      </w:r>
      <w:r>
        <w:rPr>
          <w:rFonts w:ascii="Arial" w:cs="Arial" w:eastAsia="Arial" w:hAnsi="Arial"/>
          <w:sz w:val="19"/>
          <w:szCs w:val="19"/>
          <w:color w:val="auto"/>
        </w:rPr>
        <w:t>” means, with respect to any Early Opt-in Election, the sixth (6th) Business Day after the date notice of such Early Opt-in Election is provided to the Lenders and Toro, so long as the Administrative Agent has not received, by 5:00 p.m. (New York City time) on the fifth (5th) Business Day after the date notice of such Early Opt-in Election is provided to the Lenders and Toro, written notice of objection to such Early Opt-in Election from Lenders comprising the Required Lenders.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means the occurrence of:</w:t>
      </w:r>
    </w:p>
    <w:p>
      <w:pPr>
        <w:spacing w:after="0" w:line="216" w:lineRule="exact"/>
        <w:rPr>
          <w:sz w:val="20"/>
          <w:szCs w:val="20"/>
          <w:color w:val="auto"/>
        </w:rPr>
      </w:pPr>
    </w:p>
    <w:p>
      <w:pPr>
        <w:jc w:val="both"/>
        <w:ind w:left="880" w:firstLine="80"/>
        <w:spacing w:after="0" w:line="246" w:lineRule="auto"/>
        <w:tabs>
          <w:tab w:leader="none" w:pos="1259"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a determination by the Administrative Agent, or a notification by Toro to the Administrative Agent that Toro has made a determination, that U.S. Dollar-denominated syndicated credit facilities currently being executed, or that include language similar to that contained in </w:t>
      </w:r>
      <w:r>
        <w:rPr>
          <w:rFonts w:ascii="Arial" w:cs="Arial" w:eastAsia="Arial" w:hAnsi="Arial"/>
          <w:sz w:val="20"/>
          <w:szCs w:val="20"/>
          <w:u w:val="single" w:color="auto"/>
          <w:color w:val="auto"/>
        </w:rPr>
        <w:t>Section 3.03(c)</w:t>
      </w:r>
      <w:r>
        <w:rPr>
          <w:rFonts w:ascii="Arial" w:cs="Arial" w:eastAsia="Arial" w:hAnsi="Arial"/>
          <w:sz w:val="20"/>
          <w:szCs w:val="20"/>
          <w:color w:val="auto"/>
        </w:rPr>
        <w:t>, are being executed or amended (as applicable) to incorporate or adopt a new benchmark interest rate to replace LIBOR, and</w:t>
      </w:r>
    </w:p>
    <w:p>
      <w:pPr>
        <w:spacing w:after="0" w:line="191" w:lineRule="exact"/>
        <w:rPr>
          <w:rFonts w:ascii="Arial" w:cs="Arial" w:eastAsia="Arial" w:hAnsi="Arial"/>
          <w:sz w:val="20"/>
          <w:szCs w:val="20"/>
          <w:color w:val="auto"/>
        </w:rPr>
      </w:pPr>
    </w:p>
    <w:p>
      <w:pPr>
        <w:ind w:left="880" w:firstLine="80"/>
        <w:spacing w:after="0" w:line="260" w:lineRule="auto"/>
        <w:tabs>
          <w:tab w:leader="none" w:pos="127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joint election by the Administrative Agent and Toro to replace LIBOR with a Benchmark Replacement and the provision by the Administrative Agent of written notice of such election to the Lenders.</w:t>
      </w:r>
    </w:p>
    <w:p>
      <w:pPr>
        <w:spacing w:after="0" w:line="17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Record</w:t>
      </w:r>
      <w:r>
        <w:rPr>
          <w:rFonts w:ascii="Arial" w:cs="Arial" w:eastAsia="Arial" w:hAnsi="Arial"/>
          <w:sz w:val="20"/>
          <w:szCs w:val="20"/>
          <w:color w:val="auto"/>
        </w:rPr>
        <w:t>” and “</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shall have the meanings assigned to them, respectively, by 15 USC §7006, as it may be amended from time to time.</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11.06(b)(iii)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11.06(b)(iii)</w:t>
      </w:r>
      <w:r>
        <w:rPr>
          <w:rFonts w:ascii="Arial" w:cs="Arial" w:eastAsia="Arial" w:hAnsi="Arial"/>
          <w:sz w:val="20"/>
          <w:szCs w:val="20"/>
          <w:color w:val="auto"/>
        </w:rPr>
        <w: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End-User Financing Arrangements</w:t>
      </w:r>
      <w:r>
        <w:rPr>
          <w:rFonts w:ascii="Arial" w:cs="Arial" w:eastAsia="Arial" w:hAnsi="Arial"/>
          <w:sz w:val="20"/>
          <w:szCs w:val="20"/>
          <w:color w:val="auto"/>
        </w:rPr>
        <w:t>” has the meaning specified in the definition of “Indebtedness”.</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any Borrower, any other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Loan Party or any of their respective Subsidiaries directly or indirectly resulting from or based upon (a) violation of any Environmental Law,</w:t>
      </w:r>
    </w:p>
    <w:p>
      <w:pPr>
        <w:spacing w:after="0" w:line="39" w:lineRule="exact"/>
        <w:rPr>
          <w:sz w:val="20"/>
          <w:szCs w:val="20"/>
          <w:color w:val="auto"/>
        </w:rPr>
      </w:pPr>
    </w:p>
    <w:p>
      <w:pPr>
        <w:jc w:val="both"/>
        <w:ind w:firstLine="8"/>
        <w:spacing w:after="0" w:line="260" w:lineRule="auto"/>
        <w:tabs>
          <w:tab w:leader="none" w:pos="2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9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the rules and regulations promulgated thereunder.</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any Borrower within the meaning of Section 414(b) or (c) of the Code (and Sections 414(m) and (o) of the Code for purposes of provisions relating to Section 412 of the Code).</w:t>
      </w:r>
    </w:p>
    <w:p>
      <w:pPr>
        <w:spacing w:after="0" w:line="18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spacing w:after="0" w:line="1" w:lineRule="exact"/>
        <w:rPr>
          <w:sz w:val="20"/>
          <w:szCs w:val="20"/>
          <w:color w:val="auto"/>
        </w:rPr>
      </w:pPr>
    </w:p>
    <w:p>
      <w:pPr>
        <w:jc w:val="both"/>
        <w:ind w:firstLine="8"/>
        <w:spacing w:after="0" w:line="266" w:lineRule="auto"/>
        <w:tabs>
          <w:tab w:leader="none" w:pos="2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complete or partial withdrawal by any Borrower or any ERISA Affiliate from a Multiemployer Plan or notification that a Multiemployer Plan is in reorganization; (d) the receipt by any Loan Party or any of its ERISA Affiliates from the PBGC or a plan administrator of the filing of a notice of intent to terminate, or the treatment of a Pension Plan amendment as a termination of the Pension Plan under Section 4041 or 4041A of ERISA, which could reasonably be expected to result in liability of any Loan Party or any of its ERISA Affiliates in an aggregate amount exceeding $2,500,000; (e) the institution by the PBGC of proceedings to terminate a Pension Plan; (f) any event or condition which constitutes grounds under Section 4042 of ERISA for the termination of, or the appointment of a trustee to administer, any Pension Plan;</w:t>
      </w:r>
    </w:p>
    <w:p>
      <w:pPr>
        <w:jc w:val="both"/>
        <w:ind w:firstLine="8"/>
        <w:spacing w:after="0"/>
        <w:tabs>
          <w:tab w:leader="none" w:pos="302"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any Borrower or any ERISA Affiliate; or (i) a Pension Plan has been terminated by the plan administrator thereof or by the PBGC, or an event or circumstance has occurred or exists that could reasonably be expected to cause the PBGC to institute proceedings under Title IV of ERISA to terminate any Pension Plan, which in each case and collectively, could reasonably be expected to result in liability of any Loan Party or any of its ERISA Affiliates in an aggregate amount exceeding $2,500,000.</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ESG</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ESG Amendment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ESG Pricing Provisions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6" w:name="page27"/>
    <w:bookmarkEnd w:id="26"/>
    <w:p>
      <w:pPr>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EURIBOR</w:t>
      </w:r>
      <w:r>
        <w:rPr>
          <w:rFonts w:ascii="Arial" w:cs="Arial" w:eastAsia="Arial" w:hAnsi="Arial"/>
          <w:sz w:val="20"/>
          <w:szCs w:val="20"/>
          <w:color w:val="auto"/>
        </w:rPr>
        <w:t>” has the meaning specified in the definition of “Alternative Currency Term Rate”.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means the single currency of the Participating Member States.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means,</w:t>
      </w:r>
    </w:p>
    <w:p>
      <w:pPr>
        <w:spacing w:after="0" w:line="216" w:lineRule="exact"/>
        <w:rPr>
          <w:sz w:val="20"/>
          <w:szCs w:val="20"/>
          <w:color w:val="auto"/>
        </w:rPr>
      </w:pPr>
    </w:p>
    <w:p>
      <w:pPr>
        <w:jc w:val="both"/>
        <w:ind w:firstLine="872"/>
        <w:spacing w:after="0" w:line="259" w:lineRule="auto"/>
        <w:tabs>
          <w:tab w:leader="none" w:pos="1731" w:val="left"/>
        </w:tabs>
        <w:numPr>
          <w:ilvl w:val="0"/>
          <w:numId w:val="23"/>
        </w:numPr>
        <w:rPr>
          <w:rFonts w:ascii="Arial" w:cs="Arial" w:eastAsia="Arial" w:hAnsi="Arial"/>
          <w:sz w:val="19"/>
          <w:szCs w:val="19"/>
          <w:color w:val="auto"/>
        </w:rPr>
      </w:pPr>
      <w:r>
        <w:rPr>
          <w:rFonts w:ascii="Arial" w:cs="Arial" w:eastAsia="Arial" w:hAnsi="Arial"/>
          <w:sz w:val="19"/>
          <w:szCs w:val="19"/>
          <w:color w:val="auto"/>
        </w:rPr>
        <w:t>with respect to any Credit Extension denominated in a LIBOR Quoted Currency, the rate per annum equal to the London Interbank Offered Rate as administered by ICE Benchmark Administration (or any other Person that takes over the administration of such rate for such currency for a period equal in length to the applicable Interest Period) (“</w:t>
      </w:r>
      <w:r>
        <w:rPr>
          <w:rFonts w:ascii="Arial" w:cs="Arial" w:eastAsia="Arial" w:hAnsi="Arial"/>
          <w:sz w:val="19"/>
          <w:szCs w:val="19"/>
          <w:u w:val="single" w:color="auto"/>
          <w:color w:val="auto"/>
        </w:rPr>
        <w:t>LIBOR</w:t>
      </w:r>
      <w:r>
        <w:rPr>
          <w:rFonts w:ascii="Arial" w:cs="Arial" w:eastAsia="Arial" w:hAnsi="Arial"/>
          <w:sz w:val="19"/>
          <w:szCs w:val="19"/>
          <w:color w:val="auto"/>
        </w:rPr>
        <w:t>”), as published on the applicable Reuters screen page (or such other commercially available source providing such quotations as may be designated by the Administrative Agent from time to time) (in such case, the “</w:t>
      </w:r>
      <w:r>
        <w:rPr>
          <w:rFonts w:ascii="Arial" w:cs="Arial" w:eastAsia="Arial" w:hAnsi="Arial"/>
          <w:sz w:val="19"/>
          <w:szCs w:val="19"/>
          <w:u w:val="single" w:color="auto"/>
          <w:color w:val="auto"/>
        </w:rPr>
        <w:t>LIBOR Rate</w:t>
      </w:r>
      <w:r>
        <w:rPr>
          <w:rFonts w:ascii="Arial" w:cs="Arial" w:eastAsia="Arial" w:hAnsi="Arial"/>
          <w:sz w:val="19"/>
          <w:szCs w:val="19"/>
          <w:color w:val="auto"/>
        </w:rPr>
        <w:t>”) at or about 11:00 a.m. (London time) on the Rate Determination Date, for deposits in the relevant currency, with a term equivalent to the applicable Interest Period;</w:t>
      </w:r>
    </w:p>
    <w:p>
      <w:pPr>
        <w:spacing w:after="0" w:line="178" w:lineRule="exact"/>
        <w:rPr>
          <w:rFonts w:ascii="Arial" w:cs="Arial" w:eastAsia="Arial" w:hAnsi="Arial"/>
          <w:sz w:val="19"/>
          <w:szCs w:val="19"/>
          <w:color w:val="auto"/>
        </w:rPr>
      </w:pPr>
    </w:p>
    <w:p>
      <w:pPr>
        <w:ind w:left="1760" w:hanging="888"/>
        <w:spacing w:after="0"/>
        <w:tabs>
          <w:tab w:leader="none" w:pos="17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any applicable Alternative Currency Term Rate; and</w:t>
      </w:r>
    </w:p>
    <w:p>
      <w:pPr>
        <w:spacing w:after="0" w:line="215" w:lineRule="exact"/>
        <w:rPr>
          <w:rFonts w:ascii="Arial" w:cs="Arial" w:eastAsia="Arial" w:hAnsi="Arial"/>
          <w:sz w:val="20"/>
          <w:szCs w:val="20"/>
          <w:color w:val="auto"/>
        </w:rPr>
      </w:pPr>
    </w:p>
    <w:p>
      <w:pPr>
        <w:jc w:val="both"/>
        <w:ind w:firstLine="872"/>
        <w:spacing w:after="0" w:line="250" w:lineRule="auto"/>
        <w:tabs>
          <w:tab w:leader="none" w:pos="1731" w:val="left"/>
        </w:tabs>
        <w:numPr>
          <w:ilvl w:val="0"/>
          <w:numId w:val="23"/>
        </w:numPr>
        <w:rPr>
          <w:rFonts w:ascii="Arial" w:cs="Arial" w:eastAsia="Arial" w:hAnsi="Arial"/>
          <w:sz w:val="20"/>
          <w:szCs w:val="20"/>
          <w:color w:val="auto"/>
        </w:rPr>
      </w:pPr>
      <w:r>
        <w:rPr>
          <w:rFonts w:ascii="Arial" w:cs="Arial" w:eastAsia="Arial" w:hAnsi="Arial"/>
          <w:sz w:val="20"/>
          <w:szCs w:val="20"/>
          <w:color w:val="auto"/>
        </w:rPr>
        <w:t>for any rate calculation with respect to a Base Rate Loan on any date, the rate per annum equal to LIBOR, at or about 11:00 a.m., London time determined two (2) Business Days prior to such date for U.S. Dollar deposits with a term of one (1) month commencing that day;</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a comparable or successor rate is approved by the Administrative Agent in connection with any rate set forth in this definition, the approved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to the extent such market practice is not administratively feasible for the Administrative Agent, such approved rate shall be applied in a manner as otherwise reasonably determined by the Administrative Agent; and if the Eurocurrency Rate shall be less than zero, such rate shall be deemed zero for purposes of this Agreement.</w:t>
      </w:r>
    </w:p>
    <w:p>
      <w:pPr>
        <w:spacing w:after="0" w:line="19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 Loan</w:t>
      </w:r>
      <w:r>
        <w:rPr>
          <w:rFonts w:ascii="Arial" w:cs="Arial" w:eastAsia="Arial" w:hAnsi="Arial"/>
          <w:sz w:val="20"/>
          <w:szCs w:val="20"/>
          <w:color w:val="auto"/>
        </w:rPr>
        <w:t xml:space="preserve">” means a Loan that bears interest at a rate based on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the definition of “Eurocurrency Rate”. Eurocurrency Rate Loans may be denominated in Dollars or in an Alternative Currency. All Loans denominated in an Alternative Currency must be Eurocurrency Rate Loans or Alternative Currency Daily Rate Loans.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and regulations promulgated thereunder.</w:t>
      </w:r>
    </w:p>
    <w:p>
      <w:pPr>
        <w:spacing w:after="0" w:line="216"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Toro under </w:t>
      </w:r>
      <w:r>
        <w:rPr>
          <w:rFonts w:ascii="Arial" w:cs="Arial" w:eastAsia="Arial" w:hAnsi="Arial"/>
          <w:sz w:val="18"/>
          <w:szCs w:val="18"/>
          <w:u w:val="single" w:color="auto"/>
          <w:color w:val="auto"/>
        </w:rPr>
        <w:t>Section 11.13</w:t>
      </w:r>
      <w:r>
        <w:rPr>
          <w:rFonts w:ascii="Arial" w:cs="Arial" w:eastAsia="Arial" w:hAnsi="Arial"/>
          <w:sz w:val="18"/>
          <w:szCs w:val="18"/>
          <w:color w:val="auto"/>
        </w:rPr>
        <w:t>) or</w:t>
      </w:r>
    </w:p>
    <w:p>
      <w:pPr>
        <w:spacing w:after="0" w:line="5" w:lineRule="exact"/>
        <w:rPr>
          <w:sz w:val="20"/>
          <w:szCs w:val="20"/>
          <w:color w:val="auto"/>
        </w:rPr>
      </w:pPr>
    </w:p>
    <w:p>
      <w:pPr>
        <w:ind w:left="5520" w:right="3800" w:hanging="5512"/>
        <w:spacing w:after="0" w:line="469" w:lineRule="auto"/>
        <w:tabs>
          <w:tab w:leader="none" w:pos="294" w:val="left"/>
        </w:tabs>
        <w:numPr>
          <w:ilvl w:val="0"/>
          <w:numId w:val="24"/>
        </w:numPr>
        <w:rPr>
          <w:rFonts w:ascii="Arial" w:cs="Arial" w:eastAsia="Arial" w:hAnsi="Arial"/>
          <w:sz w:val="20"/>
          <w:szCs w:val="20"/>
          <w:color w:val="auto"/>
        </w:rPr>
      </w:pPr>
      <w:r>
        <w:rPr>
          <w:rFonts w:ascii="Arial" w:cs="Arial" w:eastAsia="Arial" w:hAnsi="Arial"/>
          <w:sz w:val="20"/>
          <w:szCs w:val="20"/>
          <w:color w:val="auto"/>
        </w:rPr>
        <w:t>such Lender changes its Lending Office, except in each case to the extent that, pursuant to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 w:name="page28"/>
    <w:bookmarkEnd w:id="27"/>
    <w:p>
      <w:pPr>
        <w:jc w:val="both"/>
        <w:spacing w:after="0" w:line="269" w:lineRule="auto"/>
        <w:rPr>
          <w:sz w:val="20"/>
          <w:szCs w:val="20"/>
          <w:color w:val="auto"/>
        </w:rPr>
      </w:pPr>
      <w:r>
        <w:rPr>
          <w:rFonts w:ascii="Arial" w:cs="Arial" w:eastAsia="Arial" w:hAnsi="Arial"/>
          <w:sz w:val="19"/>
          <w:szCs w:val="19"/>
          <w:u w:val="single" w:color="auto"/>
          <w:color w:val="auto"/>
        </w:rPr>
        <w:t>Section 3.01(a)(ii)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and (d) any U.S. federal withholding Taxes imposed pursuant to FATCA.</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those letters of credit set forth on </w:t>
      </w:r>
      <w:r>
        <w:rPr>
          <w:rFonts w:ascii="Arial" w:cs="Arial" w:eastAsia="Arial" w:hAnsi="Arial"/>
          <w:sz w:val="20"/>
          <w:szCs w:val="20"/>
          <w:u w:val="single" w:color="auto"/>
          <w:color w:val="auto"/>
        </w:rPr>
        <w:t>Schedule 1.01(e)</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Liens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7.01(a)</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Revolving Credit Agreement</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Revolving Lenders</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Term Loan Credit Agreement</w:t>
      </w:r>
      <w:r>
        <w:rPr>
          <w:rFonts w:ascii="Arial" w:cs="Arial" w:eastAsia="Arial" w:hAnsi="Arial"/>
          <w:sz w:val="20"/>
          <w:szCs w:val="20"/>
          <w:color w:val="auto"/>
        </w:rPr>
        <w:t>” means that certain Term Loan Credit Agreement dated as of March 19, 2019, as heretofore amended, among Toro, Bank of America, N.A., as administrative agent, and a syndicate of lenders.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the Term Facility or the Revolving Credit Facility, as the context may require.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2.09(a)</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Federal Funds Rate as so determined would be less than zero, such rate shall be deemed to be zero for purposes of this Agreement.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Letters</w:t>
      </w:r>
      <w:r>
        <w:rPr>
          <w:rFonts w:ascii="Arial" w:cs="Arial" w:eastAsia="Arial" w:hAnsi="Arial"/>
          <w:sz w:val="20"/>
          <w:szCs w:val="20"/>
          <w:color w:val="auto"/>
        </w:rPr>
        <w:t>” means, collectively, the BofA Fee Letter, the Wells Fargo Fee Letter and the U.S. Bank Fee Letter.</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 Plan Financing Arrangement</w:t>
      </w:r>
      <w:r>
        <w:rPr>
          <w:rFonts w:ascii="Arial" w:cs="Arial" w:eastAsia="Arial" w:hAnsi="Arial"/>
          <w:sz w:val="20"/>
          <w:szCs w:val="20"/>
          <w:color w:val="auto"/>
        </w:rPr>
        <w:t>” means any financing arrangement pursuant to which a capital provider agrees to provide inventory financing to certain dealers and distributors of certain products of Toro or its Subsidiaries.</w:t>
      </w:r>
    </w:p>
    <w:p>
      <w:pPr>
        <w:spacing w:after="0" w:line="17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(including such a Lender when acting in the capacity of the L/C Issuer). For purposes of this definition, the United States, each State thereof and the District of Columbia shall be deemed to constitute a single jurisdiction.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 w:name="page29"/>
    <w:bookmarkEnd w:id="28"/>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Obligor</w:t>
      </w:r>
      <w:r>
        <w:rPr>
          <w:rFonts w:ascii="Arial" w:cs="Arial" w:eastAsia="Arial" w:hAnsi="Arial"/>
          <w:sz w:val="20"/>
          <w:szCs w:val="20"/>
          <w:color w:val="auto"/>
        </w:rPr>
        <w:t>” means (a) Toro Luxembourg and (b) any other Loan Party that is a Foreign Subsidiary.</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organized under the laws of a jurisdiction other than the United States, a State thereof or the District of Columbia.</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Exposure</w:t>
      </w:r>
      <w:r>
        <w:rPr>
          <w:rFonts w:ascii="Arial" w:cs="Arial" w:eastAsia="Arial" w:hAnsi="Arial"/>
          <w:sz w:val="20"/>
          <w:szCs w:val="20"/>
          <w:color w:val="auto"/>
        </w:rPr>
        <w:t>” means, at any time there is a Defaulting Lender that is a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9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Indemnity Letter</w:t>
      </w:r>
      <w:r>
        <w:rPr>
          <w:rFonts w:ascii="Arial" w:cs="Arial" w:eastAsia="Arial" w:hAnsi="Arial"/>
          <w:sz w:val="20"/>
          <w:szCs w:val="20"/>
          <w:color w:val="auto"/>
        </w:rPr>
        <w:t xml:space="preserve">” means a funding indemnity letter, substantially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except as provided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6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9" w:name="page30"/>
    <w:bookmarkEnd w:id="29"/>
    <w:p>
      <w:pPr>
        <w:jc w:val="both"/>
        <w:spacing w:after="0" w:line="250" w:lineRule="auto"/>
        <w:rPr>
          <w:sz w:val="20"/>
          <w:szCs w:val="20"/>
          <w:color w:val="auto"/>
        </w:rPr>
      </w:pPr>
      <w:r>
        <w:rPr>
          <w:rFonts w:ascii="Arial" w:cs="Arial" w:eastAsia="Arial" w:hAnsi="Arial"/>
          <w:sz w:val="20"/>
          <w:szCs w:val="20"/>
          <w:color w:val="auto"/>
        </w:rPr>
        <w:t>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means the Guaranty made by Toro in favor of the Administrative Agent and the Lenders, set forth in </w:t>
      </w:r>
      <w:r>
        <w:rPr>
          <w:rFonts w:ascii="Arial" w:cs="Arial" w:eastAsia="Arial" w:hAnsi="Arial"/>
          <w:sz w:val="19"/>
          <w:szCs w:val="19"/>
          <w:u w:val="single" w:color="auto"/>
          <w:color w:val="auto"/>
        </w:rPr>
        <w:t>Article X</w:t>
      </w:r>
      <w:r>
        <w:rPr>
          <w:rFonts w:ascii="Arial" w:cs="Arial" w:eastAsia="Arial" w:hAnsi="Arial"/>
          <w:sz w:val="19"/>
          <w:szCs w:val="19"/>
          <w:color w:val="auto"/>
        </w:rPr>
        <w:t>.</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Obligation</w:t>
      </w:r>
      <w:r>
        <w:rPr>
          <w:rFonts w:ascii="Arial" w:cs="Arial" w:eastAsia="Arial" w:hAnsi="Arial"/>
          <w:sz w:val="20"/>
          <w:szCs w:val="20"/>
          <w:color w:val="auto"/>
        </w:rPr>
        <w:t>” has the meaning specified in the definition of “Contingent Obligation.”</w:t>
      </w:r>
    </w:p>
    <w:p>
      <w:pPr>
        <w:spacing w:after="0" w:line="21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3.03(a)</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Joinder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2.14(c)</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Commitments</w:t>
      </w:r>
      <w:r>
        <w:rPr>
          <w:rFonts w:ascii="Arial" w:cs="Arial" w:eastAsia="Arial" w:hAnsi="Arial"/>
          <w:sz w:val="19"/>
          <w:szCs w:val="19"/>
          <w:color w:val="auto"/>
        </w:rPr>
        <w:t>” means Incremental Revolving Commitments and/or the Incremental Term Commitments.</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1.03(d)</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Commitments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Maturity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2.14(c).</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Loans</w:t>
      </w:r>
      <w:r>
        <w:rPr>
          <w:rFonts w:ascii="Arial" w:cs="Arial" w:eastAsia="Arial" w:hAnsi="Arial"/>
          <w:sz w:val="20"/>
          <w:szCs w:val="20"/>
          <w:color w:val="auto"/>
        </w:rPr>
        <w:t>” means any loans made pursuant to any Incremental Term Commitments.</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77" w:lineRule="exact"/>
        <w:rPr>
          <w:sz w:val="20"/>
          <w:szCs w:val="20"/>
          <w:color w:val="auto"/>
        </w:rPr>
      </w:pPr>
    </w:p>
    <w:p>
      <w:pPr>
        <w:ind w:left="880" w:firstLine="789"/>
        <w:spacing w:after="0" w:line="260" w:lineRule="auto"/>
        <w:tabs>
          <w:tab w:leader="none" w:pos="2545"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76" w:lineRule="exact"/>
        <w:rPr>
          <w:rFonts w:ascii="Arial" w:cs="Arial" w:eastAsia="Arial" w:hAnsi="Arial"/>
          <w:sz w:val="20"/>
          <w:szCs w:val="20"/>
          <w:color w:val="auto"/>
        </w:rPr>
      </w:pPr>
    </w:p>
    <w:p>
      <w:pPr>
        <w:jc w:val="both"/>
        <w:ind w:left="880" w:firstLine="789"/>
        <w:spacing w:after="0" w:line="244" w:lineRule="auto"/>
        <w:tabs>
          <w:tab w:leader="none" w:pos="2556"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$75,000,000;</w:t>
      </w:r>
    </w:p>
    <w:p>
      <w:pPr>
        <w:spacing w:after="0" w:line="194" w:lineRule="exact"/>
        <w:rPr>
          <w:rFonts w:ascii="Arial" w:cs="Arial" w:eastAsia="Arial" w:hAnsi="Arial"/>
          <w:sz w:val="20"/>
          <w:szCs w:val="20"/>
          <w:color w:val="auto"/>
        </w:rPr>
      </w:pPr>
    </w:p>
    <w:p>
      <w:pPr>
        <w:ind w:left="880" w:firstLine="789"/>
        <w:spacing w:after="0" w:line="260" w:lineRule="auto"/>
        <w:tabs>
          <w:tab w:leader="none" w:pos="2545"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0" w:name="page31"/>
    <w:bookmarkEnd w:id="30"/>
    <w:p>
      <w:pPr>
        <w:jc w:val="both"/>
        <w:ind w:left="880" w:firstLine="789"/>
        <w:spacing w:after="0" w:line="250" w:lineRule="auto"/>
        <w:tabs>
          <w:tab w:leader="none" w:pos="2556"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5" w:lineRule="exact"/>
        <w:rPr>
          <w:rFonts w:ascii="Arial" w:cs="Arial" w:eastAsia="Arial" w:hAnsi="Arial"/>
          <w:sz w:val="20"/>
          <w:szCs w:val="20"/>
          <w:color w:val="auto"/>
        </w:rPr>
      </w:pPr>
    </w:p>
    <w:p>
      <w:pPr>
        <w:ind w:left="2540" w:hanging="871"/>
        <w:spacing w:after="0"/>
        <w:tabs>
          <w:tab w:leader="none" w:pos="25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capital leases and Synthetic Lease Obligations;</w:t>
      </w:r>
    </w:p>
    <w:p>
      <w:pPr>
        <w:spacing w:after="0" w:line="215" w:lineRule="exact"/>
        <w:rPr>
          <w:rFonts w:ascii="Arial" w:cs="Arial" w:eastAsia="Arial" w:hAnsi="Arial"/>
          <w:sz w:val="20"/>
          <w:szCs w:val="20"/>
          <w:color w:val="auto"/>
        </w:rPr>
      </w:pPr>
    </w:p>
    <w:p>
      <w:pPr>
        <w:jc w:val="both"/>
        <w:ind w:left="880" w:firstLine="789"/>
        <w:spacing w:after="0" w:line="282" w:lineRule="auto"/>
        <w:tabs>
          <w:tab w:leader="none" w:pos="25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purchase, redeem, retire, defease or otherwise make any payment in respect of any Equity Interest in such Person or any other Person (other than obligations of Toro or a Subsidiary of Toro to Red Iron under the terms of the Red Iron LLC Agreement (as in effect on the Closing Date)),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w:t>
      </w:r>
    </w:p>
    <w:p>
      <w:pPr>
        <w:spacing w:after="0" w:line="161" w:lineRule="exact"/>
        <w:rPr>
          <w:rFonts w:ascii="Arial" w:cs="Arial" w:eastAsia="Arial" w:hAnsi="Arial"/>
          <w:sz w:val="18"/>
          <w:szCs w:val="18"/>
          <w:color w:val="auto"/>
        </w:rPr>
      </w:pPr>
    </w:p>
    <w:p>
      <w:pPr>
        <w:jc w:val="both"/>
        <w:ind w:left="880" w:firstLine="789"/>
        <w:spacing w:after="0" w:line="246" w:lineRule="auto"/>
        <w:tabs>
          <w:tab w:leader="none" w:pos="255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clause (h), at any time outstanding not to exceed $75,000,000; and</w:t>
      </w:r>
    </w:p>
    <w:p>
      <w:pPr>
        <w:spacing w:after="0" w:line="191" w:lineRule="exact"/>
        <w:rPr>
          <w:rFonts w:ascii="Arial" w:cs="Arial" w:eastAsia="Arial" w:hAnsi="Arial"/>
          <w:sz w:val="20"/>
          <w:szCs w:val="20"/>
          <w:color w:val="auto"/>
        </w:rPr>
      </w:pPr>
    </w:p>
    <w:p>
      <w:pPr>
        <w:jc w:val="both"/>
        <w:ind w:left="880" w:firstLine="789"/>
        <w:spacing w:after="0" w:line="257" w:lineRule="auto"/>
        <w:tabs>
          <w:tab w:leader="none" w:pos="2556" w:val="left"/>
        </w:tabs>
        <w:numPr>
          <w:ilvl w:val="0"/>
          <w:numId w:val="26"/>
        </w:numPr>
        <w:rPr>
          <w:rFonts w:ascii="Arial" w:cs="Arial" w:eastAsia="Arial" w:hAnsi="Arial"/>
          <w:sz w:val="19"/>
          <w:szCs w:val="19"/>
          <w:color w:val="auto"/>
        </w:rPr>
      </w:pPr>
      <w:r>
        <w:rPr>
          <w:rFonts w:ascii="Arial" w:cs="Arial" w:eastAsia="Arial" w:hAnsi="Arial"/>
          <w:sz w:val="19"/>
          <w:szCs w:val="19"/>
          <w:color w:val="auto"/>
        </w:rPr>
        <w:t>all Guarantees of such Person in respect of any of the foregoing, except to the extent (i) issued as a means of providing assurance of payment of amounts due by purchasers or lessees of the products or services of such Person or Affiliates of such Person to obligees providing financing for or purchasing obligations related to the acquisition or lease of such products or services (the “</w:t>
      </w:r>
      <w:r>
        <w:rPr>
          <w:rFonts w:ascii="Arial" w:cs="Arial" w:eastAsia="Arial" w:hAnsi="Arial"/>
          <w:sz w:val="19"/>
          <w:szCs w:val="19"/>
          <w:u w:val="single" w:color="auto"/>
          <w:color w:val="auto"/>
        </w:rPr>
        <w:t>End-User Financing Arrangements</w:t>
      </w:r>
      <w:r>
        <w:rPr>
          <w:rFonts w:ascii="Arial" w:cs="Arial" w:eastAsia="Arial" w:hAnsi="Arial"/>
          <w:sz w:val="19"/>
          <w:szCs w:val="19"/>
          <w:color w:val="auto"/>
        </w:rPr>
        <w:t>”); or, without duplication, (ii) to provide assurance of payments of amounts due Red Iron or TCF Canada in the ordinary course of Red Iron’s or TCF Canada’s business of financing purchases by distributors and dealers or products and services of such Person or an Affiliate of such Person (the “</w:t>
      </w:r>
      <w:r>
        <w:rPr>
          <w:rFonts w:ascii="Arial" w:cs="Arial" w:eastAsia="Arial" w:hAnsi="Arial"/>
          <w:sz w:val="19"/>
          <w:szCs w:val="19"/>
          <w:u w:val="single" w:color="auto"/>
          <w:color w:val="auto"/>
        </w:rPr>
        <w:t>Red Iron/TCF Repurchase Obligations</w:t>
      </w:r>
      <w:r>
        <w:rPr>
          <w:rFonts w:ascii="Arial" w:cs="Arial" w:eastAsia="Arial" w:hAnsi="Arial"/>
          <w:sz w:val="19"/>
          <w:szCs w:val="19"/>
          <w:color w:val="auto"/>
        </w:rPr>
        <w:t>”), in an aggregate stated or principal amount, when taken together with amounts subject to the exception set forth in the preceding clause (g), at any time outstanding not to exceed $75,000,000.</w:t>
      </w:r>
    </w:p>
    <w:p>
      <w:pPr>
        <w:spacing w:after="0" w:line="18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capital lease or Synthetic Lease Obligation as of any date shall be deemed to be the amount of Attributable Indebtedness in respect thereof as of such date.</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the avoidance of doubt, obligations with respect to Floor Plan Financing Arrangements shall not constitute “Indebtedness”.</w:t>
      </w:r>
    </w:p>
    <w:p>
      <w:pPr>
        <w:spacing w:after="0" w:line="23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Other Taxes.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11.04(b)</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11.07</w:t>
      </w:r>
      <w:r>
        <w:rPr>
          <w:rFonts w:ascii="Arial" w:cs="Arial" w:eastAsia="Arial" w:hAnsi="Arial"/>
          <w:sz w:val="20"/>
          <w:szCs w:val="20"/>
          <w:color w:val="auto"/>
        </w:rPr>
        <w:t>.</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 Proceeding</w:t>
      </w:r>
      <w:r>
        <w:rPr>
          <w:rFonts w:ascii="Arial" w:cs="Arial" w:eastAsia="Arial" w:hAnsi="Arial"/>
          <w:sz w:val="20"/>
          <w:szCs w:val="20"/>
          <w:color w:val="auto"/>
        </w:rPr>
        <w:t>” means, with respect to any Person, (a) any case, action or proceeding with respect to such Person before any court or other Governmental Authority relating to bankruptcy,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1" w:name="page32"/>
    <w:bookmarkEnd w:id="31"/>
    <w:p>
      <w:pPr>
        <w:jc w:val="both"/>
        <w:spacing w:after="0" w:line="291" w:lineRule="auto"/>
        <w:rPr>
          <w:sz w:val="20"/>
          <w:szCs w:val="20"/>
          <w:color w:val="auto"/>
        </w:rPr>
      </w:pPr>
      <w:r>
        <w:rPr>
          <w:rFonts w:ascii="Arial" w:cs="Arial" w:eastAsia="Arial" w:hAnsi="Arial"/>
          <w:sz w:val="18"/>
          <w:szCs w:val="18"/>
          <w:color w:val="auto"/>
        </w:rPr>
        <w:t>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 of the United States.</w:t>
      </w:r>
    </w:p>
    <w:p>
      <w:pPr>
        <w:spacing w:after="0" w:line="15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Eurocurrency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Rate Loan exceeds three (3) months, the respective dates that fall every three (3) months after the beginning of such Interest Period shall also be Interest Payment Dates; (b) as to any Base Rate Loan (including a Swing Line Loan), the last Business Day of each March, June, September and December and the Maturity Date and (c) as to any Alternative Currency Daily Rate Loan, the last Business Day of each month and the Maturity Date.</w:t>
      </w:r>
    </w:p>
    <w:p>
      <w:pPr>
        <w:spacing w:after="0" w:line="165" w:lineRule="exact"/>
        <w:rPr>
          <w:sz w:val="20"/>
          <w:szCs w:val="20"/>
          <w:color w:val="auto"/>
        </w:rPr>
      </w:pPr>
    </w:p>
    <w:p>
      <w:pPr>
        <w:jc w:val="both"/>
        <w:ind w:firstLine="864"/>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as to each Eurocurrency Rate Loan, the period commencing on the date such Eurocurrency Rate Loan is disbursed or converted to or (in the case of any Eurocurrency Rate Loan) continued as a Eurocurrency Rate Loan and ending on the date one</w:t>
      </w:r>
    </w:p>
    <w:p>
      <w:pPr>
        <w:spacing w:after="0" w:line="1" w:lineRule="exact"/>
        <w:rPr>
          <w:sz w:val="20"/>
          <w:szCs w:val="20"/>
          <w:color w:val="auto"/>
        </w:rPr>
      </w:pPr>
    </w:p>
    <w:p>
      <w:pPr>
        <w:jc w:val="both"/>
        <w:spacing w:after="0" w:line="231" w:lineRule="exact"/>
        <w:rPr>
          <w:sz w:val="20"/>
          <w:szCs w:val="20"/>
          <w:color w:val="auto"/>
        </w:rPr>
      </w:pPr>
      <w:r>
        <w:rPr>
          <w:rFonts w:ascii="Arial" w:cs="Arial" w:eastAsia="Arial" w:hAnsi="Arial"/>
          <w:sz w:val="20"/>
          <w:szCs w:val="20"/>
          <w:color w:val="auto"/>
        </w:rPr>
        <w:t>(1), three (3) or six (6) months thereafter (or in the case of a Eurocurrency Rate Loan denominated in Mexican Pesos, twenty</w:t>
      </w:r>
      <w:r>
        <w:rPr>
          <w:rFonts w:ascii="MS PGothic" w:cs="MS PGothic" w:eastAsia="MS PGothic" w:hAnsi="MS PGothic"/>
          <w:sz w:val="20"/>
          <w:szCs w:val="20"/>
          <w:color w:val="auto"/>
        </w:rPr>
        <w:t>‑</w:t>
      </w:r>
      <w:r>
        <w:rPr>
          <w:rFonts w:ascii="Arial" w:cs="Arial" w:eastAsia="Arial" w:hAnsi="Arial"/>
          <w:sz w:val="20"/>
          <w:szCs w:val="20"/>
          <w:color w:val="auto"/>
        </w:rPr>
        <w:t xml:space="preserve">eight (28), ninety-one (91) or one hundred eighty two (182) days thereafter) (in each case, subject to availability for the interest rate applicable to the relevant currency), as selected by Toro in its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09" w:lineRule="exact"/>
        <w:rPr>
          <w:sz w:val="20"/>
          <w:szCs w:val="20"/>
          <w:color w:val="auto"/>
        </w:rPr>
      </w:pPr>
    </w:p>
    <w:p>
      <w:pPr>
        <w:jc w:val="both"/>
        <w:ind w:left="880" w:firstLine="789"/>
        <w:spacing w:after="0" w:line="269" w:lineRule="auto"/>
        <w:tabs>
          <w:tab w:leader="none" w:pos="2512"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Interest Period that would otherwise end on a day that is not a Business Day shall be extended to the next succeeding Business Day unless, in the case of a Eurocurrency Rate Loan, such Business Day falls in another calendar month, in which case such Interest Period shall end on the immediately preceding Business Day;</w:t>
      </w:r>
    </w:p>
    <w:p>
      <w:pPr>
        <w:spacing w:after="0" w:line="169" w:lineRule="exact"/>
        <w:rPr>
          <w:rFonts w:ascii="Arial" w:cs="Arial" w:eastAsia="Arial" w:hAnsi="Arial"/>
          <w:sz w:val="19"/>
          <w:szCs w:val="19"/>
          <w:color w:val="auto"/>
        </w:rPr>
      </w:pPr>
    </w:p>
    <w:p>
      <w:pPr>
        <w:jc w:val="both"/>
        <w:ind w:left="880" w:firstLine="789"/>
        <w:spacing w:after="0" w:line="269" w:lineRule="auto"/>
        <w:tabs>
          <w:tab w:leader="none" w:pos="2567"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Interest Period pertaining to a Eurocurrency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9" w:lineRule="exact"/>
        <w:rPr>
          <w:rFonts w:ascii="Arial" w:cs="Arial" w:eastAsia="Arial" w:hAnsi="Arial"/>
          <w:sz w:val="19"/>
          <w:szCs w:val="19"/>
          <w:color w:val="auto"/>
        </w:rPr>
      </w:pPr>
    </w:p>
    <w:p>
      <w:pPr>
        <w:ind w:left="2620" w:hanging="951"/>
        <w:spacing w:after="0"/>
        <w:tabs>
          <w:tab w:leader="none" w:pos="26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the International Standby Practices, International Chamber of Commerce Publication No. 590 (or such later version thereof as may be in effect at the applicable time).</w:t>
      </w:r>
    </w:p>
    <w:p>
      <w:pPr>
        <w:spacing w:after="0" w:line="177"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the L/C Issuer and the L/C Parties or in favor of the L/C Issuer and relating to any such Letter of Credit.</w:t>
      </w:r>
    </w:p>
    <w:p>
      <w:pPr>
        <w:spacing w:after="0" w:line="18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Venture</w:t>
      </w:r>
      <w:r>
        <w:rPr>
          <w:rFonts w:ascii="Arial" w:cs="Arial" w:eastAsia="Arial" w:hAnsi="Arial"/>
          <w:sz w:val="19"/>
          <w:szCs w:val="19"/>
          <w:color w:val="auto"/>
        </w:rPr>
        <w:t>” means a corporation, partnership, limited liability company, joint venture or other similar legal arrangement (whether created by contract or conducted through a separate legal entity) now or hereafter formed or entered into by any of the Borrowers or any of their Subsidiaries with another Person or in which the Borrowers or any of their Subsidiaries may invest in order to conduct or further a common venture or enterprise with such Person, the investment in which does not constitute an Acquisition.</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KPIs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as of any date of determination, the latest maturity date applicable to any Loans or Commitments.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 w:name="page33"/>
    <w:bookmarkEnd w:id="32"/>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4"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Advance</w:t>
      </w:r>
      <w:r>
        <w:rPr>
          <w:rFonts w:ascii="Arial" w:cs="Arial" w:eastAsia="Arial" w:hAnsi="Arial"/>
          <w:sz w:val="19"/>
          <w:szCs w:val="19"/>
          <w:color w:val="auto"/>
        </w:rPr>
        <w:t>” means, with respect to each Revolving Credit Lender, such Lender’s funding of its participation in any L/C Borrowing in accordance with its Applicable Revolving Credit Percentage. All L/C Advances shall be denominated in Dollars.</w:t>
      </w:r>
    </w:p>
    <w:p>
      <w:pPr>
        <w:spacing w:after="0" w:line="15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an extension of credit resulting from a drawing under any Letter of Credit which has not been reimbursed on the date when made or refinanced as a Revolving Credit Borrowing. All L/C Borrowings shall be denominated in Dollars, and in regards to Letters of Credit issued in an Alternative Currency, shall be the Dollar Equivalent thereof.</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w:t>
      </w:r>
      <w:r>
        <w:rPr>
          <w:rFonts w:ascii="Arial" w:cs="Arial" w:eastAsia="Arial" w:hAnsi="Arial"/>
          <w:sz w:val="20"/>
          <w:szCs w:val="20"/>
          <w:color w:val="auto"/>
        </w:rPr>
        <w:t xml:space="preserve">” means Bank of America in its capacity as issuer of Letters of Credit hereunder, or any successor issuer of Letters of Credit hereunder, in each case, with the commitments of each L/C Issuer as set forth in </w:t>
      </w:r>
      <w:r>
        <w:rPr>
          <w:rFonts w:ascii="Arial" w:cs="Arial" w:eastAsia="Arial" w:hAnsi="Arial"/>
          <w:sz w:val="20"/>
          <w:szCs w:val="20"/>
          <w:u w:val="single" w:color="auto"/>
          <w:color w:val="auto"/>
        </w:rPr>
        <w:t>Schedule 2.01</w:t>
      </w:r>
      <w:r>
        <w:rPr>
          <w:rFonts w:ascii="Arial" w:cs="Arial" w:eastAsia="Arial" w:hAnsi="Arial"/>
          <w:sz w:val="20"/>
          <w:szCs w:val="20"/>
          <w:color w:val="auto"/>
        </w:rPr>
        <w:t>.</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the aggregate amount available to be drawn under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1.08</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Parties</w:t>
      </w:r>
      <w:r>
        <w:rPr>
          <w:rFonts w:ascii="Arial" w:cs="Arial" w:eastAsia="Arial" w:hAnsi="Arial"/>
          <w:sz w:val="20"/>
          <w:szCs w:val="20"/>
          <w:color w:val="auto"/>
        </w:rPr>
        <w:t>” means, collectively, Toro and its Subsidiaries.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as the context requires, includes the Swing Line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any Lender, the office or offices of such Lender described as such in such Lender’s Administrative Questionnaire, or such other office or offices as a Lender may from time to time notify Toro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standby letter of credit issued hereunder and shall include the Existing Letters of Credit. Letters of Credit may be issued in Dollars or in an Alternative Currency.</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L/C Issuer.</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days prior to the Maturity Date then in effect (or, if such day is not a Business Day, the next preceding Business Day).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3" w:name="page34"/>
    <w:bookmarkEnd w:id="33"/>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2.03(h)</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means an amount equal to the lesser of (a) $10,000,000 and (b) the Aggregate Commitments. The Letter of Credit Sublimit is part of, and not in addition to, the Revolving Credit Facility.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7.05</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Eurocurrency Rate.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Quoted Currency</w:t>
      </w:r>
      <w:r>
        <w:rPr>
          <w:rFonts w:ascii="Arial" w:cs="Arial" w:eastAsia="Arial" w:hAnsi="Arial"/>
          <w:sz w:val="20"/>
          <w:szCs w:val="20"/>
          <w:color w:val="auto"/>
        </w:rPr>
        <w:t>” means Dollars as long as there is a published LIBOR rate with respect thereto.</w:t>
      </w:r>
    </w:p>
    <w:p>
      <w:pPr>
        <w:spacing w:after="0" w:line="21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Conditionality Acquisition</w:t>
      </w:r>
      <w:r>
        <w:rPr>
          <w:rFonts w:ascii="Arial" w:cs="Arial" w:eastAsia="Arial" w:hAnsi="Arial"/>
          <w:sz w:val="20"/>
          <w:szCs w:val="20"/>
          <w:color w:val="auto"/>
        </w:rPr>
        <w:t>” means any Acquisition that (a) is not prohibited hereunder, (b) is financed in whole or in part with a substantially concurrent incurrence of Indebtedness, and (c) is not conditioned on the availability of, or on obtaining, third-party financing.</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an extension of credit by a Lender to a Borrower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Term Loan, a Revolving Credit Loan or a Swing Line Loan.</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means this Agreement, each Designated Borrower Request and Assumption Agreement, each Note, each Issuer Document, any agreement creating or perfecting rights in Cash Collateral pursuant to the provisions of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of this Agreement and the Fee Letters.</w:t>
      </w:r>
    </w:p>
    <w:p>
      <w:pPr>
        <w:spacing w:after="0" w:line="18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Notice</w:t>
      </w:r>
      <w:r>
        <w:rPr>
          <w:rFonts w:ascii="Arial" w:cs="Arial" w:eastAsia="Arial" w:hAnsi="Arial"/>
          <w:sz w:val="19"/>
          <w:szCs w:val="19"/>
          <w:color w:val="auto"/>
        </w:rPr>
        <w:t xml:space="preserve">” means a notice of (a) Borrowing, (b) a conversion of Loans from one Type to the other, or (c) a continuation of Eurocurrency Rate Loans,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shall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Toro.</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Toro and each Subsidiary Borrower.</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means “margin stock” as such term is defined in Regulation T, U or X of the FRB.</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 a material impairment of the ability of any Loan Party to perform its obligations under any Loan Document to which it is a party, (b) a material adverse effect upon the legality, validity, binding effect or enforceability against any Loan Party of any Loan Document to which it is a party, or (c) solely with respect to the provisions of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and the representations and warranties to be made on the Closing Date, a material adverse change in, or a material adverse effect on, the operations, business, assets, or condition (financial or otherwise) of Toro or Toro and its Subsidiaries, taken as a whole.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4" w:name="page35"/>
    <w:bookmarkEnd w:id="34"/>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Disposition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1.03(e)</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xml:space="preserve">” means, at any time of determination, any Subsidiary having at such time either (a) 10% or more of the net book value of the consolidated total assets of Toro and its Subsidiaries as of the last day of the preceding fiscal quarter or (b) 5% or more of the consolidated total (gross) revenues of Toro and its Subsidiaries for the preceding four fiscal quarter period, in each case, based upon Toro’s most recent annual or quarterly financial statements delivered to the Lenders under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7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October 5, 2026;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each case, if such date is not a Business Day, the Maturity Date shall be the next preceding Business Day.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Mexican Peso</w:t>
      </w:r>
      <w:r>
        <w:rPr>
          <w:rFonts w:ascii="Arial" w:cs="Arial" w:eastAsia="Arial" w:hAnsi="Arial"/>
          <w:sz w:val="20"/>
          <w:szCs w:val="20"/>
          <w:color w:val="auto"/>
        </w:rPr>
        <w:t>” means the lawful currency of Mexico.</w:t>
      </w:r>
    </w:p>
    <w:p>
      <w:pPr>
        <w:spacing w:after="0" w:line="21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Collateral Amount</w:t>
      </w:r>
      <w:r>
        <w:rPr>
          <w:rFonts w:ascii="Arial" w:cs="Arial" w:eastAsia="Arial" w:hAnsi="Arial"/>
          <w:sz w:val="19"/>
          <w:szCs w:val="19"/>
          <w:color w:val="auto"/>
        </w:rPr>
        <w:t xml:space="preserve">” means, at any time, (a) with respect to Cash Collateral consisting of cash or deposit account balances provided to reduce or eliminate Fronting Exposure during the existence of a Defaulting Lender that is a Lender, an amount equal to 105% of the Fronting Exposure of the L/C Issuer with respect to Letters of Credit issued and outstanding at such time, (b) with respect to Cash Collateral consisting of cash or deposit account balances provided in accordance with the provisions of </w:t>
      </w:r>
      <w:r>
        <w:rPr>
          <w:rFonts w:ascii="Arial" w:cs="Arial" w:eastAsia="Arial" w:hAnsi="Arial"/>
          <w:sz w:val="19"/>
          <w:szCs w:val="19"/>
          <w:u w:val="single" w:color="auto"/>
          <w:color w:val="auto"/>
        </w:rPr>
        <w:t>Section 2.15(a)(i)</w:t>
      </w:r>
      <w:r>
        <w:rPr>
          <w:rFonts w:ascii="Arial" w:cs="Arial" w:eastAsia="Arial" w:hAnsi="Arial"/>
          <w:sz w:val="19"/>
          <w:szCs w:val="19"/>
          <w:color w:val="auto"/>
        </w:rPr>
        <w:t xml:space="preserve">, </w:t>
      </w:r>
      <w:r>
        <w:rPr>
          <w:rFonts w:ascii="Arial" w:cs="Arial" w:eastAsia="Arial" w:hAnsi="Arial"/>
          <w:sz w:val="19"/>
          <w:szCs w:val="19"/>
          <w:u w:val="single" w:color="auto"/>
          <w:color w:val="auto"/>
        </w:rPr>
        <w:t>(a)(ii)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an amount equal to 105% of the Outstanding Amount of all L/C Obligations, and (c) otherwise, an amount determined by the Administrative Agent and the L/C Issuer in their sole discretion.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any Borrower or any ERISA Affiliate makes or is obligated to make contributions, or during the preceding five plan years, has made or been obligated to make contributions.</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any Borrower or any ERISA Affiliate) at least two of whom are not under common control, as such a plan is described in Section 4064 of ERISA.</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a Term Note or a Revolving Credit Note, as the context may require.</w:t>
      </w:r>
    </w:p>
    <w:p>
      <w:pPr>
        <w:spacing w:after="0" w:line="21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5" w:name="page36"/>
    <w:bookmarkEnd w:id="35"/>
    <w:p>
      <w:pPr>
        <w:jc w:val="both"/>
        <w:spacing w:after="0" w:line="260" w:lineRule="auto"/>
        <w:rPr>
          <w:sz w:val="20"/>
          <w:szCs w:val="20"/>
          <w:color w:val="auto"/>
        </w:rPr>
      </w:pPr>
      <w:r>
        <w:rPr>
          <w:rFonts w:ascii="Arial" w:cs="Arial" w:eastAsia="Arial" w:hAnsi="Arial"/>
          <w:sz w:val="19"/>
          <w:szCs w:val="19"/>
          <w:color w:val="auto"/>
        </w:rPr>
        <w:t>or organization and operating or limited liability company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Originators</w:t>
      </w:r>
      <w:r>
        <w:rPr>
          <w:rFonts w:ascii="Arial" w:cs="Arial" w:eastAsia="Arial" w:hAnsi="Arial"/>
          <w:sz w:val="20"/>
          <w:szCs w:val="20"/>
          <w:color w:val="auto"/>
        </w:rPr>
        <w:t>” means any Borrower and/or any of its domestic Wholly-Owned Subsidiaries in their respective capacities as parties to any documents related to any Receivables Purchase Facility, as sellers or transferors of any Receivables and related security in connection with a Permitted Receivables Transfer.</w:t>
      </w:r>
    </w:p>
    <w:p>
      <w:pPr>
        <w:spacing w:after="0" w:line="18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4"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Rate Early Opt-in</w:t>
      </w:r>
      <w:r>
        <w:rPr>
          <w:rFonts w:ascii="Arial" w:cs="Arial" w:eastAsia="Arial" w:hAnsi="Arial"/>
          <w:sz w:val="20"/>
          <w:szCs w:val="20"/>
          <w:color w:val="auto"/>
        </w:rPr>
        <w:t xml:space="preserve">” means the Administrative Agent and Toro have elected to replace LIBOR with a Benchmark Replacement other than a SOFR-based rate pursuant to (a) an Early Opt-in Election and (b) </w:t>
      </w:r>
      <w:r>
        <w:rPr>
          <w:rFonts w:ascii="Arial" w:cs="Arial" w:eastAsia="Arial" w:hAnsi="Arial"/>
          <w:sz w:val="20"/>
          <w:szCs w:val="20"/>
          <w:u w:val="single" w:color="auto"/>
          <w:color w:val="auto"/>
        </w:rPr>
        <w:t>Section 3.03(c)(ii)(y)</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clause (2)</w:t>
      </w:r>
      <w:r>
        <w:rPr>
          <w:rFonts w:ascii="Arial" w:cs="Arial" w:eastAsia="Arial" w:hAnsi="Arial"/>
          <w:sz w:val="20"/>
          <w:szCs w:val="20"/>
          <w:color w:val="auto"/>
        </w:rPr>
        <w:t xml:space="preserve"> of the definition of “Benchmark Replacement”.</w:t>
      </w:r>
    </w:p>
    <w:p>
      <w:pPr>
        <w:spacing w:after="0" w:line="18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w:t>
      </w:r>
    </w:p>
    <w:p>
      <w:pPr>
        <w:spacing w:after="0" w:line="17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Term Loans, Revolving Credit Loans and Swing Line Loans on any date, the Dollar Equivalent of the aggregate outstanding principal amount thereof after giving effect to any borrowings and prepayments or repayments of Term Loans, Revolving Credit Loans and Swing Line Loans, as the case may be, occurring on such date; and (b) with respect to any L/C Obligations on any date, the Dollar Equivalent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78"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an overnight rate determined by the Administrative Agent in accordance with banking industry rules on interbank compensation.</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6" w:name="page37"/>
    <w:bookmarkEnd w:id="36"/>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any member state of the European Union that has the Euro as its lawful currency in accordance with legislation of the European Union relating to Economic and Monetary Union.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any Borrower or any ERISA Affiliate and is either covered by Title IV of ERISA or is subject to the minimum funding standards under Section 412 of the Code.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Transfer</w:t>
      </w:r>
      <w:r>
        <w:rPr>
          <w:rFonts w:ascii="Arial" w:cs="Arial" w:eastAsia="Arial" w:hAnsi="Arial"/>
          <w:sz w:val="18"/>
          <w:szCs w:val="18"/>
          <w:color w:val="auto"/>
        </w:rPr>
        <w:t xml:space="preserve">” means (a) a sale or other transfer by an Originator to an SPV of Receivables for fair market value and without recourse (except for limited recourse typical of such structured finance transactions), and/or (b) a sale or other transfer by an SPV to (a) purchasers of or other investors in such Receivables and related security or (b) any other Person (including an SPV) in a transaction in which purchasers or other investors purchase or are otherwise transferred such Receivables and related security, in the case of either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pursuant to and in accordance with the terms of the documents related to any Receivables Purchase Facility.</w:t>
      </w:r>
    </w:p>
    <w:p>
      <w:pPr>
        <w:spacing w:after="0" w:line="16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Swap Obligation</w:t>
      </w:r>
      <w:r>
        <w:rPr>
          <w:rFonts w:ascii="Arial" w:cs="Arial" w:eastAsia="Arial" w:hAnsi="Arial"/>
          <w:sz w:val="20"/>
          <w:szCs w:val="20"/>
          <w:color w:val="auto"/>
        </w:rPr>
        <w:t xml:space="preserve">” means all obligations (contingent or otherwise) of any Borrower or any Subsidiary existing or arising under Swap Contracts,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any provision (“walk-away” provision) exonerating the non-defaulting party from its obligation to make payments on outstanding transactions to the defaulting party.</w:t>
      </w:r>
    </w:p>
    <w:p>
      <w:pPr>
        <w:spacing w:after="0" w:line="19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any Borrower or any ERISA Affiliate or any such Plan to which any Borrower or any ERISA Affiliate is required to contribute on behalf of any of its employees.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7" w:name="page38"/>
    <w:bookmarkEnd w:id="37"/>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Rate Determination Date</w:t>
      </w:r>
      <w:r>
        <w:rPr>
          <w:rFonts w:ascii="Arial" w:cs="Arial" w:eastAsia="Arial" w:hAnsi="Arial"/>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such other day as otherwise reasonably determined by the Administrative Agent).</w:t>
      </w:r>
    </w:p>
    <w:p>
      <w:pPr>
        <w:spacing w:after="0" w:line="191"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w:t>
      </w:r>
      <w:r>
        <w:rPr>
          <w:rFonts w:ascii="Arial" w:cs="Arial" w:eastAsia="Arial" w:hAnsi="Arial"/>
          <w:sz w:val="20"/>
          <w:szCs w:val="20"/>
          <w:color w:val="auto"/>
        </w:rPr>
        <w:t>” shall mean,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pacing w:after="0" w:line="19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Purchase Facility</w:t>
      </w:r>
      <w:r>
        <w:rPr>
          <w:rFonts w:ascii="Arial" w:cs="Arial" w:eastAsia="Arial" w:hAnsi="Arial"/>
          <w:sz w:val="20"/>
          <w:szCs w:val="20"/>
          <w:color w:val="auto"/>
        </w:rPr>
        <w:t>” shall mean any agreement of any Originator, approved by the Administrative Agent (such approval not to be unreasonably withheld), providing for sales, transfers or 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19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the L/C Issuer or any other recipient of any payment to be made by or on account of any obligation of any Loan Party hereunder.</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Records</w:t>
      </w:r>
      <w:r>
        <w:rPr>
          <w:rFonts w:ascii="Arial" w:cs="Arial" w:eastAsia="Arial" w:hAnsi="Arial"/>
          <w:sz w:val="20"/>
          <w:szCs w:val="20"/>
          <w:color w:val="auto"/>
        </w:rPr>
        <w:t>” means, for any Receivable, all contracts, books, records and other documents or information (including computer programs, tapes, disks, software and related property and rights) relating to such Receivable or the related obligor.</w:t>
      </w:r>
    </w:p>
    <w:p>
      <w:pPr>
        <w:spacing w:after="0" w:line="17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 Iron</w:t>
      </w:r>
      <w:r>
        <w:rPr>
          <w:rFonts w:ascii="Arial" w:cs="Arial" w:eastAsia="Arial" w:hAnsi="Arial"/>
          <w:sz w:val="20"/>
          <w:szCs w:val="20"/>
          <w:color w:val="auto"/>
        </w:rPr>
        <w:t>” means Red Iron Acceptance, LLC, a Delaware limited liability company. For avoidance of doubt, for so long as Red Iron is governed by the Red Iron LLC Agreement as in effect on the Closing Date, except for amendments that do not change the ownership interests of its members or materially change the overall management structure of Red Iron in a manner that would cause Red Iron to be considered a Subsidiary of Toro, any obligations of Red Iron shall not be considered an obligation of Toro or Red Iron Holding Corporation, a Delaware corporation.</w:t>
      </w:r>
    </w:p>
    <w:p>
      <w:pPr>
        <w:spacing w:after="0" w:line="19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 Iron LLC Agreement</w:t>
      </w:r>
      <w:r>
        <w:rPr>
          <w:rFonts w:ascii="Arial" w:cs="Arial" w:eastAsia="Arial" w:hAnsi="Arial"/>
          <w:sz w:val="20"/>
          <w:szCs w:val="20"/>
          <w:color w:val="auto"/>
        </w:rPr>
        <w:t>” means that certain limited liability company agreement of Red Iron Acceptance, LLC, dated as of August 12, 2009, by and among Red Iron Holding Corporation, a Delaware corporation and a Subsidiary of Toro, and TCFIF Joint Venture I, LLC, a Minnesota limited liability company, as amended prior to the date hereof.</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 Iron/TCF Repurchase Obligations</w:t>
      </w:r>
      <w:r>
        <w:rPr>
          <w:rFonts w:ascii="Arial" w:cs="Arial" w:eastAsia="Arial" w:hAnsi="Arial"/>
          <w:sz w:val="20"/>
          <w:szCs w:val="20"/>
          <w:color w:val="auto"/>
        </w:rPr>
        <w:t>” has the meaning specified in the definition of “Indebtedness”.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11.06(c)</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8" w:name="page39"/>
    <w:bookmarkEnd w:id="38"/>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and advisors of such Person and of such Person’s Affiliates.</w:t>
      </w:r>
    </w:p>
    <w:p>
      <w:pPr>
        <w:spacing w:after="0" w:line="17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(a) with respect to Loans denominated in Dollars, the Federal Reserve Board and/or the Federal Reserve Bank of New York, or a committee officially endorsed or convened by the Federal Reserve Board and/or the Federal Reserve Bank of New York, (b) with respect to Loans denominated in Sterling, the Bank of England, or a committee officially endorsed or convened by the Bank of England or, in each case, any successor thereto, (c) with respect to Loans denominated in Euros, the European Central Bank, or a committee officially endorsed or convened by the European Central Bank or, in each case, any successor thereto, (d) with respect to Loans denominated in Canadian Dollars, the Bank of Canada, or a committee officially endorsed or convened by the Bank of Canada or, in each case, any successor thereto, (e) with respect to Loans denominated in Australian Dollars, the Reserve Bank of Australia, or a committee officially endorsed or convened by the Reserve Bank of Australia or, in each case, any successor thereto, (f) with respect to Loans denominated in Mexican Pesos, the Banco de México, or a committee officially endorsed or convened by the Banco de México or, in each case, any successor thereto and (g) with respect to Loans denominated in any other Applicable Currency, (i) the central bank for the currency in which such Loan is denominated or any central bank or other supervisor which is responsible for supervising either (x) such Successor Rate or (y) the administrator of such Successor Rate or (ii) any working group or committee officially endorsed or convened by</w:t>
      </w:r>
    </w:p>
    <w:p>
      <w:pPr>
        <w:spacing w:after="0" w:line="7" w:lineRule="exact"/>
        <w:rPr>
          <w:sz w:val="20"/>
          <w:szCs w:val="20"/>
          <w:color w:val="auto"/>
        </w:rPr>
      </w:pPr>
    </w:p>
    <w:p>
      <w:pPr>
        <w:jc w:val="both"/>
        <w:ind w:firstLine="8"/>
        <w:spacing w:after="0" w:line="241" w:lineRule="auto"/>
        <w:tabs>
          <w:tab w:leader="none" w:pos="366"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central bank for the currency in which such Successor Rate is denominated, (x) any central bank or other supervisor that is responsible for supervising either (A) such Successor Rate or (B) the administrator of such Successor Rate, (y) a group of those central banks or other supervisors or (z) the Financial Stability Board or any part thereof.</w:t>
      </w:r>
    </w:p>
    <w:p>
      <w:pPr>
        <w:spacing w:after="0" w:line="196"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Rate</w:t>
      </w:r>
      <w:r>
        <w:rPr>
          <w:rFonts w:ascii="Arial" w:cs="Arial" w:eastAsia="Arial" w:hAnsi="Arial"/>
          <w:sz w:val="20"/>
          <w:szCs w:val="20"/>
          <w:color w:val="auto"/>
        </w:rPr>
        <w:t>” means with respect to any Credit Extension denominated in (a) Sterling, SONIA, (b) Canadian Dollars, CDOR, (c) Euros, EURIBOR, (d) Australian Dollars, BBSY, (e) Mexican Pesos, TIIE, as applicable.</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30 day notice period has been waived.</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8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the L/C Issuer, as the case may be, in making such determination.</w:t>
      </w:r>
    </w:p>
    <w:p>
      <w:pPr>
        <w:spacing w:after="0" w:line="19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Revolving Lenders</w:t>
      </w:r>
      <w:r>
        <w:rPr>
          <w:rFonts w:ascii="Arial" w:cs="Arial" w:eastAsia="Arial" w:hAnsi="Arial"/>
          <w:sz w:val="20"/>
          <w:szCs w:val="20"/>
          <w:color w:val="auto"/>
        </w:rPr>
        <w:t xml:space="preserve">” means, as of any date of determination, at least two Revolving Credit Lenders holding more than 50% of the sum of the (a) 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unused Revolving Credit Commitment of, and the portion of the Total Revolving Credit Outstandings held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9" w:name="page40"/>
    <w:bookmarkEnd w:id="39"/>
    <w:p>
      <w:pPr>
        <w:spacing w:after="0"/>
        <w:rPr>
          <w:sz w:val="20"/>
          <w:szCs w:val="20"/>
          <w:color w:val="auto"/>
        </w:rPr>
      </w:pPr>
      <w:r>
        <w:rPr>
          <w:rFonts w:ascii="Arial" w:cs="Arial" w:eastAsia="Arial" w:hAnsi="Arial"/>
          <w:sz w:val="19"/>
          <w:szCs w:val="19"/>
          <w:color w:val="auto"/>
        </w:rPr>
        <w:t>deemed held by, any Defaulting Lender shall be excluded for purposes of making a determination of Required Revolving Lenders.</w:t>
      </w:r>
    </w:p>
    <w:p>
      <w:pPr>
        <w:spacing w:after="0" w:line="22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Term Lenders</w:t>
      </w:r>
      <w:r>
        <w:rPr>
          <w:rFonts w:ascii="Arial" w:cs="Arial" w:eastAsia="Arial" w:hAnsi="Arial"/>
          <w:sz w:val="20"/>
          <w:szCs w:val="20"/>
          <w:color w:val="auto"/>
        </w:rPr>
        <w:t xml:space="preserve"> ” means, as of any date of determination, at least two Term Lenders holding more than 50% of the Term Facility on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portion of the Term Facility held by any Defaulting Lender shall be excluded for purposes of making a determination of Required Term Lenders.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Rescindable Amount</w:t>
      </w:r>
      <w:r>
        <w:rPr>
          <w:rFonts w:ascii="Arial" w:cs="Arial" w:eastAsia="Arial" w:hAnsi="Arial"/>
          <w:sz w:val="20"/>
          <w:szCs w:val="20"/>
          <w:color w:val="auto"/>
        </w:rPr>
        <w:t xml:space="preserve">” has the meaning as defined in </w:t>
      </w:r>
      <w:r>
        <w:rPr>
          <w:rFonts w:ascii="Arial" w:cs="Arial" w:eastAsia="Arial" w:hAnsi="Arial"/>
          <w:sz w:val="20"/>
          <w:szCs w:val="20"/>
          <w:u w:val="single" w:color="auto"/>
          <w:color w:val="auto"/>
        </w:rPr>
        <w:t>Section 2.12(b)(ii)</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Resolution Authority</w:t>
      </w:r>
      <w:r>
        <w:rPr>
          <w:rFonts w:ascii="Arial" w:cs="Arial" w:eastAsia="Arial" w:hAnsi="Arial"/>
          <w:sz w:val="19"/>
          <w:szCs w:val="19"/>
          <w:color w:val="auto"/>
        </w:rPr>
        <w:t>” means an EEA Resolution Authority or, with respect to any UK Financial Institution, a UK Resolution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Authority.</w:t>
      </w:r>
    </w:p>
    <w:p>
      <w:pPr>
        <w:spacing w:after="0" w:line="20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(a) the secretary, treasurer or assistant treasurer of a Loan Party, with respect to Toro Luxembourg, any manager (gérant) of Toro Luxembourg duly authorized for the purposes thereof or any authorized signatory duly appointed for the purpose therefor, and any other officer having substantially the same authority and responsibility; (b) with respect to compliance with the financial covenant, the chief financial officer, corporate controller, the treasurer or assistant treasurer of a Loan Party, or any other officer having substantially the same authority and responsibility; or (c) and,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the assistant treasurer or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Restatement</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and (iii) 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the L/C Issuer under any Letter of Credit denominated in an Alternative Currency, (iv) in the case of all Existing Letters of Credit denominated in Alternative Currencies, the Closing Date, and (v) such additional dates as the Administrative Agent or the L/C Issuer shall determine or the Required Lenders shall require.</w:t>
      </w:r>
    </w:p>
    <w:p>
      <w:pPr>
        <w:spacing w:after="0" w:line="16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Borrowing</w:t>
      </w:r>
      <w:r>
        <w:rPr>
          <w:rFonts w:ascii="Arial" w:cs="Arial" w:eastAsia="Arial" w:hAnsi="Arial"/>
          <w:sz w:val="20"/>
          <w:szCs w:val="20"/>
          <w:color w:val="auto"/>
        </w:rPr>
        <w:t xml:space="preserve">” means a borrowing consisting of simultaneous Revolving Credit Loans of the same Type and, in the case of Eurocurrency Rate Loans or Alternative Currency Term Rate Loans, having the same Interest Period made by each of the Revolving Credit Lenders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Commitment</w:t>
      </w:r>
      <w:r>
        <w:rPr>
          <w:rFonts w:ascii="Arial" w:cs="Arial" w:eastAsia="Arial" w:hAnsi="Arial"/>
          <w:sz w:val="20"/>
          <w:szCs w:val="20"/>
          <w:color w:val="auto"/>
        </w:rPr>
        <w:t xml:space="preserve">” means, as to each Revolving Credit Lender, its obligation to (a) make Revolving Credit Loans to the Borrowers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 (b) purchase participations in L/C Obligations, and (c) purchase participations in Swing Line Loans, in an aggregate principal amount 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9"/>
          <w:szCs w:val="19"/>
          <w:color w:val="auto"/>
        </w:rPr>
        <w:t xml:space="preserve">any one time outstanding not to exceed the amount set forth opposite such Lender’s name on </w:t>
      </w:r>
      <w:r>
        <w:rPr>
          <w:rFonts w:ascii="Arial" w:cs="Arial" w:eastAsia="Arial" w:hAnsi="Arial"/>
          <w:sz w:val="19"/>
          <w:szCs w:val="19"/>
          <w:u w:val="single" w:color="auto"/>
          <w:color w:val="auto"/>
        </w:rPr>
        <w:t>Schedule 2.01A</w:t>
      </w:r>
      <w:r>
        <w:rPr>
          <w:rFonts w:ascii="Arial" w:cs="Arial" w:eastAsia="Arial" w:hAnsi="Arial"/>
          <w:sz w:val="19"/>
          <w:szCs w:val="19"/>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7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Exposure</w:t>
      </w:r>
      <w:r>
        <w:rPr>
          <w:rFonts w:ascii="Arial" w:cs="Arial" w:eastAsia="Arial" w:hAnsi="Arial"/>
          <w:sz w:val="20"/>
          <w:szCs w:val="20"/>
          <w:color w:val="auto"/>
        </w:rPr>
        <w:t>” means, as to any Lender at any time, the aggregate principal amount at such time of its outstanding Revolving Credit Loans and such Lender’s participation in L/C Obligations and Swing Line Loans at such time.</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w:t>
      </w:r>
      <w:r>
        <w:rPr>
          <w:rFonts w:ascii="Arial" w:cs="Arial" w:eastAsia="Arial" w:hAnsi="Arial"/>
          <w:sz w:val="20"/>
          <w:szCs w:val="20"/>
          <w:color w:val="auto"/>
        </w:rPr>
        <w:t>” means, at any time, the aggregate amount of the Revolving Credit Lenders’ Revolving Credit Commitments at such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Lender</w:t>
      </w:r>
      <w:r>
        <w:rPr>
          <w:rFonts w:ascii="Arial" w:cs="Arial" w:eastAsia="Arial" w:hAnsi="Arial"/>
          <w:sz w:val="20"/>
          <w:szCs w:val="20"/>
          <w:color w:val="auto"/>
        </w:rPr>
        <w:t>” means, at any time, any Lender that has a Revolving Credit Commitment at such time.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Note</w:t>
      </w:r>
      <w:r>
        <w:rPr>
          <w:rFonts w:ascii="Arial" w:cs="Arial" w:eastAsia="Arial" w:hAnsi="Arial"/>
          <w:sz w:val="20"/>
          <w:szCs w:val="20"/>
          <w:color w:val="auto"/>
        </w:rPr>
        <w:t xml:space="preserve">” means a promissory note made by the Borrowers in favor of a Revolving Credit Lender evidencing Revolving Credit Loans or Swing Line Loans, as the case may be, made by such Revolving Credit Lender, substantially in the form of </w:t>
      </w:r>
      <w:r>
        <w:rPr>
          <w:rFonts w:ascii="Arial" w:cs="Arial" w:eastAsia="Arial" w:hAnsi="Arial"/>
          <w:sz w:val="20"/>
          <w:szCs w:val="20"/>
          <w:u w:val="single" w:color="auto"/>
          <w:color w:val="auto"/>
        </w:rPr>
        <w:t>Exhibit C-1</w:t>
      </w:r>
      <w:r>
        <w:rPr>
          <w:rFonts w:ascii="Arial" w:cs="Arial" w:eastAsia="Arial" w:hAnsi="Arial"/>
          <w:sz w:val="20"/>
          <w:szCs w:val="20"/>
          <w:color w:val="auto"/>
        </w:rPr>
        <w: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right="20" w:firstLine="864"/>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4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3.03(e)</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or any Governmental Authority succeeding to any of its principal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functions.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has the meaning assigned to that term in the definition of “Daily Simple SOFR”.</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Early Opt-in</w:t>
      </w:r>
      <w:r>
        <w:rPr>
          <w:rFonts w:ascii="Arial" w:cs="Arial" w:eastAsia="Arial" w:hAnsi="Arial"/>
          <w:sz w:val="20"/>
          <w:szCs w:val="20"/>
          <w:color w:val="auto"/>
        </w:rPr>
        <w:t xml:space="preserve">” means the Administrative Agent and Toro have elected to replace LIBOR pursuant to (a) an Early Opt-in Election and (b) </w:t>
      </w:r>
      <w:r>
        <w:rPr>
          <w:rFonts w:ascii="Arial" w:cs="Arial" w:eastAsia="Arial" w:hAnsi="Arial"/>
          <w:sz w:val="20"/>
          <w:szCs w:val="20"/>
          <w:u w:val="single" w:color="auto"/>
          <w:color w:val="auto"/>
        </w:rPr>
        <w:t>Section 3.03(c)(i)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clause (1)</w:t>
      </w:r>
      <w:r>
        <w:rPr>
          <w:rFonts w:ascii="Arial" w:cs="Arial" w:eastAsia="Arial" w:hAnsi="Arial"/>
          <w:sz w:val="20"/>
          <w:szCs w:val="20"/>
          <w:color w:val="auto"/>
        </w:rPr>
        <w:t xml:space="preserve"> of the definition of “Benchmark Replacement”.</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w:t>
      </w:r>
      <w:r>
        <w:rPr>
          <w:rFonts w:ascii="Arial" w:cs="Arial" w:eastAsia="Arial" w:hAnsi="Arial"/>
          <w:sz w:val="20"/>
          <w:szCs w:val="20"/>
          <w:color w:val="auto"/>
        </w:rPr>
        <w:t>” means, for each day any Alternative Currency Daily Rate Loan denominated in Sterling is outstanding, the Sterling Overnight Index Average Reference Rate as published on the applicable Reuters screen page (or such other commercially available source providing such quotations as may be designated by the Administrative Agent from time to time) for the SONIA Determination Date with respect to such day.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1" w:name="page42"/>
    <w:bookmarkEnd w:id="41"/>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Adjustment</w:t>
      </w:r>
      <w:r>
        <w:rPr>
          <w:rFonts w:ascii="Arial" w:cs="Arial" w:eastAsia="Arial" w:hAnsi="Arial"/>
          <w:sz w:val="20"/>
          <w:szCs w:val="20"/>
          <w:color w:val="auto"/>
        </w:rPr>
        <w:t>” means, with respect to SONIA, 0.0326% per annum.</w:t>
      </w:r>
    </w:p>
    <w:p>
      <w:pPr>
        <w:spacing w:after="0" w:line="21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Determination Date</w:t>
      </w:r>
      <w:r>
        <w:rPr>
          <w:rFonts w:ascii="Arial" w:cs="Arial" w:eastAsia="Arial" w:hAnsi="Arial"/>
          <w:sz w:val="20"/>
          <w:szCs w:val="20"/>
          <w:color w:val="auto"/>
        </w:rPr>
        <w:t>” means, with respect to any date of determination of SONIA for an Alternative Currency Daily Rate Loan denominated in Sterling, the date that is five (5) Business Days prior to such date (or, if such day is not a Business Day, on the first Business Day immediately prior thereto).</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77"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L/C Issuer may use such spot rate quoted on the date as of which the foreign exchange computation is made in the case of any Letter of Credit denominated in an Alternative Currency.</w:t>
      </w:r>
    </w:p>
    <w:p>
      <w:pPr>
        <w:spacing w:after="0" w:line="168"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SPV</w:t>
      </w:r>
      <w:r>
        <w:rPr>
          <w:rFonts w:ascii="Arial" w:cs="Arial" w:eastAsia="Arial" w:hAnsi="Arial"/>
          <w:sz w:val="20"/>
          <w:szCs w:val="20"/>
          <w:color w:val="auto"/>
        </w:rPr>
        <w:t>” means any special purpose entity established for the purpose of purchasing receivables in connection with a Receivables Purchase Facility.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means the lawful currency of the United Kingdom.</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Toro.</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Borrowers</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3.03(e)</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Surety Instruments</w:t>
      </w:r>
      <w:r>
        <w:rPr>
          <w:rFonts w:ascii="Arial" w:cs="Arial" w:eastAsia="Arial" w:hAnsi="Arial"/>
          <w:sz w:val="19"/>
          <w:szCs w:val="19"/>
          <w:color w:val="auto"/>
        </w:rPr>
        <w:t>” means all standby letters of credit, banker’s acceptances and bank guaranties not attributable to the purchase of supplies and inventory in the ordinary course of business and shipside bonds, surety bonds and similar instruments.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Coordinator</w:t>
      </w:r>
      <w:r>
        <w:rPr>
          <w:rFonts w:ascii="Arial" w:cs="Arial" w:eastAsia="Arial" w:hAnsi="Arial"/>
          <w:sz w:val="20"/>
          <w:szCs w:val="20"/>
          <w:color w:val="auto"/>
        </w:rPr>
        <w:t>” means BofA Securities, Inc., in its capacity as the sustainability coordinator.</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Linked Loan Principles</w:t>
      </w:r>
      <w:r>
        <w:rPr>
          <w:rFonts w:ascii="Arial" w:cs="Arial" w:eastAsia="Arial" w:hAnsi="Arial"/>
          <w:sz w:val="20"/>
          <w:szCs w:val="20"/>
          <w:color w:val="auto"/>
        </w:rPr>
        <w:t>” means the Sustainability Linked Loan Principles as most recently published by the Loan Market Association and Loan Syndications &amp; Trading Association.</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Contract</w:t>
      </w:r>
      <w:r>
        <w:rPr>
          <w:rFonts w:ascii="Arial" w:cs="Arial" w:eastAsia="Arial" w:hAnsi="Arial"/>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9"/>
          <w:szCs w:val="19"/>
          <w:color w:val="auto"/>
        </w:rPr>
        <w:t>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8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Termination Value</w:t>
      </w:r>
      <w:r>
        <w:rPr>
          <w:rFonts w:ascii="Arial" w:cs="Arial" w:eastAsia="Arial" w:hAnsi="Arial"/>
          <w:sz w:val="19"/>
          <w:szCs w:val="19"/>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9"/>
          <w:szCs w:val="19"/>
          <w:u w:val="single" w:color="auto"/>
          <w:color w:val="auto"/>
        </w:rPr>
        <w:t>clause (a)</w:t>
      </w:r>
      <w:r>
        <w:rPr>
          <w:rFonts w:ascii="Arial" w:cs="Arial" w:eastAsia="Arial" w:hAnsi="Arial"/>
          <w:sz w:val="19"/>
          <w:szCs w:val="19"/>
          <w:color w:val="auto"/>
        </w:rPr>
        <w:t>, the amount(s) determined as the mark-to-market value(s) for such Swap Contracts in accordance with their terms, as determined based upon one or more mid-market or other readily available quotations provided by any recognized dealer in such Swap Contracts (which may include a Lender or any Affiliate of a Lender).</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w:t>
      </w:r>
      <w:r>
        <w:rPr>
          <w:rFonts w:ascii="Arial" w:cs="Arial" w:eastAsia="Arial" w:hAnsi="Arial"/>
          <w:sz w:val="20"/>
          <w:szCs w:val="20"/>
          <w:color w:val="auto"/>
        </w:rPr>
        <w:t xml:space="preserve">” means the swing line facility made available by the Swing Line Lender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Lender</w:t>
      </w:r>
      <w:r>
        <w:rPr>
          <w:rFonts w:ascii="Arial" w:cs="Arial" w:eastAsia="Arial" w:hAnsi="Arial"/>
          <w:sz w:val="20"/>
          <w:szCs w:val="20"/>
          <w:color w:val="auto"/>
        </w:rPr>
        <w:t xml:space="preserve">” means Bank of America in its capacity as provider of Swing Line Loans, or any successor swing line lender hereunder, with the commitments of each Swing Line Lender as set forth in </w:t>
      </w:r>
      <w:r>
        <w:rPr>
          <w:rFonts w:ascii="Arial" w:cs="Arial" w:eastAsia="Arial" w:hAnsi="Arial"/>
          <w:sz w:val="20"/>
          <w:szCs w:val="20"/>
          <w:u w:val="single" w:color="auto"/>
          <w:color w:val="auto"/>
        </w:rPr>
        <w:t>Schedule 2.01</w:t>
      </w:r>
      <w:r>
        <w:rPr>
          <w:rFonts w:ascii="Arial" w:cs="Arial" w:eastAsia="Arial" w:hAnsi="Arial"/>
          <w:sz w:val="20"/>
          <w:szCs w:val="20"/>
          <w:color w:val="auto"/>
        </w:rPr>
        <w: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Toro.</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Sublimit</w:t>
      </w:r>
      <w:r>
        <w:rPr>
          <w:rFonts w:ascii="Arial" w:cs="Arial" w:eastAsia="Arial" w:hAnsi="Arial"/>
          <w:sz w:val="20"/>
          <w:szCs w:val="20"/>
          <w:color w:val="auto"/>
        </w:rPr>
        <w:t>” means an amount equal to the lesser of (a) $30,000,000 and (b) the Revolving Credit Facility. The Swing Line Sublimit is part of, and not in addition to, the Revolving Credit Facility.</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TARGET2</w:t>
      </w:r>
      <w:r>
        <w:rPr>
          <w:rFonts w:ascii="Arial" w:cs="Arial" w:eastAsia="Arial" w:hAnsi="Arial"/>
          <w:sz w:val="20"/>
          <w:szCs w:val="20"/>
          <w:color w:val="auto"/>
        </w:rPr>
        <w:t>” means the Trans-European Automated Real-time Gross Settlement Express Transfer payment system which utilizes a single shared platform and which was launched on November 19, 2007.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3" w:name="page44"/>
    <w:bookmarkEnd w:id="43"/>
    <w:p>
      <w:pPr>
        <w:jc w:val="both"/>
        <w:ind w:firstLine="864"/>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3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TCC</w:t>
      </w:r>
      <w:r>
        <w:rPr>
          <w:rFonts w:ascii="Arial" w:cs="Arial" w:eastAsia="Arial" w:hAnsi="Arial"/>
          <w:sz w:val="20"/>
          <w:szCs w:val="20"/>
          <w:color w:val="auto"/>
        </w:rPr>
        <w:t>” means Toro Credit Company, a Minnesota corporation.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TCF Canada</w:t>
      </w:r>
      <w:r>
        <w:rPr>
          <w:rFonts w:ascii="Arial" w:cs="Arial" w:eastAsia="Arial" w:hAnsi="Arial"/>
          <w:sz w:val="19"/>
          <w:szCs w:val="19"/>
          <w:color w:val="auto"/>
        </w:rPr>
        <w:t>” means TCF Commercial Finance Canada, Inc., a Canada corporation, or any of its successors or assigns.</w:t>
      </w:r>
    </w:p>
    <w:p>
      <w:pPr>
        <w:spacing w:after="0" w:line="22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Borrowing</w:t>
      </w:r>
      <w:r>
        <w:rPr>
          <w:rFonts w:ascii="Arial" w:cs="Arial" w:eastAsia="Arial" w:hAnsi="Arial"/>
          <w:sz w:val="20"/>
          <w:szCs w:val="20"/>
          <w:color w:val="auto"/>
        </w:rPr>
        <w:t xml:space="preserve">” means a borrowing consisting of simultaneous Term Loans of the same Type and, in the case of Eurocurrency Rate Loans or Alternative Currency Term Rate Loans, having the same Interest Period made by each of the Term Lenders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2.01(a)</w:t>
      </w:r>
      <w:r>
        <w:rPr>
          <w:rFonts w:ascii="Arial" w:cs="Arial" w:eastAsia="Arial" w:hAnsi="Arial"/>
          <w:sz w:val="20"/>
          <w:szCs w:val="20"/>
          <w:color w:val="auto"/>
        </w:rPr>
        <w:t>.</w:t>
      </w:r>
    </w:p>
    <w:p>
      <w:pPr>
        <w:spacing w:after="0" w:line="18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xml:space="preserve">” means, as to each Term Lender, its obligation to make Term Loans to Toro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in an aggregate principal amount at any one time outstanding not to exceed the amount set forth opposite such Term Lender’s name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2.01A</w:t>
      </w:r>
      <w:r>
        <w:rPr>
          <w:rFonts w:ascii="Arial" w:cs="Arial" w:eastAsia="Arial" w:hAnsi="Arial"/>
          <w:sz w:val="18"/>
          <w:szCs w:val="18"/>
          <w:color w:val="auto"/>
        </w:rPr>
        <w:t xml:space="preserve"> under the caption “Term Commitment” or opposite such caption in the Assignment and Assumption pursuant to which such Term Lender becomes a party hereto, as applicable, as such amount may be adjusted from time to time in accordance with this Agreement.</w:t>
      </w:r>
    </w:p>
    <w:p>
      <w:pPr>
        <w:spacing w:after="0" w:line="161"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Facility</w:t>
      </w:r>
      <w:r>
        <w:rPr>
          <w:rFonts w:ascii="Arial" w:cs="Arial" w:eastAsia="Arial" w:hAnsi="Arial"/>
          <w:sz w:val="19"/>
          <w:szCs w:val="19"/>
          <w:color w:val="auto"/>
        </w:rPr>
        <w:t>” means, at any time, (a) on or prior to the Closing Date, the aggregate amount of the Term Commitments at such time and (b) thereafter, the aggregate principal amount of the Term Loans of all Term Lenders outstanding at such time.</w:t>
      </w:r>
    </w:p>
    <w:p>
      <w:pPr>
        <w:spacing w:after="0" w:line="152"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means (a) at any time on or prior to the Closing Date, any Lender that has a Term Commitment at such time and (b) at any time after the Closing Date, any Lender that holds Term Loans at such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an advance made by any Term Lender under the Term Facility.</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Exposure</w:t>
      </w:r>
      <w:r>
        <w:rPr>
          <w:rFonts w:ascii="Arial" w:cs="Arial" w:eastAsia="Arial" w:hAnsi="Arial"/>
          <w:sz w:val="20"/>
          <w:szCs w:val="20"/>
          <w:color w:val="auto"/>
        </w:rPr>
        <w:t xml:space="preserve">” means, as to any Lender at any time, the aggregate Outstanding Amount at such time of its Term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any time prior to the making of the Term Loans, the Term Loan Exposure of any Lender shall be equal to such Lender’s Term Commitment.</w:t>
      </w:r>
    </w:p>
    <w:p>
      <w:pPr>
        <w:spacing w:after="0" w:line="186" w:lineRule="exact"/>
        <w:rPr>
          <w:sz w:val="20"/>
          <w:szCs w:val="20"/>
          <w:color w:val="auto"/>
        </w:rPr>
      </w:pPr>
    </w:p>
    <w:p>
      <w:pPr>
        <w:jc w:val="both"/>
        <w:ind w:firstLine="864"/>
        <w:spacing w:after="0" w:line="24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Note</w:t>
      </w:r>
      <w:r>
        <w:rPr>
          <w:rFonts w:ascii="Arial" w:cs="Arial" w:eastAsia="Arial" w:hAnsi="Arial"/>
          <w:sz w:val="20"/>
          <w:szCs w:val="20"/>
          <w:color w:val="auto"/>
        </w:rPr>
        <w:t xml:space="preserve">” means a promissory note made by Toro in favor of a Term Lender evidencing Term Loans made by such Term Lender, substantially in the form of </w:t>
      </w:r>
      <w:r>
        <w:rPr>
          <w:rFonts w:ascii="Arial" w:cs="Arial" w:eastAsia="Arial" w:hAnsi="Arial"/>
          <w:sz w:val="20"/>
          <w:szCs w:val="20"/>
          <w:u w:val="single" w:color="auto"/>
          <w:color w:val="auto"/>
        </w:rPr>
        <w:t>Exhibit C</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2</w:t>
      </w:r>
      <w:r>
        <w:rPr>
          <w:rFonts w:ascii="Arial" w:cs="Arial" w:eastAsia="Arial" w:hAnsi="Arial"/>
          <w:sz w:val="20"/>
          <w:szCs w:val="20"/>
          <w:color w:val="auto"/>
        </w:rPr>
        <w:t>.</w:t>
      </w:r>
    </w:p>
    <w:p>
      <w:pPr>
        <w:spacing w:after="0" w:line="19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Toro</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Toro Luxembourg</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4" w:name="page45"/>
    <w:bookmarkEnd w:id="44"/>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means, as to any Lender at any time, (a) in respect of the Revolving Credit Facility, the unused Revolving Credit Commitments and Revolving Credit Exposure of such Lender at such time, and (b) in respect of the Term Facility, the Term Loan Exposure of such Lender at such time.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Outstandings</w:t>
      </w:r>
      <w:r>
        <w:rPr>
          <w:rFonts w:ascii="Arial" w:cs="Arial" w:eastAsia="Arial" w:hAnsi="Arial"/>
          <w:sz w:val="20"/>
          <w:szCs w:val="20"/>
          <w:color w:val="auto"/>
        </w:rPr>
        <w:t>” means the aggregate Outstanding Amount of all Loans and all L/C Obligations.</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Credit Outstandings</w:t>
      </w:r>
      <w:r>
        <w:rPr>
          <w:rFonts w:ascii="Arial" w:cs="Arial" w:eastAsia="Arial" w:hAnsi="Arial"/>
          <w:sz w:val="20"/>
          <w:szCs w:val="20"/>
          <w:color w:val="auto"/>
        </w:rPr>
        <w:t>” means the aggregate Outstanding Amount of all Revolving Credit Loans, Swing Line Loans and L/C Obligations.</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an Alternative Currency Daily Rate Loan or a Eurocurrency Rate Loan.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in the State of New York.</w:t>
      </w:r>
    </w:p>
    <w:p>
      <w:pPr>
        <w:spacing w:after="0" w:line="21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Unfunded Pension Liability</w:t>
      </w:r>
      <w:r>
        <w:rPr>
          <w:rFonts w:ascii="Arial" w:cs="Arial" w:eastAsia="Arial" w:hAnsi="Arial"/>
          <w:sz w:val="20"/>
          <w:szCs w:val="20"/>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Bank Fee Letter</w:t>
      </w:r>
      <w:r>
        <w:rPr>
          <w:rFonts w:ascii="Arial" w:cs="Arial" w:eastAsia="Arial" w:hAnsi="Arial"/>
          <w:sz w:val="18"/>
          <w:szCs w:val="18"/>
          <w:color w:val="auto"/>
        </w:rPr>
        <w:t>” means that certain letter agreement, dated September 2, 2021 among Toro, Toro Luxembourg and U.S.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Bank National Association.</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3.01(e)(ii)(B)(III)</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 Fargo</w:t>
      </w:r>
      <w:r>
        <w:rPr>
          <w:rFonts w:ascii="Arial" w:cs="Arial" w:eastAsia="Arial" w:hAnsi="Arial"/>
          <w:sz w:val="20"/>
          <w:szCs w:val="20"/>
          <w:color w:val="auto"/>
        </w:rPr>
        <w:t>” means Wells Fargo Bank, National Association.</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 Fargo Fee Letter</w:t>
      </w:r>
      <w:r>
        <w:rPr>
          <w:rFonts w:ascii="Arial" w:cs="Arial" w:eastAsia="Arial" w:hAnsi="Arial"/>
          <w:sz w:val="20"/>
          <w:szCs w:val="20"/>
          <w:color w:val="auto"/>
        </w:rPr>
        <w:t>” means that certain letter agreement, dated September 2, 2021 among Toro, Toro Luxembourg, Wells Fargo and WFS.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WFS</w:t>
      </w:r>
      <w:r>
        <w:rPr>
          <w:rFonts w:ascii="Arial" w:cs="Arial" w:eastAsia="Arial" w:hAnsi="Arial"/>
          <w:sz w:val="20"/>
          <w:szCs w:val="20"/>
          <w:color w:val="auto"/>
        </w:rPr>
        <w:t>” means Wells Fargo Securities, LLC and its successors.</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Wholly-Owned Subsidiary</w:t>
      </w:r>
      <w:r>
        <w:rPr>
          <w:rFonts w:ascii="Arial" w:cs="Arial" w:eastAsia="Arial" w:hAnsi="Arial"/>
          <w:sz w:val="20"/>
          <w:szCs w:val="20"/>
          <w:color w:val="auto"/>
        </w:rPr>
        <w:t>” means any corporation, limited liability company, partnership or other business association or entity organized under the laws of the United States or other country in which Toro or any of its Subsidiaries conducts business in which (other than directors’ qualifying shares required by law) 100% of the capital stock, membership interests, partnership interests or other Equity Interests, as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5" w:name="page46"/>
    <w:bookmarkEnd w:id="45"/>
    <w:p>
      <w:pPr>
        <w:jc w:val="both"/>
        <w:spacing w:after="0" w:line="246" w:lineRule="auto"/>
        <w:rPr>
          <w:sz w:val="20"/>
          <w:szCs w:val="20"/>
          <w:color w:val="auto"/>
        </w:rPr>
      </w:pPr>
      <w:r>
        <w:rPr>
          <w:rFonts w:ascii="Arial" w:cs="Arial" w:eastAsia="Arial" w:hAnsi="Arial"/>
          <w:sz w:val="20"/>
          <w:szCs w:val="20"/>
          <w:color w:val="auto"/>
        </w:rPr>
        <w:t>applicable, of each class having ordinary voting power, and 100% of the capital stock, membership interests, partnership interests or other Equity Interests, as applicable, of every other class, in each case, at the time as of which any determination is being made, is owned, beneficially and of record, by (i) one of the Borrowers, or by one or more of the Borrowers or other Wholly-Owned Subsidiaries, or both, and (ii) directly or indirectly by Toro.</w:t>
      </w:r>
    </w:p>
    <w:p>
      <w:pPr>
        <w:spacing w:after="0" w:line="19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4"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 xml:space="preserve">1.02 Other Interpretive Provisions. </w:t>
      </w:r>
      <w:r>
        <w:rPr>
          <w:rFonts w:ascii="Arial" w:cs="Arial" w:eastAsia="Arial" w:hAnsi="Arial"/>
          <w:sz w:val="20"/>
          <w:szCs w:val="20"/>
          <w:color w:val="auto"/>
        </w:rPr>
        <w:t>With reference to this Agreement and each other Loan Document, unless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 herein or in such other Loan Document:</w:t>
      </w:r>
    </w:p>
    <w:p>
      <w:pPr>
        <w:spacing w:after="0" w:line="169" w:lineRule="exact"/>
        <w:rPr>
          <w:sz w:val="20"/>
          <w:szCs w:val="20"/>
          <w:color w:val="auto"/>
        </w:rPr>
      </w:pPr>
    </w:p>
    <w:p>
      <w:pPr>
        <w:jc w:val="both"/>
        <w:ind w:left="880" w:firstLine="812"/>
        <w:spacing w:after="0" w:line="269" w:lineRule="auto"/>
        <w:tabs>
          <w:tab w:leader="none" w:pos="25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“without limitation.”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8"/>
          <w:szCs w:val="18"/>
          <w:u w:val="single" w:color="auto"/>
          <w:color w:val="auto"/>
        </w:rPr>
        <w:t>hereto</w:t>
      </w:r>
      <w:r>
        <w:rPr>
          <w:rFonts w:ascii="Arial" w:cs="Arial" w:eastAsia="Arial" w:hAnsi="Arial"/>
          <w:sz w:val="18"/>
          <w:szCs w:val="18"/>
          <w:color w:val="auto"/>
        </w:rPr>
        <w:t>,”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76" w:lineRule="exact"/>
        <w:rPr>
          <w:rFonts w:ascii="Arial" w:cs="Arial" w:eastAsia="Arial" w:hAnsi="Arial"/>
          <w:sz w:val="18"/>
          <w:szCs w:val="18"/>
          <w:color w:val="auto"/>
        </w:rPr>
      </w:pPr>
    </w:p>
    <w:p>
      <w:pPr>
        <w:jc w:val="both"/>
        <w:ind w:left="880" w:firstLine="812"/>
        <w:spacing w:after="0" w:line="250" w:lineRule="auto"/>
        <w:tabs>
          <w:tab w:leader="none" w:pos="2579"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w:t>
      </w:r>
      <w:r>
        <w:rPr>
          <w:rFonts w:ascii="Arial" w:cs="Arial" w:eastAsia="Arial" w:hAnsi="Arial"/>
          <w:sz w:val="20"/>
          <w:szCs w:val="20"/>
          <w:u w:val="single" w:color="auto"/>
          <w:color w:val="auto"/>
        </w:rPr>
        <w:t>from</w:t>
      </w:r>
      <w:r>
        <w:rPr>
          <w:rFonts w:ascii="Arial" w:cs="Arial" w:eastAsia="Arial" w:hAnsi="Arial"/>
          <w:sz w:val="20"/>
          <w:szCs w:val="20"/>
          <w:color w:val="auto"/>
        </w:rPr>
        <w:t>” means “</w:t>
      </w:r>
      <w:r>
        <w:rPr>
          <w:rFonts w:ascii="Arial" w:cs="Arial" w:eastAsia="Arial" w:hAnsi="Arial"/>
          <w:sz w:val="20"/>
          <w:szCs w:val="20"/>
          <w:u w:val="single" w:color="auto"/>
          <w:color w:val="auto"/>
        </w:rPr>
        <w:t>from and including</w:t>
      </w:r>
      <w:r>
        <w:rPr>
          <w:rFonts w:ascii="Arial" w:cs="Arial" w:eastAsia="Arial" w:hAnsi="Arial"/>
          <w:sz w:val="20"/>
          <w:szCs w:val="20"/>
          <w:color w:val="auto"/>
        </w:rPr>
        <w:t>;” the words “</w:t>
      </w:r>
      <w:r>
        <w:rPr>
          <w:rFonts w:ascii="Arial" w:cs="Arial" w:eastAsia="Arial" w:hAnsi="Arial"/>
          <w:sz w:val="20"/>
          <w:szCs w:val="20"/>
          <w:u w:val="single" w:color="auto"/>
          <w:color w:val="auto"/>
        </w:rPr>
        <w:t>to</w:t>
      </w:r>
      <w:r>
        <w:rPr>
          <w:rFonts w:ascii="Arial" w:cs="Arial" w:eastAsia="Arial" w:hAnsi="Arial"/>
          <w:sz w:val="20"/>
          <w:szCs w:val="20"/>
          <w:color w:val="auto"/>
        </w:rPr>
        <w:t>” and “</w:t>
      </w:r>
      <w:r>
        <w:rPr>
          <w:rFonts w:ascii="Arial" w:cs="Arial" w:eastAsia="Arial" w:hAnsi="Arial"/>
          <w:sz w:val="20"/>
          <w:szCs w:val="20"/>
          <w:u w:val="single" w:color="auto"/>
          <w:color w:val="auto"/>
        </w:rPr>
        <w:t>until</w:t>
      </w:r>
      <w:r>
        <w:rPr>
          <w:rFonts w:ascii="Arial" w:cs="Arial" w:eastAsia="Arial" w:hAnsi="Arial"/>
          <w:sz w:val="20"/>
          <w:szCs w:val="20"/>
          <w:color w:val="auto"/>
        </w:rPr>
        <w:t>” each mean “</w:t>
      </w:r>
      <w:r>
        <w:rPr>
          <w:rFonts w:ascii="Arial" w:cs="Arial" w:eastAsia="Arial" w:hAnsi="Arial"/>
          <w:sz w:val="20"/>
          <w:szCs w:val="20"/>
          <w:u w:val="single" w:color="auto"/>
          <w:color w:val="auto"/>
        </w:rPr>
        <w:t>to but excluding</w:t>
      </w:r>
      <w:r>
        <w:rPr>
          <w:rFonts w:ascii="Arial" w:cs="Arial" w:eastAsia="Arial" w:hAnsi="Arial"/>
          <w:sz w:val="20"/>
          <w:szCs w:val="20"/>
          <w:color w:val="auto"/>
        </w:rPr>
        <w:t>;” and the word “</w:t>
      </w:r>
      <w:r>
        <w:rPr>
          <w:rFonts w:ascii="Arial" w:cs="Arial" w:eastAsia="Arial" w:hAnsi="Arial"/>
          <w:sz w:val="20"/>
          <w:szCs w:val="20"/>
          <w:u w:val="single" w:color="auto"/>
          <w:color w:val="auto"/>
        </w:rPr>
        <w:t>through</w:t>
      </w:r>
      <w:r>
        <w:rPr>
          <w:rFonts w:ascii="Arial" w:cs="Arial" w:eastAsia="Arial" w:hAnsi="Arial"/>
          <w:sz w:val="20"/>
          <w:szCs w:val="20"/>
          <w:color w:val="auto"/>
        </w:rPr>
        <w:t>” means “</w:t>
      </w:r>
      <w:r>
        <w:rPr>
          <w:rFonts w:ascii="Arial" w:cs="Arial" w:eastAsia="Arial" w:hAnsi="Arial"/>
          <w:sz w:val="20"/>
          <w:szCs w:val="20"/>
          <w:u w:val="single" w:color="auto"/>
          <w:color w:val="auto"/>
        </w:rPr>
        <w:t>to 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including</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880" w:firstLine="812"/>
        <w:spacing w:after="0" w:line="260" w:lineRule="auto"/>
        <w:tabs>
          <w:tab w:leader="none" w:pos="2568" w:val="left"/>
        </w:tabs>
        <w:numPr>
          <w:ilvl w:val="0"/>
          <w:numId w:val="29"/>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6" w:name="page47"/>
    <w:bookmarkEnd w:id="46"/>
    <w:p>
      <w:pPr>
        <w:jc w:val="both"/>
        <w:ind w:left="880" w:firstLine="812"/>
        <w:spacing w:after="0" w:line="276" w:lineRule="auto"/>
        <w:tabs>
          <w:tab w:leader="none" w:pos="25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5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b w:val="1"/>
          <w:bCs w:val="1"/>
          <w:color w:val="auto"/>
        </w:rPr>
        <w:t>1.03 Accounting Terms</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Generally</w:t>
      </w:r>
      <w:r>
        <w:rPr>
          <w:rFonts w:ascii="Arial" w:cs="Arial" w:eastAsia="Arial" w:hAnsi="Arial"/>
          <w:sz w:val="19"/>
          <w:szCs w:val="19"/>
          <w:color w:val="auto"/>
        </w:rPr>
        <w:t>. All accounting terms not specifically or completely defined herein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as otherwise specifically prescribed herein. Notwithstanding the foregoing, for purposes of determining compliance with any covenant (including the computation of the financial covenant) contained herein, Indebtedness of Toro and its Subsidiaries shall be deemed to be carried at 100% of the outstanding principal amount thereof, and the effects of FASB ASC 825 on financial liabilities shall be disregarded.</w:t>
      </w:r>
    </w:p>
    <w:p>
      <w:pPr>
        <w:spacing w:after="0" w:line="177" w:lineRule="exact"/>
        <w:rPr>
          <w:sz w:val="20"/>
          <w:szCs w:val="20"/>
          <w:color w:val="auto"/>
        </w:rPr>
      </w:pPr>
    </w:p>
    <w:p>
      <w:pPr>
        <w:jc w:val="both"/>
        <w:ind w:firstLine="872"/>
        <w:spacing w:after="0" w:line="255" w:lineRule="auto"/>
        <w:tabs>
          <w:tab w:leader="none" w:pos="1742"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Loan Document, and either Toro or the Required Lenders shall so request, the Administrative Agent, the Lenders and Toro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until so amended, (i) such ratio or requirement shall continue to be computed in accordance with GAAP prior to such change therein and (ii) Toro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prior to adoption and effectiveness of new accounting standards related to leases for all purposes of this Agreement, notwithstanding any change in GAAP relating thereto, unless the parties hereto shall enter into a mutually acceptable amendment negotiated in good faith addressing such changes, as provided for above.</w:t>
      </w:r>
    </w:p>
    <w:p>
      <w:pPr>
        <w:spacing w:after="0" w:line="186" w:lineRule="exact"/>
        <w:rPr>
          <w:rFonts w:ascii="Arial" w:cs="Arial" w:eastAsia="Arial" w:hAnsi="Arial"/>
          <w:sz w:val="19"/>
          <w:szCs w:val="19"/>
          <w:color w:val="auto"/>
        </w:rPr>
      </w:pPr>
    </w:p>
    <w:p>
      <w:pPr>
        <w:ind w:left="1740" w:hanging="868"/>
        <w:spacing w:after="0"/>
        <w:tabs>
          <w:tab w:leader="none" w:pos="1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References herein to “fiscal year” and “fiscal quarter” refer to such fiscal periods of the Borrowers.</w:t>
      </w:r>
    </w:p>
    <w:p>
      <w:pPr>
        <w:spacing w:after="0" w:line="215" w:lineRule="exact"/>
        <w:rPr>
          <w:rFonts w:ascii="Arial" w:cs="Arial" w:eastAsia="Arial" w:hAnsi="Arial"/>
          <w:sz w:val="20"/>
          <w:szCs w:val="20"/>
          <w:color w:val="auto"/>
        </w:rPr>
      </w:pPr>
    </w:p>
    <w:p>
      <w:pPr>
        <w:ind w:left="1760" w:hanging="888"/>
        <w:spacing w:after="0"/>
        <w:tabs>
          <w:tab w:leader="none" w:pos="17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With respect to any Acquisition consummated on or after the Closing Date, the following shall apply:</w:t>
      </w:r>
    </w:p>
    <w:p>
      <w:pPr>
        <w:spacing w:after="0" w:line="215" w:lineRule="exact"/>
        <w:rPr>
          <w:rFonts w:ascii="Arial" w:cs="Arial" w:eastAsia="Arial" w:hAnsi="Arial"/>
          <w:sz w:val="20"/>
          <w:szCs w:val="20"/>
          <w:color w:val="auto"/>
        </w:rPr>
      </w:pPr>
    </w:p>
    <w:p>
      <w:pPr>
        <w:jc w:val="both"/>
        <w:ind w:left="880" w:firstLine="789"/>
        <w:spacing w:after="0" w:line="263" w:lineRule="auto"/>
        <w:tabs>
          <w:tab w:leader="none" w:pos="2512" w:val="left"/>
        </w:tabs>
        <w:numPr>
          <w:ilvl w:val="1"/>
          <w:numId w:val="31"/>
        </w:numPr>
        <w:rPr>
          <w:rFonts w:ascii="Arial" w:cs="Arial" w:eastAsia="Arial" w:hAnsi="Arial"/>
          <w:sz w:val="19"/>
          <w:szCs w:val="19"/>
          <w:color w:val="auto"/>
        </w:rPr>
      </w:pPr>
      <w:r>
        <w:rPr>
          <w:rFonts w:ascii="Arial" w:cs="Arial" w:eastAsia="Arial" w:hAnsi="Arial"/>
          <w:sz w:val="19"/>
          <w:szCs w:val="19"/>
          <w:color w:val="auto"/>
        </w:rPr>
        <w:t>For each period of four fiscal quarters of Toro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or FASB ASC 805 and, in each case, reasonably satisfactory to the Administrative Agent;</w:t>
      </w:r>
    </w:p>
    <w:p>
      <w:pPr>
        <w:spacing w:after="0" w:line="176" w:lineRule="exact"/>
        <w:rPr>
          <w:rFonts w:ascii="Arial" w:cs="Arial" w:eastAsia="Arial" w:hAnsi="Arial"/>
          <w:sz w:val="19"/>
          <w:szCs w:val="19"/>
          <w:color w:val="auto"/>
        </w:rPr>
      </w:pPr>
    </w:p>
    <w:p>
      <w:pPr>
        <w:jc w:val="both"/>
        <w:ind w:left="880" w:firstLine="789"/>
        <w:spacing w:after="0" w:line="246" w:lineRule="auto"/>
        <w:tabs>
          <w:tab w:leader="none" w:pos="2567" w:val="left"/>
        </w:tabs>
        <w:numPr>
          <w:ilvl w:val="1"/>
          <w:numId w:val="31"/>
        </w:numPr>
        <w:rPr>
          <w:rFonts w:ascii="Arial" w:cs="Arial" w:eastAsia="Arial" w:hAnsi="Arial"/>
          <w:sz w:val="20"/>
          <w:szCs w:val="20"/>
          <w:color w:val="auto"/>
        </w:rPr>
      </w:pPr>
      <w:r>
        <w:rPr>
          <w:rFonts w:ascii="Arial" w:cs="Arial" w:eastAsia="Arial" w:hAnsi="Arial"/>
          <w:sz w:val="20"/>
          <w:szCs w:val="20"/>
          <w:color w:val="auto"/>
        </w:rPr>
        <w:t xml:space="preserve">For each period of four fiscal quarters of Toro and its Subsidiaries ending next following the date of each Acquisition, Consolidated Interest Charges shall include the results of operations of the Person or assets so acquired, which amounts shall be determined on a historical pro forma basis;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Consolidated Interest Charges shall be adjusted on a historical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7" w:name="page48"/>
    <w:bookmarkEnd w:id="47"/>
    <w:p>
      <w:pPr>
        <w:jc w:val="both"/>
        <w:ind w:left="880"/>
        <w:spacing w:after="0" w:line="273" w:lineRule="auto"/>
        <w:rPr>
          <w:sz w:val="20"/>
          <w:szCs w:val="20"/>
          <w:color w:val="auto"/>
        </w:rPr>
      </w:pPr>
      <w:r>
        <w:rPr>
          <w:rFonts w:ascii="Arial" w:cs="Arial" w:eastAsia="Arial" w:hAnsi="Arial"/>
          <w:sz w:val="18"/>
          <w:szCs w:val="18"/>
          <w:color w:val="auto"/>
        </w:rPr>
        <w:t>pro forma basis to (A) eliminate interest expense accrued during such period on any Indebtedness repaid in connection with such Acquisition and (B) include interest expense on any Indebtedness (including Indebtedness hereunder) incurred, acquired or assumed in connection with such Acquisition (“</w:t>
      </w:r>
      <w:r>
        <w:rPr>
          <w:rFonts w:ascii="Arial" w:cs="Arial" w:eastAsia="Arial" w:hAnsi="Arial"/>
          <w:sz w:val="18"/>
          <w:szCs w:val="18"/>
          <w:u w:val="single" w:color="auto"/>
          <w:color w:val="auto"/>
        </w:rPr>
        <w:t>Incremental Debt</w:t>
      </w:r>
      <w:r>
        <w:rPr>
          <w:rFonts w:ascii="Arial" w:cs="Arial" w:eastAsia="Arial" w:hAnsi="Arial"/>
          <w:sz w:val="18"/>
          <w:szCs w:val="18"/>
          <w:color w:val="auto"/>
        </w:rPr>
        <w:t>”) calculated (I) as if all such Incremental Debt had been incurred as of the first day of such four-quarter period and (II) at the following interest rates: (x) 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168" w:lineRule="exact"/>
        <w:rPr>
          <w:sz w:val="20"/>
          <w:szCs w:val="20"/>
          <w:color w:val="auto"/>
        </w:rPr>
      </w:pPr>
    </w:p>
    <w:p>
      <w:pPr>
        <w:ind w:left="1740" w:hanging="868"/>
        <w:spacing w:after="0"/>
        <w:tabs>
          <w:tab w:leader="none" w:pos="17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With respect to any Material Disposition consummated on or after the Closing Date:</w:t>
      </w:r>
    </w:p>
    <w:p>
      <w:pPr>
        <w:spacing w:after="0" w:line="215" w:lineRule="exact"/>
        <w:rPr>
          <w:rFonts w:ascii="Arial" w:cs="Arial" w:eastAsia="Arial" w:hAnsi="Arial"/>
          <w:sz w:val="20"/>
          <w:szCs w:val="20"/>
          <w:color w:val="auto"/>
        </w:rPr>
      </w:pPr>
    </w:p>
    <w:p>
      <w:pPr>
        <w:jc w:val="both"/>
        <w:ind w:left="880" w:firstLine="789"/>
        <w:spacing w:after="0" w:line="263" w:lineRule="auto"/>
        <w:tabs>
          <w:tab w:leader="none" w:pos="2512" w:val="left"/>
        </w:tabs>
        <w:numPr>
          <w:ilvl w:val="1"/>
          <w:numId w:val="32"/>
        </w:numPr>
        <w:rPr>
          <w:rFonts w:ascii="Arial" w:cs="Arial" w:eastAsia="Arial" w:hAnsi="Arial"/>
          <w:sz w:val="19"/>
          <w:szCs w:val="19"/>
          <w:color w:val="auto"/>
        </w:rPr>
      </w:pPr>
      <w:r>
        <w:rPr>
          <w:rFonts w:ascii="Arial" w:cs="Arial" w:eastAsia="Arial" w:hAnsi="Arial"/>
          <w:sz w:val="19"/>
          <w:szCs w:val="19"/>
          <w:color w:val="auto"/>
        </w:rPr>
        <w:t>For each period of four fiscal quarters of Toro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176" w:lineRule="exact"/>
        <w:rPr>
          <w:rFonts w:ascii="Arial" w:cs="Arial" w:eastAsia="Arial" w:hAnsi="Arial"/>
          <w:sz w:val="19"/>
          <w:szCs w:val="19"/>
          <w:color w:val="auto"/>
        </w:rPr>
      </w:pPr>
    </w:p>
    <w:p>
      <w:pPr>
        <w:jc w:val="both"/>
        <w:ind w:left="880" w:firstLine="789"/>
        <w:spacing w:after="0" w:line="278" w:lineRule="auto"/>
        <w:tabs>
          <w:tab w:leader="none" w:pos="2567"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each period of four fiscal quarters of Toro and its Subsidiaries ending next following the date of such Material Disposition, Consolidated Interest Charges shall be reduced by an amount equal to the Consolidated Interest Charges incurred by the applicable Borrower or Subsidiary in connection with Indebtedness which is either (x) repaid with the proceeds received by the applicable Borrower or Subsidiary in connection with such Material Disposition or (y) assigned or transferred to, and assumed by, the Person to whom the Material Disposition is made by the applicable Borrower or Subsidiary.</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the purposes of this paragraph, “</w:t>
      </w:r>
      <w:r>
        <w:rPr>
          <w:rFonts w:ascii="Arial" w:cs="Arial" w:eastAsia="Arial" w:hAnsi="Arial"/>
          <w:sz w:val="19"/>
          <w:szCs w:val="19"/>
          <w:u w:val="single" w:color="auto"/>
          <w:color w:val="auto"/>
        </w:rPr>
        <w:t>Material Disposition</w:t>
      </w:r>
      <w:r>
        <w:rPr>
          <w:rFonts w:ascii="Arial" w:cs="Arial" w:eastAsia="Arial" w:hAnsi="Arial"/>
          <w:sz w:val="19"/>
          <w:szCs w:val="19"/>
          <w:color w:val="auto"/>
        </w:rPr>
        <w:t>” means any Disposition, or series of related Dispositions, by Toro and its Subsidiaries of real or personal property that has a gross book value, as determined in accordance with GAAP, equal to or greater than 10% of consolidated total assets of Toro and its Subsidiaries determined as of the last day of the immediately preceding fiscal quarter of Toro, and “Disposition” means the sale, transfer, license or other disposition (including any sale and leaseback transaction) of any property by any Person, other than pursuant to or in connection with a Receivables Purchase Facility.</w:t>
      </w:r>
    </w:p>
    <w:p>
      <w:pPr>
        <w:spacing w:after="0" w:line="180" w:lineRule="exact"/>
        <w:rPr>
          <w:sz w:val="20"/>
          <w:szCs w:val="20"/>
          <w:color w:val="auto"/>
        </w:rPr>
      </w:pPr>
    </w:p>
    <w:p>
      <w:pPr>
        <w:jc w:val="both"/>
        <w:ind w:firstLine="872"/>
        <w:spacing w:after="0" w:line="246" w:lineRule="auto"/>
        <w:tabs>
          <w:tab w:leader="none" w:pos="1709"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Consolidation of Variable Interest Entities</w:t>
      </w:r>
      <w:r>
        <w:rPr>
          <w:rFonts w:ascii="Arial" w:cs="Arial" w:eastAsia="Arial" w:hAnsi="Arial"/>
          <w:sz w:val="20"/>
          <w:szCs w:val="20"/>
          <w:color w:val="auto"/>
        </w:rPr>
        <w:t>. All references herein to consolidated financial statements of Toro and its Subsidiaries or to the determination of any amount for Toro and its Subsidiaries on a consolidated basis or any similar reference shall, in each case, be deemed to include each variable interest entity that Toro or a Subsidiary is required to consolidate pursuant to FASB ASC 810 as if such variable interest entity were a Subsidiary as defined herein.</w:t>
      </w:r>
    </w:p>
    <w:p>
      <w:pPr>
        <w:spacing w:after="0" w:line="18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8"/>
          <w:szCs w:val="18"/>
          <w:b w:val="1"/>
          <w:bCs w:val="1"/>
          <w:color w:val="auto"/>
        </w:rPr>
        <w:t>1.04 Exchange Rates; Currency Equivalents; Interest Rates</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The Administrative Agent or the L/C Issuer,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the financial covenant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8" w:name="page49"/>
    <w:bookmarkEnd w:id="48"/>
    <w:p>
      <w:pPr>
        <w:jc w:val="both"/>
        <w:ind w:firstLine="872"/>
        <w:spacing w:after="0" w:line="259" w:lineRule="auto"/>
        <w:tabs>
          <w:tab w:leader="none" w:pos="1742" w:val="left"/>
        </w:tabs>
        <w:numPr>
          <w:ilvl w:val="0"/>
          <w:numId w:val="34"/>
        </w:numPr>
        <w:rPr>
          <w:rFonts w:ascii="Arial" w:cs="Arial" w:eastAsia="Arial" w:hAnsi="Arial"/>
          <w:sz w:val="19"/>
          <w:szCs w:val="19"/>
          <w:color w:val="auto"/>
        </w:rPr>
      </w:pPr>
      <w:r>
        <w:rPr>
          <w:rFonts w:ascii="Arial" w:cs="Arial" w:eastAsia="Arial" w:hAnsi="Arial"/>
          <w:sz w:val="19"/>
          <w:szCs w:val="19"/>
          <w:color w:val="auto"/>
        </w:rPr>
        <w:t>Wherever in this Agreement in connection with a Borrowing, conversion, continuation or prepayment of a Eurocurrency Rate Loan or Alternative Currency Daily Rate Loan or the issuance, amendment or extension of a Letter of Credit, an amount, such as a required minimum or multiple amount, is expressed in Dollars, but such Borrowing, Eurocurrency Rate Loan, Alternative Currency Daily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78" w:lineRule="exact"/>
        <w:rPr>
          <w:rFonts w:ascii="Arial" w:cs="Arial" w:eastAsia="Arial" w:hAnsi="Arial"/>
          <w:sz w:val="19"/>
          <w:szCs w:val="19"/>
          <w:color w:val="auto"/>
        </w:rPr>
      </w:pPr>
    </w:p>
    <w:p>
      <w:pPr>
        <w:jc w:val="both"/>
        <w:ind w:firstLine="872"/>
        <w:spacing w:after="0" w:line="243" w:lineRule="auto"/>
        <w:tabs>
          <w:tab w:leader="none" w:pos="1731"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Administrative Agent does not warrant, nor accept responsibility, nor shall the Administrative Agent have any liability with respect to the administration, submission or any other matter related to the rates in the definition of “Eurocurrency Rate”, “SOFR”, “SONIA”, “Alternative Currency Daily Rate”, “Alternative Currency Term Rate” or with respect to any rate (including, for the avoidance of doubt, the selection of such rate and any related spread or other adjustment) that is an alternative or replacement for or successor to any of such rate (including, without limitation, any Successor Rate) or the effect of any of the foregoing, or of any Benchmark Replacement Conforming Changes.</w:t>
      </w:r>
    </w:p>
    <w:p>
      <w:pPr>
        <w:spacing w:after="0" w:line="19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b w:val="1"/>
          <w:bCs w:val="1"/>
          <w:color w:val="auto"/>
        </w:rPr>
        <w:t xml:space="preserve">1.05 Additional Alternative Currencies. </w:t>
      </w:r>
      <w:r>
        <w:rPr>
          <w:rFonts w:ascii="Arial" w:cs="Arial" w:eastAsia="Arial" w:hAnsi="Arial"/>
          <w:sz w:val="19"/>
          <w:szCs w:val="19"/>
          <w:color w:val="auto"/>
        </w:rPr>
        <w:t>(a) Toro may from time to time request that Alternative Currency Loans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made and/or Letters of Credit be issued in a currency other than those specifically listed in the definition of “Alternative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requested currency is a lawful currency (other than Dollars) that is readily available and freely transferable and convertible into Dollars. In the case of any such request with respect to the making of Alternative Currency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79"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(b) Any such request shall be made to the Administrative Agent not later than 11:00 a.m.,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Lender thereof; and in the case of any such request pertaining to Letters of Credit, the Administrative Agent shall promptly notify the L/C Issuer thereof. Each Lender (in the case of any such request pertaining to Eurocurrency Rate Loans) or the L/C Issuer (in the case of a request pertaining to Letters of Credit) shall notify the Administrative Agent, not later than 11:00 a.m., ten Business Days after receipt of such request whether it consents, in its sole discretion, to the making of Eurocurrency Rate Loans or the issuance of Letters of Credit, as the case may be, in such requested currency.</w:t>
      </w:r>
    </w:p>
    <w:p>
      <w:pPr>
        <w:spacing w:after="0" w:line="16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 xml:space="preserve">(c) Any failure by a Lender or the L/C Issuer, as the case may be, to respond to such request within the time period specified in the last sentence of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shall be deemed to be a refusal by such Lender or the L/C Issuer, as the case may be, to permit Alternative Currency Loans to be made or Letters of Credit to be issued in such requested currency. If the Administrative Agent and all the Lenders consent to making Alternative Currency Loans in such requested currency, the Administrative Agent shall so notify Toro and such currency shall thereupon be deemed for all purposes to be an Alternative Currency hereunder for purposes of any Borrowings of Alternative Currency Loans; and if the Administrative Agent and the L/C Issuer consent to the issuance of Letters of Credit in such requested currency, the Administrative Agent shall so notify Toro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8"/>
          <w:szCs w:val="18"/>
          <w:u w:val="single" w:color="auto"/>
          <w:color w:val="auto"/>
        </w:rPr>
        <w:t>Section 1.05</w:t>
      </w:r>
      <w:r>
        <w:rPr>
          <w:rFonts w:ascii="Arial" w:cs="Arial" w:eastAsia="Arial" w:hAnsi="Arial"/>
          <w:sz w:val="18"/>
          <w:szCs w:val="18"/>
          <w:color w:val="auto"/>
        </w:rPr>
        <w:t>, the Administrative Agent shall promptly so notify Toro.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9" w:name="page50"/>
    <w:bookmarkEnd w:id="49"/>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1.06 Change of Currency. </w:t>
      </w:r>
      <w:r>
        <w:rPr>
          <w:rFonts w:ascii="Arial" w:cs="Arial" w:eastAsia="Arial" w:hAnsi="Arial"/>
          <w:sz w:val="20"/>
          <w:szCs w:val="20"/>
          <w:color w:val="auto"/>
        </w:rPr>
        <w:t>(a) Each obligation of the Borrowers to make a payment denominated in the national currency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9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(b) 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(c) 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1.07 Times of Day. </w:t>
      </w:r>
      <w:r>
        <w:rPr>
          <w:rFonts w:ascii="Arial" w:cs="Arial" w:eastAsia="Arial" w:hAnsi="Arial"/>
          <w:sz w:val="20"/>
          <w:szCs w:val="20"/>
          <w:color w:val="auto"/>
        </w:rPr>
        <w:t>Unless otherwise specified, all references herein to times of day shall be references to Central time</w:t>
      </w:r>
      <w:r>
        <w:rPr>
          <w:rFonts w:ascii="Arial" w:cs="Arial" w:eastAsia="Arial" w:hAnsi="Arial"/>
          <w:sz w:val="20"/>
          <w:szCs w:val="20"/>
          <w:b w:val="1"/>
          <w:bCs w:val="1"/>
          <w:color w:val="auto"/>
        </w:rPr>
        <w:t xml:space="preserve"> </w:t>
      </w:r>
      <w:r>
        <w:rPr>
          <w:rFonts w:ascii="Arial" w:cs="Arial" w:eastAsia="Arial" w:hAnsi="Arial"/>
          <w:sz w:val="20"/>
          <w:szCs w:val="20"/>
          <w:color w:val="auto"/>
        </w:rPr>
        <w:t>(daylight or standard, as applicable).</w:t>
      </w:r>
    </w:p>
    <w:p>
      <w:pPr>
        <w:spacing w:after="0" w:line="163"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8"/>
          <w:szCs w:val="18"/>
          <w:b w:val="1"/>
          <w:bCs w:val="1"/>
          <w:color w:val="auto"/>
        </w:rPr>
        <w:t xml:space="preserve">1.08 Letter of Credit Amounts. </w:t>
      </w:r>
      <w:r>
        <w:rPr>
          <w:rFonts w:ascii="Arial" w:cs="Arial" w:eastAsia="Arial" w:hAnsi="Arial"/>
          <w:sz w:val="18"/>
          <w:szCs w:val="18"/>
          <w:color w:val="auto"/>
        </w:rPr>
        <w:t>Unless otherwise specified herein, the amount of a Letter of Credit at any time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deemed to be the Dollar Equivalent of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5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1.09 Rounding. </w:t>
      </w:r>
      <w:r>
        <w:rPr>
          <w:rFonts w:ascii="Arial" w:cs="Arial" w:eastAsia="Arial" w:hAnsi="Arial"/>
          <w:sz w:val="20"/>
          <w:szCs w:val="20"/>
          <w:color w:val="auto"/>
        </w:rPr>
        <w:t>Any financial ratios required to be maintained by the Borrowers pursuant to this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1.10 Limited Conditionality Acquisition. </w:t>
      </w:r>
      <w:r>
        <w:rPr>
          <w:rFonts w:ascii="Arial" w:cs="Arial" w:eastAsia="Arial" w:hAnsi="Arial"/>
          <w:sz w:val="20"/>
          <w:szCs w:val="20"/>
          <w:color w:val="auto"/>
        </w:rPr>
        <w:t>In the event that Toro notifies the Administrative Agent in writing that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proposed Acquisition is a Limited Conditionality Acquisition and that Toro wishes to test the conditions to such Acquisition and the availability of any Indebtedness that is to be used to finance such Acquisition in accordance with this </w:t>
      </w:r>
      <w:r>
        <w:rPr>
          <w:rFonts w:ascii="Arial" w:cs="Arial" w:eastAsia="Arial" w:hAnsi="Arial"/>
          <w:sz w:val="20"/>
          <w:szCs w:val="20"/>
          <w:u w:val="single" w:color="auto"/>
          <w:color w:val="auto"/>
        </w:rPr>
        <w:t>Section 1.10</w:t>
      </w:r>
      <w:r>
        <w:rPr>
          <w:rFonts w:ascii="Arial" w:cs="Arial" w:eastAsia="Arial" w:hAnsi="Arial"/>
          <w:sz w:val="20"/>
          <w:szCs w:val="20"/>
          <w:color w:val="auto"/>
        </w:rPr>
        <w:t>, then the following provisions shall apply:</w:t>
      </w:r>
    </w:p>
    <w:p>
      <w:pPr>
        <w:spacing w:after="0" w:line="189" w:lineRule="exact"/>
        <w:rPr>
          <w:sz w:val="20"/>
          <w:szCs w:val="20"/>
          <w:color w:val="auto"/>
        </w:rPr>
      </w:pPr>
    </w:p>
    <w:p>
      <w:pPr>
        <w:jc w:val="both"/>
        <w:ind w:firstLine="896"/>
        <w:spacing w:after="0" w:line="259" w:lineRule="auto"/>
        <w:tabs>
          <w:tab w:leader="none" w:pos="1756"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any condition to such Acquisition or such Indebtedness that requires that no Default or Event of Default shall have occurred and be continuing at the time of such Acquisition or the incurrence of such Indebtedness, shall, if agreed to by the lenders providing such Indebtedness, be satisfied if (i) no Default or Event of Default shall have occurred and be continuing at the time of the execution of the definitive purchase agreement, merger agreement or other acquisition agreement governing such Acquisition and (ii) no Event of Default under any of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shall have occurred and be continuing both before and after giving effect to such Acquisition and any Indebtedness incurred in connection therewith (including such additional Indebtedness);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both"/>
        <w:ind w:firstLine="896"/>
        <w:spacing w:after="0" w:line="255" w:lineRule="auto"/>
        <w:tabs>
          <w:tab w:leader="none" w:pos="1767"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condition to such Acquisition and/or such Indebtedness that the representations and warranties in this Agreement and the other Loan Documents shall be true and correct in all material respects at the time of such Acquisition or the incurrence of such Indebtedness, except (x) if a qualifier relating to materiality, Material Adverse Effect or other similar concept applies, such representation or warranty is true and correct in all respects and (y) to the extent that such representations and warranties specifically refer to an earlier date, may, if agreed to by the lenders providing such Indebtedness, be limited by customary “SunGard” or other customary applicable “certain funds” conditionality provisions, so long as all such representations and warranties in this Agreement and the other Loan Documents are true and correct in all material respects at the time of the execution of the definitive purchase agreement, merger agreement or other acquisition agreement governing such Acquisition, except (x) if a qualifier relating to materiality, Material Adverse Effect or other similar concept applies, such representation or warranty is true and correct in all respects and (y) to the extent that such representations and warranties specifically refer to an earlier date;</w:t>
      </w:r>
    </w:p>
    <w:p>
      <w:pPr>
        <w:spacing w:after="0" w:line="203" w:lineRule="exact"/>
        <w:rPr>
          <w:rFonts w:ascii="Arial" w:cs="Arial" w:eastAsia="Arial" w:hAnsi="Arial"/>
          <w:sz w:val="19"/>
          <w:szCs w:val="19"/>
          <w:color w:val="auto"/>
        </w:rPr>
      </w:pPr>
    </w:p>
    <w:p>
      <w:pPr>
        <w:jc w:val="both"/>
        <w:ind w:firstLine="896"/>
        <w:spacing w:after="0" w:line="243" w:lineRule="auto"/>
        <w:tabs>
          <w:tab w:leader="none" w:pos="1756"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any applicable financial ratio test or condition may, upon the written election of Toro delivered to the Administrative Agent prior to the execution of the definitive agreement for such Acquisition, be tested either (i) upon the execution of the definitive agreement with respect to such Limited Conditionality Acquisition or (ii) upon the consummation of the Limited Conditionality Acquisition and related incurrence of Indebtedness, in each case, after giving pro forma effect to the relevant Limited Conditionality Acquisition and related incurrence of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deliver a notice under this </w:t>
      </w:r>
      <w:r>
        <w:rPr>
          <w:rFonts w:ascii="Arial" w:cs="Arial" w:eastAsia="Arial" w:hAnsi="Arial"/>
          <w:sz w:val="20"/>
          <w:szCs w:val="20"/>
          <w:u w:val="single" w:color="auto"/>
          <w:color w:val="auto"/>
        </w:rPr>
        <w:t>Section 1.10(c)</w:t>
      </w:r>
      <w:r>
        <w:rPr>
          <w:rFonts w:ascii="Arial" w:cs="Arial" w:eastAsia="Arial" w:hAnsi="Arial"/>
          <w:sz w:val="20"/>
          <w:szCs w:val="20"/>
          <w:color w:val="auto"/>
        </w:rPr>
        <w:t xml:space="preserve"> prior to the date of execution of the definitive agreement for such Limited Conditionality Acquisition shall be deemed an election to test the applicable financial ratio under </w:t>
      </w:r>
      <w:r>
        <w:rPr>
          <w:rFonts w:ascii="Arial" w:cs="Arial" w:eastAsia="Arial" w:hAnsi="Arial"/>
          <w:sz w:val="20"/>
          <w:szCs w:val="20"/>
          <w:u w:val="single" w:color="auto"/>
          <w:color w:val="auto"/>
        </w:rPr>
        <w:t>subclause (ii)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1.10(c)</w:t>
      </w:r>
      <w:r>
        <w:rPr>
          <w:rFonts w:ascii="Arial" w:cs="Arial" w:eastAsia="Arial" w:hAnsi="Arial"/>
          <w:sz w:val="20"/>
          <w:szCs w:val="20"/>
          <w:color w:val="auto"/>
        </w:rPr>
        <w:t>; and</w:t>
      </w:r>
    </w:p>
    <w:p>
      <w:pPr>
        <w:spacing w:after="0" w:line="192" w:lineRule="exact"/>
        <w:rPr>
          <w:rFonts w:ascii="Arial" w:cs="Arial" w:eastAsia="Arial" w:hAnsi="Arial"/>
          <w:sz w:val="20"/>
          <w:szCs w:val="20"/>
          <w:color w:val="auto"/>
        </w:rPr>
      </w:pPr>
    </w:p>
    <w:p>
      <w:pPr>
        <w:jc w:val="both"/>
        <w:ind w:firstLine="896"/>
        <w:spacing w:after="0" w:line="255" w:lineRule="auto"/>
        <w:tabs>
          <w:tab w:leader="none" w:pos="1767"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if Toro has made an election with respect to any Limited Conditionality Acquisition to test an applicable financial ratio test or condition at the time specified in </w:t>
      </w:r>
      <w:r>
        <w:rPr>
          <w:rFonts w:ascii="Arial" w:cs="Arial" w:eastAsia="Arial" w:hAnsi="Arial"/>
          <w:sz w:val="19"/>
          <w:szCs w:val="19"/>
          <w:u w:val="single" w:color="auto"/>
          <w:color w:val="auto"/>
        </w:rPr>
        <w:t>clause (c)(i)</w:t>
      </w:r>
      <w:r>
        <w:rPr>
          <w:rFonts w:ascii="Arial" w:cs="Arial" w:eastAsia="Arial" w:hAnsi="Arial"/>
          <w:sz w:val="19"/>
          <w:szCs w:val="19"/>
          <w:color w:val="auto"/>
        </w:rPr>
        <w:t xml:space="preserve"> of this Section, then in connection with any subsequent calculation of any ratio (other than the financial covenant tested pursuant to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or basket on or following the relevant date of execution of the definitive agreement with respect to such Limited Conditionality Acquisition and prior to the earlier of (i) the date on which such Limited Conditionality Acquisition is consummated or (ii) the date that the definitive agreement for such Limited Conditionality Acquisition is terminated or expires without consummation of such Limited Conditionality Acquisition, any such ratio (other than the financial covenant tested pursuant to </w:t>
      </w:r>
      <w:r>
        <w:rPr>
          <w:rFonts w:ascii="Arial" w:cs="Arial" w:eastAsia="Arial" w:hAnsi="Arial"/>
          <w:sz w:val="19"/>
          <w:szCs w:val="19"/>
          <w:u w:val="single" w:color="auto"/>
          <w:color w:val="auto"/>
        </w:rPr>
        <w:t>Section 7.05</w:t>
      </w:r>
      <w:r>
        <w:rPr>
          <w:rFonts w:ascii="Arial" w:cs="Arial" w:eastAsia="Arial" w:hAnsi="Arial"/>
          <w:sz w:val="19"/>
          <w:szCs w:val="19"/>
          <w:color w:val="auto"/>
        </w:rPr>
        <w:t>) or basket shall be required to be satisfied (x) on a pro forma assuming such Limited Conditionality Acquisition and other transactions in connection therewith (including the incurrence or assumption of Indebtedness) have been consummated and (y) assuming such Limited Conditionality Acquisition and other transactions in connection therewith (including the incurrence or assumption of Indebtedness) have not been consummated.</w:t>
      </w:r>
    </w:p>
    <w:p>
      <w:pPr>
        <w:spacing w:after="0" w:line="19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The foregoing provisions shall apply with similar effect during the pendency of multiple Limited Conditionality Acquisitions such that each of the possible scenarios is separately tested. Notwithstanding anything to the contrary herein, in no event shall there be more than two (2) Limited Conditionality Acquisitions at any time outstanding.</w:t>
      </w:r>
    </w:p>
    <w:p>
      <w:pPr>
        <w:spacing w:after="0" w:line="18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1.11 Amendment and Restatement. </w:t>
      </w:r>
      <w:r>
        <w:rPr>
          <w:rFonts w:ascii="Arial" w:cs="Arial" w:eastAsia="Arial" w:hAnsi="Arial"/>
          <w:sz w:val="20"/>
          <w:szCs w:val="20"/>
          <w:color w:val="auto"/>
        </w:rPr>
        <w:t>In order to facilitate the Restatement and otherwise to effectuate the desires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Borrowers, the Administrative Agent and the Lenders.</w:t>
      </w:r>
    </w:p>
    <w:p>
      <w:pPr>
        <w:spacing w:after="0" w:line="169" w:lineRule="exact"/>
        <w:rPr>
          <w:sz w:val="20"/>
          <w:szCs w:val="20"/>
          <w:color w:val="auto"/>
        </w:rPr>
      </w:pPr>
    </w:p>
    <w:p>
      <w:pPr>
        <w:jc w:val="both"/>
        <w:ind w:firstLine="872"/>
        <w:spacing w:after="0" w:line="282" w:lineRule="auto"/>
        <w:tabs>
          <w:tab w:leader="none" w:pos="17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Simultaneously with the Closing Date, the parties hereby agree that the Commitments shall be as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2.01A</w:t>
      </w:r>
      <w:r>
        <w:rPr>
          <w:rFonts w:ascii="Arial" w:cs="Arial" w:eastAsia="Arial" w:hAnsi="Arial"/>
          <w:sz w:val="18"/>
          <w:szCs w:val="18"/>
          <w:color w:val="auto"/>
        </w:rPr>
        <w:t xml:space="preserve"> and the portion of Loans and other Outstanding Amounts outstanding under the Existing Revolving Credit Agreement shall be reallocated in accordance with such Commitments and the requisite assignments shall be deemed to be made in such amounts by and between the Lenders (including the Existing Revolving Lenders, if applicable) and from each Lender to each other Lender, with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1" w:name="page52"/>
    <w:bookmarkEnd w:id="51"/>
    <w:p>
      <w:pPr>
        <w:jc w:val="both"/>
        <w:spacing w:after="0" w:line="256" w:lineRule="auto"/>
        <w:rPr>
          <w:sz w:val="20"/>
          <w:szCs w:val="20"/>
          <w:color w:val="auto"/>
        </w:rPr>
      </w:pPr>
      <w:r>
        <w:rPr>
          <w:rFonts w:ascii="Arial" w:cs="Arial" w:eastAsia="Arial" w:hAnsi="Arial"/>
          <w:sz w:val="19"/>
          <w:szCs w:val="19"/>
          <w:color w:val="auto"/>
        </w:rPr>
        <w:t xml:space="preserve">the same force and effect as if such assignments were evidenced by applicable assignment agreements required pursuant to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of the Existing Revolving Credit Agreement. Notwithstanding anything to the contrary in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of the Existing Revolving Credit Agreement or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of this Agreement, no other consents, documents, or instruments, including any assignment agreements, shall be executed in connection with these assignments (all of which requirements are hereby waived), and such assignments shall be deemed to be made with all applicable representations, warranties and covenants as if evidenced by an assignment agreement. On the Closing Date, the Lenders shall make full cash settlement with each other either directly or through the Administrative Agent, as the Administrative Agent may direct or approve, with respect to all assignments, reallocations and other changes in Commitments (as such term is defined in the Existing Revolving Credit Agreement) such that after giving effect to such settlements each Lender’s Applicable Percentage shall be as set forth on </w:t>
      </w:r>
      <w:r>
        <w:rPr>
          <w:rFonts w:ascii="Arial" w:cs="Arial" w:eastAsia="Arial" w:hAnsi="Arial"/>
          <w:sz w:val="19"/>
          <w:szCs w:val="19"/>
          <w:u w:val="single" w:color="auto"/>
          <w:color w:val="auto"/>
        </w:rPr>
        <w:t>Schedule 2.01A</w:t>
      </w:r>
      <w:r>
        <w:rPr>
          <w:rFonts w:ascii="Arial" w:cs="Arial" w:eastAsia="Arial" w:hAnsi="Arial"/>
          <w:sz w:val="19"/>
          <w:szCs w:val="19"/>
          <w:color w:val="auto"/>
        </w:rPr>
        <w:t>.</w:t>
      </w:r>
    </w:p>
    <w:p>
      <w:pPr>
        <w:spacing w:after="0" w:line="184" w:lineRule="exact"/>
        <w:rPr>
          <w:sz w:val="20"/>
          <w:szCs w:val="20"/>
          <w:color w:val="auto"/>
        </w:rPr>
      </w:pPr>
    </w:p>
    <w:p>
      <w:pPr>
        <w:jc w:val="both"/>
        <w:ind w:firstLine="872"/>
        <w:spacing w:after="0" w:line="278" w:lineRule="auto"/>
        <w:tabs>
          <w:tab w:leader="none" w:pos="17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Borrowers, the Administrative Agent, and the Lenders hereby agree that upon the effectiveness of this Agreement, the terms and provisions of the Existing Revolving Credit Agreement which in any manner govern or evidence any of the Obligations, rights and interests of the Administrative Agent and the Lenders and terms, conditions or matters related to any thereof, shall be and hereby are amended and restated in their entirety by the terms, conditions and provisions of this Agreement, and the terms and provisions of the Existing Revolving Credit Agreement, except as otherwise expressly provided herein, shall be superseded by this Agreement.</w:t>
      </w:r>
    </w:p>
    <w:p>
      <w:pPr>
        <w:spacing w:after="0" w:line="164" w:lineRule="exact"/>
        <w:rPr>
          <w:rFonts w:ascii="Arial" w:cs="Arial" w:eastAsia="Arial" w:hAnsi="Arial"/>
          <w:sz w:val="18"/>
          <w:szCs w:val="18"/>
          <w:color w:val="auto"/>
        </w:rPr>
      </w:pPr>
    </w:p>
    <w:p>
      <w:pPr>
        <w:jc w:val="both"/>
        <w:ind w:firstLine="872"/>
        <w:spacing w:after="0" w:line="269" w:lineRule="auto"/>
        <w:tabs>
          <w:tab w:leader="none" w:pos="17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Notwithstanding this amendment and restatement of the Existing Revolving Credit Agreement, including anything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and in any related “Loan Documents” (as such term is defined in the Existing Revolving Credit Agreement and referred to herein, individually or collectively, as the “</w:t>
      </w:r>
      <w:r>
        <w:rPr>
          <w:rFonts w:ascii="Arial" w:cs="Arial" w:eastAsia="Arial" w:hAnsi="Arial"/>
          <w:sz w:val="18"/>
          <w:szCs w:val="18"/>
          <w:u w:val="single" w:color="auto"/>
          <w:color w:val="auto"/>
        </w:rPr>
        <w:t>Prior Loan Documents</w:t>
      </w:r>
      <w:r>
        <w:rPr>
          <w:rFonts w:ascii="Arial" w:cs="Arial" w:eastAsia="Arial" w:hAnsi="Arial"/>
          <w:sz w:val="18"/>
          <w:szCs w:val="18"/>
          <w:color w:val="auto"/>
        </w:rPr>
        <w:t xml:space="preserve">”), (i) all of the indebtedness, liabilities and obligations owing by the Borrowers under the Existing Revolving Credit Agreement and other Prior Loan Documents shall continue as Obligations hereunder and all indebtedness, liabilities and obligations of any Person other than the Borrowers under the Existing Revolving Credit Agreement and other Prior Loan Documents shall continue as obligations of such Person hereunder, and (ii) each of this Agreement and the Notes and any other Loan Document (as defined herein) that is amended and restated in connection with this Agreement is given as a substitution of, and not as a payment of, the indebtedness, liabilities and obligations of the Borrowers under the Existing Revolving Credit Agreement or any Prior Loan Document and neither the execution and delivery of such documents nor the consummation of any other transaction contemplated hereunder is intended to constitute a novation of the Existing Revolving Credit Agreement or of any of the other Prior Loan Documents or any obligations thereunder. Upon the effectiveness of this Agreement, all Loans owing by the Borrowers and outstanding under the Existing Revolving Credit Agreement shall continue as Loans hereunder and shall constitute advances hereunder. Base Rate Loans under the Existing Revolving Credit Agreement shall accrue interest at the Base Rate hereunder and the parties hereto agree that the Interest Periods for all Eurocurrency Rate Loans outstanding under the Existing Revolving Credit Agreement on the Closing Date shall remain in effect without renewal, interruption or extension as Eurocurrency Rate Loans under this Agreement and accrue interest at the Eurocurrency Rate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and after the Closing Date, the Applicable Rate applicable to any Loan shall be as set forth in the definition of “Applicable Rate” in </w:t>
      </w:r>
      <w:r>
        <w:rPr>
          <w:rFonts w:ascii="Arial" w:cs="Arial" w:eastAsia="Arial" w:hAnsi="Arial"/>
          <w:sz w:val="18"/>
          <w:szCs w:val="18"/>
          <w:u w:val="single" w:color="auto"/>
          <w:color w:val="auto"/>
        </w:rPr>
        <w:t>Section 1.01</w:t>
      </w:r>
      <w:r>
        <w:rPr>
          <w:rFonts w:ascii="Arial" w:cs="Arial" w:eastAsia="Arial" w:hAnsi="Arial"/>
          <w:sz w:val="18"/>
          <w:szCs w:val="18"/>
          <w:color w:val="auto"/>
        </w:rPr>
        <w:t>, without regard to any margin applicable thereto under the Existing Revolving Credit Agreement prior to the Closing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ARTICLE 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COMMITMENTS AND CREDIT EXTENSIONS</w:t>
      </w:r>
    </w:p>
    <w:p>
      <w:pPr>
        <w:spacing w:after="0" w:line="18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2.01</w:t>
      </w:r>
      <w:r>
        <w:rPr>
          <w:sz w:val="20"/>
          <w:szCs w:val="20"/>
          <w:color w:val="auto"/>
        </w:rPr>
        <w:tab/>
      </w:r>
      <w:r>
        <w:rPr>
          <w:rFonts w:ascii="Arial" w:cs="Arial" w:eastAsia="Arial" w:hAnsi="Arial"/>
          <w:sz w:val="18"/>
          <w:szCs w:val="18"/>
          <w:b w:val="1"/>
          <w:bCs w:val="1"/>
          <w:color w:val="auto"/>
        </w:rPr>
        <w:t>The Loans</w:t>
      </w:r>
      <w:r>
        <w:rPr>
          <w:rFonts w:ascii="Arial" w:cs="Arial" w:eastAsia="Arial" w:hAnsi="Arial"/>
          <w:sz w:val="19"/>
          <w:szCs w:val="19"/>
          <w:b w:val="1"/>
          <w:bCs w:val="1"/>
          <w:color w:val="auto"/>
        </w:rPr>
        <w:t>.</w:t>
      </w:r>
    </w:p>
    <w:p>
      <w:pPr>
        <w:spacing w:after="0" w:line="240" w:lineRule="exact"/>
        <w:rPr>
          <w:sz w:val="20"/>
          <w:szCs w:val="20"/>
          <w:color w:val="auto"/>
        </w:rPr>
      </w:pPr>
    </w:p>
    <w:p>
      <w:pPr>
        <w:jc w:val="both"/>
        <w:ind w:firstLine="872"/>
        <w:spacing w:after="0" w:line="257" w:lineRule="auto"/>
        <w:tabs>
          <w:tab w:leader="none" w:pos="1731"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Term Borrowing</w:t>
      </w:r>
      <w:r>
        <w:rPr>
          <w:rFonts w:ascii="Arial" w:cs="Arial" w:eastAsia="Arial" w:hAnsi="Arial"/>
          <w:sz w:val="19"/>
          <w:szCs w:val="19"/>
          <w:color w:val="auto"/>
        </w:rPr>
        <w:t xml:space="preserve">. Subject to the terms and conditions set forth herein, each Term Lender severally agrees to make a single loan to Toro on the Closing Date in Dollars not to exceed such Term Lender’s Term Commitment. The Term Borrowing shall consist of Term Loans made simultaneously by the Term Lenders in accordance with their respective Applicable Percentage of the Term Facility. Amounts borrowed under this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and repaid or prepaid may not be reborrowed. Term Loans may be Base Rate Loans or Eurocurrency Rate Loans as further provided herein;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any Borrowings made on the Closing Date or any of the three (3) Business Days following the Closing Date shall be made as Base Rate Loans unless Toro delivers a Funding Indemnity Letter not less than three (3) Business Days prior to the date of such Borrowing.</w:t>
      </w:r>
    </w:p>
    <w:p>
      <w:pPr>
        <w:spacing w:after="0" w:line="184" w:lineRule="exact"/>
        <w:rPr>
          <w:rFonts w:ascii="Arial" w:cs="Arial" w:eastAsia="Arial" w:hAnsi="Arial"/>
          <w:sz w:val="19"/>
          <w:szCs w:val="19"/>
          <w:color w:val="auto"/>
        </w:rPr>
      </w:pPr>
    </w:p>
    <w:p>
      <w:pPr>
        <w:jc w:val="both"/>
        <w:ind w:firstLine="872"/>
        <w:spacing w:after="0" w:line="269" w:lineRule="auto"/>
        <w:tabs>
          <w:tab w:leader="none" w:pos="174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Subject to the terms and conditions set forth herein, each Revolving Credit Lender severally agrees to make loans (each such loan, a “</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to any of the Borrowers in Dollars or in one or more Alternative Currencies from time to time, on any Business Day during the Availability Period, the Dollar Equivalent of which does not exceed at any time outstanding the amount of such Revolving Credit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Revolving Credit Borrowing, (i) the Total Revolving Credit Outstandings shall not exceed the Revolving Credit Facility, and (ii) the Revolving Credit Exposure shall not exceed such Revolving Credit Lender’s Revolving Credit Commitment;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Toro Luxembourg may not request a Revolving Credit Borrowing, and no Lender shall have any obligation to make a Revolving Credit Loan to Toro Luxembourg, until such documents, opinions, certificates and other items, each in form and substance satisfactory to the Administrative Agent, are delivered to the Administrative Agent pursuant to </w:t>
      </w:r>
      <w:r>
        <w:rPr>
          <w:rFonts w:ascii="Arial" w:cs="Arial" w:eastAsia="Arial" w:hAnsi="Arial"/>
          <w:sz w:val="18"/>
          <w:szCs w:val="18"/>
          <w:u w:val="single" w:color="auto"/>
          <w:color w:val="auto"/>
        </w:rPr>
        <w:t>Sections 4.01(a)(iii)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Within the limits of each Revolving Credit Lender’s Revolving Credit Commitment, and subject to the other terms and conditions hereof, the Borrowers may 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Revolving Credit Loans may be Base Rate Loans, Eurocurrency Rate Loans or Alternative Currency Daily Rate Loans as further provided herein;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any Borrowings made on the Closing Date or any of the three (3) Business Days following the Closing Date shall be made as Base Rate Loans unless Toro delivers a Funding Indemnity Letter not less than three (3) Business Days prior to the date of such Borrowing.</w:t>
      </w:r>
    </w:p>
    <w:p>
      <w:pPr>
        <w:spacing w:after="0" w:line="17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7"/>
          <w:szCs w:val="17"/>
          <w:b w:val="1"/>
          <w:bCs w:val="1"/>
          <w:color w:val="auto"/>
        </w:rPr>
        <w:t>Borrowings, Conversions and Continuations of Loans</w:t>
      </w:r>
      <w:r>
        <w:rPr>
          <w:rFonts w:ascii="Arial" w:cs="Arial" w:eastAsia="Arial" w:hAnsi="Arial"/>
          <w:sz w:val="18"/>
          <w:szCs w:val="18"/>
          <w:b w:val="1"/>
          <w:bCs w:val="1"/>
          <w:color w:val="auto"/>
        </w:rPr>
        <w:t>.</w:t>
      </w:r>
    </w:p>
    <w:p>
      <w:pPr>
        <w:spacing w:after="0" w:line="240" w:lineRule="exact"/>
        <w:rPr>
          <w:sz w:val="20"/>
          <w:szCs w:val="20"/>
          <w:color w:val="auto"/>
        </w:rPr>
      </w:pPr>
    </w:p>
    <w:p>
      <w:pPr>
        <w:jc w:val="both"/>
        <w:ind w:firstLine="872"/>
        <w:spacing w:after="0" w:line="271" w:lineRule="auto"/>
        <w:tabs>
          <w:tab w:leader="none" w:pos="17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Each Term Borrowing, each Revolving Credit Borrowing, each conversion of Term Loans or Revolving Credit Loans from one Type to the other, and each continuation of Eurocurrency Rate Loans shall be made upon Toro’s irrevocable notice to the Administrative Agent, which may be given by (A) telephone or (B)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Loan Notice. Each such Loan Notice must be received by the Administrative Agent not later than 12:00 noon (i) three (3) Business Days prior to the requested date of any Borrowing of, conversion to or continuation of Eurocurrency Rate Loans denominated in Dollars or of any conversion of Eurocurrency Rate Loans denominated in Dollars to Base Rate Loans, (ii) in the case of Alternative Currency Loans, four (4) Business Days (or five (5) Business Days in the case of a Special Notice Currency) prior to the requested date of any Borrowing or, in the case of Alternative Currency Term Rate Loans, any continuation, and (iii) on the requested date of any Borrowing of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Borrower wishes to request Eurocurrency Rate Loans or Alternative Currency Term Rate Loans having an Interest Period other than one, three or six months in duration as provided in the definition of “Interest Period,” the applicable notice must be received by the Administrative Agent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3" w:name="page54"/>
    <w:bookmarkEnd w:id="53"/>
    <w:p>
      <w:pPr>
        <w:jc w:val="both"/>
        <w:spacing w:after="0" w:line="268" w:lineRule="auto"/>
        <w:rPr>
          <w:sz w:val="20"/>
          <w:szCs w:val="20"/>
          <w:color w:val="auto"/>
        </w:rPr>
      </w:pPr>
      <w:r>
        <w:rPr>
          <w:rFonts w:ascii="Arial" w:cs="Arial" w:eastAsia="Arial" w:hAnsi="Arial"/>
          <w:sz w:val="18"/>
          <w:szCs w:val="18"/>
          <w:color w:val="auto"/>
        </w:rPr>
        <w:t xml:space="preserve">later than 12:00 noon (i) in the case of Eurocurrency Rate Loans denominated in Dollars, three (3) Business Days and (ii) in the case of Alternative Currency Rate Loans, four (4) Business Days (or five (5) Business Days in the case of a Special Notice Currency) prior to the requested date of such Borrowing, conversion or continuation, whereupon the Administrative Agent shall give prompt notice to the Appropriate Lenders of such request and determine whether the requested Interest Period is acceptable to all of them. Not later than 12:00 noon, four (4) Business Days (or five (5) Business Days in the caser of a Special Notice Currency) before the requested date of such Borrowing, conversion or continuation, the Administrative Agent shall notify Toro (which notice may be by telephone) whether or not the requested Interest Period has been consented to by all the Lenders. Each Borrowing of, conversion to or continuation of Eurocurrency Rate Loans or Alternative Currency Daily Rate Loans shall be in a principal amount of the Dollar Equivalent of $5,000,000 or a whole multiple of the Dollar Equivalent of $1,000,000 in excess thereof. Except as provided in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xml:space="preserve">, each Borrowing of or conversion to Base Rate Loans shall be in a principal amount of $500,000 or a whole multiple of $100,000 in excess thereof. Each Loan Notice shall specify (i) whether Toro (for itself or on behalf of a Subsidiary Borrower) is requesting a Term Borrowing, a Revolving Credit Borrowing, a conversion of Term Loans or Revolving Credit Loans from one Type to the other, or a continuation of Eurocurrency Rate Loans or Alternative Currency Term Rate Loans, (ii) the requested date of the Borrowing, conversion or continuation, as the case may be (which shall be a Business Day), (iii) the currency and principal amount of Loans to be borrowed, converted or continued, (iv) the Type of Loans to be borrowed or to which existing Loans are to be converted, and (v) if applicable, the duration of the Interest Period with respect thereto. If Toro fails to specify a currency in a Loan Notice requesting a Borrowing, then the Loans so requested shall be made in Dollars. If Toro fails to specify a Type of Loan in a Loan Notice or if Toro fails to give a timely notice requesting a conversion or continuation, then the applicable Loans shall be made as, or converted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a failure to timely request a continuation of Alternative Currency Term Rate Loans, such Loans shall be continued as Alternative Currency Term Rate Loans in their original currency with an Interest Period of one (1) month. Any such automatic conversion to Base Rate Loans shall be effective as of the last day of the Interest Period then in effect with respect to the applicable Loans. If Toro requests a Borrowing of, conversion to, or continuation of Eurocurrency Rate Loans in any such Loan Notice, but fails to specify an Interest Period, it will be deemed to have specified an Interest Period of one month. Except as provided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3.03</w:t>
      </w:r>
      <w:r>
        <w:rPr>
          <w:rFonts w:ascii="Arial" w:cs="Arial" w:eastAsia="Arial" w:hAnsi="Arial"/>
          <w:sz w:val="18"/>
          <w:szCs w:val="18"/>
          <w:color w:val="auto"/>
        </w:rPr>
        <w:t>, no Loan may be converted into or continued as a Loan denominated in a different currency, but instead must be repaid in the original currency of such Loan and reborrowed in the other currency. Notwithstanding anything to the contrary herein, a Swing Line Loan may not be converted to a Eurocurrency Rate Loan or Alternative Currency Loan.</w:t>
      </w:r>
    </w:p>
    <w:p>
      <w:pPr>
        <w:spacing w:after="0" w:line="174" w:lineRule="exact"/>
        <w:rPr>
          <w:sz w:val="20"/>
          <w:szCs w:val="20"/>
          <w:color w:val="auto"/>
        </w:rPr>
      </w:pPr>
    </w:p>
    <w:p>
      <w:pPr>
        <w:jc w:val="both"/>
        <w:ind w:firstLine="872"/>
        <w:spacing w:after="0" w:line="270" w:lineRule="auto"/>
        <w:tabs>
          <w:tab w:leader="none" w:pos="17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Following receipt of a Loan Notice, the Administrative Agent shall promptly notify each Lender of the amount (and currency) of its Applicable Percentage under the applicable Facility of the applicable Loans, and if no timely notice of a conversion or continuation is provided by Toro, the Administrative Agent shall notify each Lender of the details of any automatic conversion to Base Rate Loans or continuation of Alternative Currency Term Rate Loans described in the preceding subsection. In the case of a Term Borrowing or a Revolving Credit Borrowing, each Appropriate Lender shall make the amount of its Loan available to the Administrative Agent in Same Day Funds at the Administrative Agent’s Office for the applicable currency not later than 2:00 p.m., in the case of Loans denominated in Dollars, and not later than the Applicable Time in the case of any Loan denominated in an Alternative Currency, in each case, on the Business Day specified in the applicable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Administrative Agent shall make all funds so received available to the applicable Borrower identified in the Loan Notice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such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on the date a Loan Notice with respect to a Borrowing denominated in Dollars is given to the Administrative Agent, there are L/C Borrowings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4" w:name="page55"/>
    <w:bookmarkEnd w:id="54"/>
    <w:p>
      <w:pPr>
        <w:spacing w:after="0" w:line="287" w:lineRule="auto"/>
        <w:rPr>
          <w:sz w:val="20"/>
          <w:szCs w:val="20"/>
          <w:color w:val="auto"/>
        </w:rPr>
      </w:pPr>
      <w:r>
        <w:rPr>
          <w:rFonts w:ascii="Arial" w:cs="Arial" w:eastAsia="Arial" w:hAnsi="Arial"/>
          <w:sz w:val="19"/>
          <w:szCs w:val="19"/>
          <w:color w:val="auto"/>
        </w:rPr>
        <w:t xml:space="preserve">outstanding owing by the same such applicable Borrower, then the proceeds of such Borrowing,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shall be applied to the payment in full of any such L/C Borrowings, and, </w:t>
      </w:r>
      <w:r>
        <w:rPr>
          <w:rFonts w:ascii="Arial" w:cs="Arial" w:eastAsia="Arial" w:hAnsi="Arial"/>
          <w:sz w:val="19"/>
          <w:szCs w:val="19"/>
          <w:u w:val="single" w:color="auto"/>
          <w:color w:val="auto"/>
        </w:rPr>
        <w:t>second</w:t>
      </w:r>
      <w:r>
        <w:rPr>
          <w:rFonts w:ascii="Arial" w:cs="Arial" w:eastAsia="Arial" w:hAnsi="Arial"/>
          <w:sz w:val="19"/>
          <w:szCs w:val="19"/>
          <w:color w:val="auto"/>
        </w:rPr>
        <w:t>, shall be made available to the applicable Borrower as provided above.</w:t>
      </w:r>
    </w:p>
    <w:p>
      <w:pPr>
        <w:spacing w:after="0" w:line="152" w:lineRule="exact"/>
        <w:rPr>
          <w:sz w:val="20"/>
          <w:szCs w:val="20"/>
          <w:color w:val="auto"/>
        </w:rPr>
      </w:pPr>
    </w:p>
    <w:p>
      <w:pPr>
        <w:jc w:val="both"/>
        <w:ind w:firstLine="872"/>
        <w:spacing w:after="0" w:line="278" w:lineRule="auto"/>
        <w:tabs>
          <w:tab w:leader="none" w:pos="17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otherwise provided herein, a Eurocurrency Rate Loan may be continued or converted only on the last day of an Interest Period for such Loan. During the existence of a Default, no Loans may be requested as, converted to or continued as Eurocurrency Rate Loans or Alternative Currency Loans without the consent of the Required Lenders, and the Required Lenders may demand that any or all of the then outstanding Eurocurrency Rate Loans or Alternative Currency Loans be prepaid, or redenominated into Dollars in the amount of the Dollar Equivalent thereof, on the last day of the then current Interest Period with respect thereto.</w:t>
      </w:r>
    </w:p>
    <w:p>
      <w:pPr>
        <w:spacing w:after="0" w:line="164" w:lineRule="exact"/>
        <w:rPr>
          <w:rFonts w:ascii="Arial" w:cs="Arial" w:eastAsia="Arial" w:hAnsi="Arial"/>
          <w:sz w:val="18"/>
          <w:szCs w:val="18"/>
          <w:color w:val="auto"/>
        </w:rPr>
      </w:pPr>
    </w:p>
    <w:p>
      <w:pPr>
        <w:jc w:val="both"/>
        <w:ind w:firstLine="872"/>
        <w:spacing w:after="0" w:line="246" w:lineRule="auto"/>
        <w:tabs>
          <w:tab w:leader="none" w:pos="1742"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Administrative Agent shall promptly notify Toro and the Lenders of the interest rate applicable to any Interest Period for Eurocurrency Rate Loans upon determination of such interest rate. At any time that Base Rate Loans are outstanding, the Administrative Agent shall notify Toro and the Lenders of any change in Bank of America’s prime rate used in determining the Base Rate promptly following the public announcement of such change.</w:t>
      </w:r>
    </w:p>
    <w:p>
      <w:pPr>
        <w:spacing w:after="0" w:line="191" w:lineRule="exact"/>
        <w:rPr>
          <w:rFonts w:ascii="Arial" w:cs="Arial" w:eastAsia="Arial" w:hAnsi="Arial"/>
          <w:sz w:val="20"/>
          <w:szCs w:val="20"/>
          <w:color w:val="auto"/>
        </w:rPr>
      </w:pPr>
    </w:p>
    <w:p>
      <w:pPr>
        <w:jc w:val="both"/>
        <w:ind w:firstLine="872"/>
        <w:spacing w:after="0" w:line="244" w:lineRule="auto"/>
        <w:tabs>
          <w:tab w:leader="none" w:pos="1731" w:val="left"/>
        </w:tabs>
        <w:numPr>
          <w:ilvl w:val="0"/>
          <w:numId w:val="42"/>
        </w:numPr>
        <w:rPr>
          <w:rFonts w:ascii="Arial" w:cs="Arial" w:eastAsia="Arial" w:hAnsi="Arial"/>
          <w:sz w:val="20"/>
          <w:szCs w:val="20"/>
          <w:color w:val="auto"/>
        </w:rPr>
      </w:pPr>
      <w:r>
        <w:rPr>
          <w:rFonts w:ascii="Arial" w:cs="Arial" w:eastAsia="Arial" w:hAnsi="Arial"/>
          <w:sz w:val="20"/>
          <w:szCs w:val="20"/>
          <w:color w:val="auto"/>
        </w:rPr>
        <w:t>After giving effect to all Term Borrowings, all conversions of Term Loans from one Type to the other, and all continuations of Term Loans as the same Type, there shall not be more than five Interest Periods in effect in respect of the Term Facility. After giving effect to all Revolving Credit Borrowings, all conversions of Revolving Credit Loans from one Type to the other, and all continuations of Revolving Credit Loans as the same Type, there shall not be more than five Interest Periods in effect in respect of the Revolving Credit Facility.</w:t>
      </w:r>
    </w:p>
    <w:p>
      <w:pPr>
        <w:spacing w:after="0" w:line="194" w:lineRule="exact"/>
        <w:rPr>
          <w:rFonts w:ascii="Arial" w:cs="Arial" w:eastAsia="Arial" w:hAnsi="Arial"/>
          <w:sz w:val="20"/>
          <w:szCs w:val="20"/>
          <w:color w:val="auto"/>
        </w:rPr>
      </w:pPr>
    </w:p>
    <w:p>
      <w:pPr>
        <w:jc w:val="both"/>
        <w:ind w:firstLine="872"/>
        <w:spacing w:after="0" w:line="291" w:lineRule="auto"/>
        <w:tabs>
          <w:tab w:leader="none" w:pos="17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51" w:lineRule="exact"/>
        <w:rPr>
          <w:rFonts w:ascii="Arial" w:cs="Arial" w:eastAsia="Arial" w:hAnsi="Arial"/>
          <w:sz w:val="18"/>
          <w:szCs w:val="18"/>
          <w:color w:val="auto"/>
        </w:rPr>
      </w:pPr>
    </w:p>
    <w:p>
      <w:pPr>
        <w:jc w:val="both"/>
        <w:ind w:firstLine="872"/>
        <w:spacing w:after="0" w:line="259" w:lineRule="auto"/>
        <w:tabs>
          <w:tab w:leader="none" w:pos="1742"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With respect to any Eurocurrency Rate or Alternative Currency Daily Rate,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amendment effected, the Administrative Agent shall post each such amendment implementing such Benchmark Replacement Conforming Changes to the Borrowers and the Lenders reasonably promptly after such amendment becomes effective.</w:t>
      </w:r>
    </w:p>
    <w:p>
      <w:pPr>
        <w:spacing w:after="0" w:line="16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2.03</w:t>
      </w:r>
      <w:r>
        <w:rPr>
          <w:sz w:val="20"/>
          <w:szCs w:val="20"/>
          <w:color w:val="auto"/>
        </w:rPr>
        <w:tab/>
      </w:r>
      <w:r>
        <w:rPr>
          <w:rFonts w:ascii="Arial" w:cs="Arial" w:eastAsia="Arial" w:hAnsi="Arial"/>
          <w:sz w:val="18"/>
          <w:szCs w:val="18"/>
          <w:b w:val="1"/>
          <w:bCs w:val="1"/>
          <w:color w:val="auto"/>
        </w:rPr>
        <w:t>Letters of Credit</w:t>
      </w:r>
      <w:r>
        <w:rPr>
          <w:rFonts w:ascii="Arial" w:cs="Arial" w:eastAsia="Arial" w:hAnsi="Arial"/>
          <w:sz w:val="19"/>
          <w:szCs w:val="19"/>
          <w:b w:val="1"/>
          <w:bCs w:val="1"/>
          <w:color w:val="auto"/>
        </w:rPr>
        <w:t>.</w:t>
      </w:r>
    </w:p>
    <w:p>
      <w:pPr>
        <w:spacing w:after="0" w:line="240" w:lineRule="exact"/>
        <w:rPr>
          <w:sz w:val="20"/>
          <w:szCs w:val="20"/>
          <w:color w:val="auto"/>
        </w:rPr>
      </w:pPr>
    </w:p>
    <w:p>
      <w:pPr>
        <w:ind w:left="1740" w:hanging="868"/>
        <w:spacing w:after="0"/>
        <w:tabs>
          <w:tab w:leader="none" w:pos="174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789"/>
        <w:spacing w:after="0" w:line="243" w:lineRule="auto"/>
        <w:tabs>
          <w:tab w:leader="none" w:pos="2512" w:val="left"/>
        </w:tabs>
        <w:numPr>
          <w:ilvl w:val="1"/>
          <w:numId w:val="43"/>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herein, (A) the L/C Issuer agrees, in reliance upon the agreements of the Revolving Credit Lenders set forth in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(1) from time to time on any Business Day during the period from the Closing Date until the Letter of Credit Expiration Date, to issue Letters of Credit denominated in Dollars or in one or more Alternative Currencies for the account of an L/C Party, and to amend or extend Letters of Credit previously issued by it, in accordance with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and (2) to honor drawings under the Letters of Credit; and (B) the Revolving Credit Lenders severally agree to participate in Letters of Credit issued for the account of any L/C Party and any drawings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after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5" w:name="page56"/>
    <w:bookmarkEnd w:id="55"/>
    <w:p>
      <w:pPr>
        <w:jc w:val="both"/>
        <w:spacing w:after="0" w:line="255" w:lineRule="auto"/>
        <w:rPr>
          <w:sz w:val="20"/>
          <w:szCs w:val="20"/>
          <w:color w:val="auto"/>
        </w:rPr>
      </w:pPr>
      <w:r>
        <w:rPr>
          <w:rFonts w:ascii="Arial" w:cs="Arial" w:eastAsia="Arial" w:hAnsi="Arial"/>
          <w:sz w:val="19"/>
          <w:szCs w:val="19"/>
          <w:color w:val="auto"/>
        </w:rPr>
        <w:t>giving effect to any L/C Credit Extension with respect to any Letter of Credit, (x) the Total Revolving Credit Outstandings shall not exceed the Revolving Credit Facility, (y) the Revolving Credit Exposure of any Revolving Credit Lender shall not exceed such Lender’s Revolving Credit Commitment, and (z) the Outstanding Amount of the L/C Obligations shall not exceed the Letter of Credit Sublimit. Each request by an L/C Party for the issuance or amendment of a Letter of Credit shall be deemed to be a representation by such L/C Party that the L/C Credit Extension so requested complies with the conditions set forth in the provisos to the preceding sentence. Within the foregoing limits, and subject to the terms and conditions hereof, each L/C Party’s ability to obtain Letters of Credit shall be fully revolving, and accordingly each L/C Party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90" w:lineRule="exact"/>
        <w:rPr>
          <w:sz w:val="20"/>
          <w:szCs w:val="20"/>
          <w:color w:val="auto"/>
        </w:rPr>
      </w:pPr>
    </w:p>
    <w:p>
      <w:pPr>
        <w:ind w:left="1680" w:hanging="891"/>
        <w:spacing w:after="0"/>
        <w:tabs>
          <w:tab w:leader="none" w:pos="16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L/C Issuer shall not issue any Letter of Credit, if:</w:t>
      </w:r>
    </w:p>
    <w:p>
      <w:pPr>
        <w:spacing w:after="0" w:line="229" w:lineRule="exact"/>
        <w:rPr>
          <w:rFonts w:ascii="Arial" w:cs="Arial" w:eastAsia="Arial" w:hAnsi="Arial"/>
          <w:sz w:val="20"/>
          <w:szCs w:val="20"/>
          <w:color w:val="auto"/>
        </w:rPr>
      </w:pPr>
    </w:p>
    <w:p>
      <w:pPr>
        <w:jc w:val="both"/>
        <w:ind w:left="860" w:firstLine="726"/>
        <w:spacing w:after="0" w:line="238" w:lineRule="auto"/>
        <w:tabs>
          <w:tab w:leader="none" w:pos="2615" w:val="left"/>
        </w:tabs>
        <w:numPr>
          <w:ilvl w:val="1"/>
          <w:numId w:val="44"/>
        </w:numPr>
        <w:rPr>
          <w:rFonts w:ascii="Arial" w:cs="Arial" w:eastAsia="Arial" w:hAnsi="Arial"/>
          <w:sz w:val="22"/>
          <w:szCs w:val="22"/>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2.03(b)(iii)</w:t>
      </w:r>
      <w:r>
        <w:rPr>
          <w:rFonts w:ascii="Arial" w:cs="Arial" w:eastAsia="Arial" w:hAnsi="Arial"/>
          <w:sz w:val="20"/>
          <w:szCs w:val="20"/>
          <w:color w:val="auto"/>
        </w:rPr>
        <w:t>, the expiry date of such requested Letter of Credit would occur more than thirty months after the date of issuance or last extension, unless the Required Revolving Lenders have approved such expiry date; or</w:t>
      </w:r>
    </w:p>
    <w:p>
      <w:pPr>
        <w:spacing w:after="0" w:line="211" w:lineRule="exact"/>
        <w:rPr>
          <w:rFonts w:ascii="Arial" w:cs="Arial" w:eastAsia="Arial" w:hAnsi="Arial"/>
          <w:sz w:val="22"/>
          <w:szCs w:val="22"/>
          <w:color w:val="auto"/>
        </w:rPr>
      </w:pPr>
    </w:p>
    <w:p>
      <w:pPr>
        <w:ind w:left="860" w:firstLine="726"/>
        <w:spacing w:after="0" w:line="238" w:lineRule="auto"/>
        <w:tabs>
          <w:tab w:leader="none" w:pos="2527" w:val="left"/>
        </w:tabs>
        <w:numPr>
          <w:ilvl w:val="1"/>
          <w:numId w:val="44"/>
        </w:numPr>
        <w:rPr>
          <w:rFonts w:ascii="Arial" w:cs="Arial" w:eastAsia="Arial" w:hAnsi="Arial"/>
          <w:sz w:val="22"/>
          <w:szCs w:val="22"/>
          <w:color w:val="auto"/>
        </w:rPr>
      </w:pPr>
      <w:r>
        <w:rPr>
          <w:rFonts w:ascii="Arial" w:cs="Arial" w:eastAsia="Arial" w:hAnsi="Arial"/>
          <w:sz w:val="20"/>
          <w:szCs w:val="20"/>
          <w:color w:val="auto"/>
        </w:rPr>
        <w:t>the expiry date of such requested Letter of Credit would occur after the Letter of Credit Expiration Date, unless all the Revolving Credit Lenders have approved such expiry date.</w:t>
      </w:r>
    </w:p>
    <w:p>
      <w:pPr>
        <w:spacing w:after="0" w:line="196" w:lineRule="exact"/>
        <w:rPr>
          <w:rFonts w:ascii="Arial" w:cs="Arial" w:eastAsia="Arial" w:hAnsi="Arial"/>
          <w:sz w:val="22"/>
          <w:szCs w:val="22"/>
          <w:color w:val="auto"/>
        </w:rPr>
      </w:pPr>
    </w:p>
    <w:p>
      <w:pPr>
        <w:ind w:left="1740" w:hanging="951"/>
        <w:spacing w:after="0"/>
        <w:tabs>
          <w:tab w:leader="none" w:pos="17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L/C Issuer shall not be under any obligation to issue any Letter of Credit if:</w:t>
      </w:r>
    </w:p>
    <w:p>
      <w:pPr>
        <w:spacing w:after="0" w:line="229" w:lineRule="exact"/>
        <w:rPr>
          <w:rFonts w:ascii="Arial" w:cs="Arial" w:eastAsia="Arial" w:hAnsi="Arial"/>
          <w:sz w:val="20"/>
          <w:szCs w:val="20"/>
          <w:color w:val="auto"/>
        </w:rPr>
      </w:pPr>
    </w:p>
    <w:p>
      <w:pPr>
        <w:jc w:val="both"/>
        <w:ind w:left="860" w:firstLine="726"/>
        <w:spacing w:after="0" w:line="271" w:lineRule="auto"/>
        <w:tabs>
          <w:tab w:leader="none" w:pos="2539" w:val="left"/>
        </w:tabs>
        <w:numPr>
          <w:ilvl w:val="1"/>
          <w:numId w:val="44"/>
        </w:numPr>
        <w:rPr>
          <w:rFonts w:ascii="Arial" w:cs="Arial" w:eastAsia="Arial" w:hAnsi="Arial"/>
          <w:sz w:val="19"/>
          <w:szCs w:val="19"/>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82" w:lineRule="exact"/>
        <w:rPr>
          <w:rFonts w:ascii="Arial" w:cs="Arial" w:eastAsia="Arial" w:hAnsi="Arial"/>
          <w:sz w:val="19"/>
          <w:szCs w:val="19"/>
          <w:color w:val="auto"/>
        </w:rPr>
      </w:pPr>
    </w:p>
    <w:p>
      <w:pPr>
        <w:ind w:left="860" w:right="20" w:firstLine="726"/>
        <w:spacing w:after="0" w:line="238" w:lineRule="auto"/>
        <w:tabs>
          <w:tab w:leader="none" w:pos="2527" w:val="left"/>
        </w:tabs>
        <w:numPr>
          <w:ilvl w:val="1"/>
          <w:numId w:val="44"/>
        </w:numPr>
        <w:rPr>
          <w:rFonts w:ascii="Arial" w:cs="Arial" w:eastAsia="Arial" w:hAnsi="Arial"/>
          <w:sz w:val="22"/>
          <w:szCs w:val="22"/>
          <w:color w:val="auto"/>
        </w:rPr>
      </w:pPr>
      <w:r>
        <w:rPr>
          <w:rFonts w:ascii="Arial" w:cs="Arial" w:eastAsia="Arial" w:hAnsi="Arial"/>
          <w:sz w:val="20"/>
          <w:szCs w:val="20"/>
          <w:color w:val="auto"/>
        </w:rPr>
        <w:t>the issuance of such Letter of Credit would violate one or more policies of the L/C Issuer applicable to letters of credit generally;</w:t>
      </w:r>
    </w:p>
    <w:p>
      <w:pPr>
        <w:spacing w:after="0" w:line="209" w:lineRule="exact"/>
        <w:rPr>
          <w:rFonts w:ascii="Arial" w:cs="Arial" w:eastAsia="Arial" w:hAnsi="Arial"/>
          <w:sz w:val="22"/>
          <w:szCs w:val="22"/>
          <w:color w:val="auto"/>
        </w:rPr>
      </w:pPr>
    </w:p>
    <w:p>
      <w:pPr>
        <w:ind w:left="860" w:firstLine="726"/>
        <w:spacing w:after="0" w:line="238" w:lineRule="auto"/>
        <w:tabs>
          <w:tab w:leader="none" w:pos="2527" w:val="left"/>
        </w:tabs>
        <w:numPr>
          <w:ilvl w:val="1"/>
          <w:numId w:val="44"/>
        </w:numPr>
        <w:rPr>
          <w:rFonts w:ascii="Arial" w:cs="Arial" w:eastAsia="Arial" w:hAnsi="Arial"/>
          <w:sz w:val="22"/>
          <w:szCs w:val="22"/>
          <w:color w:val="auto"/>
        </w:rPr>
      </w:pPr>
      <w:r>
        <w:rPr>
          <w:rFonts w:ascii="Arial" w:cs="Arial" w:eastAsia="Arial" w:hAnsi="Arial"/>
          <w:sz w:val="20"/>
          <w:szCs w:val="20"/>
          <w:color w:val="auto"/>
        </w:rPr>
        <w:t>except as otherwise agreed by the Administrative Agent and the L/C Issuer, such Letter of Credit is in an initial stated amount less than the Dollar Equivalent of $1,000,000;</w:t>
      </w:r>
    </w:p>
    <w:p>
      <w:pPr>
        <w:spacing w:after="0" w:line="209" w:lineRule="exact"/>
        <w:rPr>
          <w:rFonts w:ascii="Arial" w:cs="Arial" w:eastAsia="Arial" w:hAnsi="Arial"/>
          <w:sz w:val="22"/>
          <w:szCs w:val="22"/>
          <w:color w:val="auto"/>
        </w:rPr>
      </w:pPr>
    </w:p>
    <w:p>
      <w:pPr>
        <w:ind w:left="860" w:firstLine="726"/>
        <w:spacing w:after="0" w:line="238" w:lineRule="auto"/>
        <w:tabs>
          <w:tab w:leader="none" w:pos="2539" w:val="left"/>
        </w:tabs>
        <w:numPr>
          <w:ilvl w:val="1"/>
          <w:numId w:val="44"/>
        </w:numPr>
        <w:rPr>
          <w:rFonts w:ascii="Arial" w:cs="Arial" w:eastAsia="Arial" w:hAnsi="Arial"/>
          <w:sz w:val="22"/>
          <w:szCs w:val="22"/>
          <w:color w:val="auto"/>
        </w:rPr>
      </w:pPr>
      <w:r>
        <w:rPr>
          <w:rFonts w:ascii="Arial" w:cs="Arial" w:eastAsia="Arial" w:hAnsi="Arial"/>
          <w:sz w:val="20"/>
          <w:szCs w:val="20"/>
          <w:color w:val="auto"/>
        </w:rPr>
        <w:t>except as otherwise agreed by the Administrative Agent and the L/C Issuer, such Letter of Credit is to be denominated in a currency other than Dollars or an Alternative Currency;</w:t>
      </w:r>
    </w:p>
    <w:p>
      <w:pPr>
        <w:spacing w:after="0" w:line="209" w:lineRule="exact"/>
        <w:rPr>
          <w:rFonts w:ascii="Arial" w:cs="Arial" w:eastAsia="Arial" w:hAnsi="Arial"/>
          <w:sz w:val="22"/>
          <w:szCs w:val="22"/>
          <w:color w:val="auto"/>
        </w:rPr>
      </w:pPr>
    </w:p>
    <w:p>
      <w:pPr>
        <w:ind w:left="860" w:firstLine="726"/>
        <w:spacing w:after="0" w:line="238" w:lineRule="auto"/>
        <w:tabs>
          <w:tab w:leader="none" w:pos="2515" w:val="left"/>
        </w:tabs>
        <w:numPr>
          <w:ilvl w:val="1"/>
          <w:numId w:val="44"/>
        </w:numPr>
        <w:rPr>
          <w:rFonts w:ascii="Arial" w:cs="Arial" w:eastAsia="Arial" w:hAnsi="Arial"/>
          <w:sz w:val="22"/>
          <w:szCs w:val="22"/>
          <w:color w:val="auto"/>
        </w:rPr>
      </w:pPr>
      <w:r>
        <w:rPr>
          <w:rFonts w:ascii="Arial" w:cs="Arial" w:eastAsia="Arial" w:hAnsi="Arial"/>
          <w:sz w:val="20"/>
          <w:szCs w:val="20"/>
          <w:color w:val="auto"/>
        </w:rPr>
        <w:t>the L/C Issuer does not as of the issuance date of such requested Letter of Credit issue Letters of Credit in the requested currency; or</w:t>
      </w:r>
    </w:p>
    <w:p>
      <w:pPr>
        <w:spacing w:after="0" w:line="196"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160655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9" w:right="339" w:bottom="1440" w:gutter="0" w:footer="0" w:header="0"/>
        </w:sectPr>
      </w:pPr>
    </w:p>
    <w:bookmarkStart w:id="56" w:name="page57"/>
    <w:bookmarkEnd w:id="56"/>
    <w:p>
      <w:pPr>
        <w:jc w:val="both"/>
        <w:ind w:left="868" w:firstLine="726"/>
        <w:spacing w:after="0" w:line="253" w:lineRule="auto"/>
        <w:tabs>
          <w:tab w:leader="none" w:pos="2511" w:val="left"/>
        </w:tabs>
        <w:numPr>
          <w:ilvl w:val="2"/>
          <w:numId w:val="45"/>
        </w:numPr>
        <w:rPr>
          <w:rFonts w:ascii="Arial" w:cs="Arial" w:eastAsia="Arial" w:hAnsi="Arial"/>
          <w:sz w:val="21"/>
          <w:szCs w:val="21"/>
          <w:color w:val="auto"/>
        </w:rPr>
      </w:pPr>
      <w:r>
        <w:rPr>
          <w:rFonts w:ascii="Arial" w:cs="Arial" w:eastAsia="Arial" w:hAnsi="Arial"/>
          <w:sz w:val="19"/>
          <w:szCs w:val="19"/>
          <w:color w:val="auto"/>
        </w:rPr>
        <w:t xml:space="preserve">any Revolving Credit Lender is at that time a Defaulting Lender, unless the L/C Issuer has entered into arrangements, including the delivery of Cash Collateral, satisfactory to the L/C Issuer (in its sole discretion) with the L/C Parties or such Defaulting Lender to eliminate the L/C Issuer’s actual or potential Fronting Exposure (after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with respect to such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200" w:lineRule="exact"/>
        <w:rPr>
          <w:rFonts w:ascii="Arial" w:cs="Arial" w:eastAsia="Arial" w:hAnsi="Arial"/>
          <w:sz w:val="21"/>
          <w:szCs w:val="21"/>
          <w:color w:val="auto"/>
        </w:rPr>
      </w:pPr>
    </w:p>
    <w:p>
      <w:pPr>
        <w:ind w:left="868" w:firstLine="726"/>
        <w:spacing w:after="0" w:line="238" w:lineRule="auto"/>
        <w:tabs>
          <w:tab w:leader="none" w:pos="2547" w:val="left"/>
        </w:tabs>
        <w:numPr>
          <w:ilvl w:val="2"/>
          <w:numId w:val="45"/>
        </w:numPr>
        <w:rPr>
          <w:rFonts w:ascii="Arial" w:cs="Arial" w:eastAsia="Arial" w:hAnsi="Arial"/>
          <w:sz w:val="22"/>
          <w:szCs w:val="22"/>
          <w:color w:val="auto"/>
        </w:rPr>
      </w:pPr>
      <w:r>
        <w:rPr>
          <w:rFonts w:ascii="Arial" w:cs="Arial" w:eastAsia="Arial" w:hAnsi="Arial"/>
          <w:sz w:val="20"/>
          <w:szCs w:val="20"/>
          <w:color w:val="auto"/>
        </w:rPr>
        <w:t>such Letter of Credit contains any provisions for automatic reinstatement of the stated amount after any drawing thereunder.</w:t>
      </w:r>
    </w:p>
    <w:p>
      <w:pPr>
        <w:spacing w:after="0" w:line="196" w:lineRule="exact"/>
        <w:rPr>
          <w:rFonts w:ascii="Arial" w:cs="Arial" w:eastAsia="Arial" w:hAnsi="Arial"/>
          <w:sz w:val="22"/>
          <w:szCs w:val="22"/>
          <w:color w:val="auto"/>
        </w:rPr>
      </w:pPr>
    </w:p>
    <w:p>
      <w:pPr>
        <w:ind w:left="8" w:right="20" w:firstLine="789"/>
        <w:spacing w:after="0" w:line="260" w:lineRule="auto"/>
        <w:tabs>
          <w:tab w:leader="none" w:pos="1739"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L/C Issuer shall not amend any Letter of Credit if the L/C Issuer would not be permitted at such time to issue such Letter of Credit in its amended form under the terms hereof.</w:t>
      </w:r>
    </w:p>
    <w:p>
      <w:pPr>
        <w:spacing w:after="0" w:line="176" w:lineRule="exact"/>
        <w:rPr>
          <w:rFonts w:ascii="Arial" w:cs="Arial" w:eastAsia="Arial" w:hAnsi="Arial"/>
          <w:sz w:val="20"/>
          <w:szCs w:val="20"/>
          <w:color w:val="auto"/>
        </w:rPr>
      </w:pPr>
    </w:p>
    <w:p>
      <w:pPr>
        <w:jc w:val="both"/>
        <w:ind w:left="8" w:firstLine="789"/>
        <w:spacing w:after="0" w:line="250" w:lineRule="auto"/>
        <w:tabs>
          <w:tab w:leader="none" w:pos="1684"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85" w:lineRule="exact"/>
        <w:rPr>
          <w:rFonts w:ascii="Arial" w:cs="Arial" w:eastAsia="Arial" w:hAnsi="Arial"/>
          <w:sz w:val="20"/>
          <w:szCs w:val="20"/>
          <w:color w:val="auto"/>
        </w:rPr>
      </w:pPr>
    </w:p>
    <w:p>
      <w:pPr>
        <w:jc w:val="both"/>
        <w:ind w:left="8" w:firstLine="789"/>
        <w:spacing w:after="0" w:line="259" w:lineRule="auto"/>
        <w:tabs>
          <w:tab w:leader="none" w:pos="1739"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The L/C Issuer shall act on behalf of the Revolving Credit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included the L/C Issuer with respect to such acts or omissions, and (B) as additionally provided herein with respect to the L/C Issuer.</w:t>
      </w:r>
    </w:p>
    <w:p>
      <w:pPr>
        <w:spacing w:after="0" w:line="178" w:lineRule="exact"/>
        <w:rPr>
          <w:rFonts w:ascii="Arial" w:cs="Arial" w:eastAsia="Arial" w:hAnsi="Arial"/>
          <w:sz w:val="19"/>
          <w:szCs w:val="19"/>
          <w:color w:val="auto"/>
        </w:rPr>
      </w:pPr>
    </w:p>
    <w:p>
      <w:pPr>
        <w:ind w:left="888" w:hanging="888"/>
        <w:spacing w:after="0"/>
        <w:tabs>
          <w:tab w:leader="none" w:pos="888"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 w:firstLine="789"/>
        <w:spacing w:after="0" w:line="269" w:lineRule="auto"/>
        <w:tabs>
          <w:tab w:leader="none" w:pos="1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Letter of Credit shall be issued or amended, as the case may be, upon the request of Toro delivered to the L/C Issuer (with a copy to the Administrative Agent) in the form of a Letter of Credit Application, appropriately completed and signed by a Responsible Officer of Toro. Such Letter of Credit Application may be sent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12:00 noon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applicable L/C Party for which such Letter of Credit is requested to be issued; (H) the purpose and nature of the requested Letter of Credit; and (I) such other matters as the L/C Issuer may require. In the case of a request for an amendment of any outstanding Letter of Credit, such Letter of Credit Application shall specify in form and detail satisfactory to the L/C</w:t>
      </w:r>
    </w:p>
    <w:p>
      <w:pPr>
        <w:spacing w:after="0" w:line="179" w:lineRule="exact"/>
        <w:rPr>
          <w:sz w:val="20"/>
          <w:szCs w:val="20"/>
          <w:color w:val="auto"/>
        </w:rPr>
      </w:pPr>
    </w:p>
    <w:p>
      <w:pPr>
        <w:ind w:left="4648"/>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160655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52" w:right="339" w:bottom="1440" w:gutter="0" w:footer="0" w:header="0"/>
        </w:sectPr>
      </w:pPr>
    </w:p>
    <w:bookmarkStart w:id="57" w:name="page58"/>
    <w:bookmarkEnd w:id="57"/>
    <w:p>
      <w:pPr>
        <w:jc w:val="both"/>
        <w:spacing w:after="0" w:line="282" w:lineRule="auto"/>
        <w:rPr>
          <w:sz w:val="20"/>
          <w:szCs w:val="20"/>
          <w:color w:val="auto"/>
        </w:rPr>
      </w:pPr>
      <w:r>
        <w:rPr>
          <w:rFonts w:ascii="Arial" w:cs="Arial" w:eastAsia="Arial" w:hAnsi="Arial"/>
          <w:sz w:val="18"/>
          <w:szCs w:val="18"/>
          <w:color w:val="auto"/>
        </w:rPr>
        <w:t>Issuer (A) the Letter of Credit to be amended; (B) the proposed date of amendment thereof (which shall be a Business Day); (C) the nature of the proposed amendment; and (D) such other matters as the L/C Issuer may require. Additionally, Toro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61" w:lineRule="exact"/>
        <w:rPr>
          <w:sz w:val="20"/>
          <w:szCs w:val="20"/>
          <w:color w:val="auto"/>
        </w:rPr>
      </w:pPr>
    </w:p>
    <w:p>
      <w:pPr>
        <w:jc w:val="both"/>
        <w:ind w:firstLine="789"/>
        <w:spacing w:after="0" w:line="271" w:lineRule="auto"/>
        <w:tabs>
          <w:tab w:leader="none" w:pos="16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Promptly after receipt of any Letter of Credit Application, the L/C Issuer will confirm with the Administrative Agent (by telephone or in writing) that the Administrative Agent has received a copy of such Letter of Credit Application from Toro and, if not, the L/C Issuer will provide the Administrative Agent with a copy thereof. Unless the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then be satisfied, then, subject to the terms and conditions hereof, the L/C Issuer shall, on the requested date, issue a Letter of Credit for the account of the applicable L/C Party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Letter of Credit.</w:t>
      </w:r>
    </w:p>
    <w:p>
      <w:pPr>
        <w:spacing w:after="0" w:line="169" w:lineRule="exact"/>
        <w:rPr>
          <w:rFonts w:ascii="Arial" w:cs="Arial" w:eastAsia="Arial" w:hAnsi="Arial"/>
          <w:sz w:val="18"/>
          <w:szCs w:val="18"/>
          <w:color w:val="auto"/>
        </w:rPr>
      </w:pPr>
    </w:p>
    <w:p>
      <w:pPr>
        <w:jc w:val="both"/>
        <w:ind w:firstLine="789"/>
        <w:spacing w:after="0" w:line="269" w:lineRule="auto"/>
        <w:tabs>
          <w:tab w:leader="none" w:pos="17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Toro so requests in any applicable Letter of Credit Application, the L/C Issuer may, in its sole and absolute discretion, agree to issue a Letter of Credit that has automatic extension provisions (each, an “</w:t>
      </w:r>
      <w:r>
        <w:rPr>
          <w:rFonts w:ascii="Arial" w:cs="Arial" w:eastAsia="Arial" w:hAnsi="Arial"/>
          <w:sz w:val="18"/>
          <w:szCs w:val="18"/>
          <w:u w:val="single" w:color="auto"/>
          <w:color w:val="auto"/>
        </w:rPr>
        <w:t>Auto-Extension Letter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twelve-month period to be agreed upon at the time such Letter of Credit is issued. Unless otherwise directed by the L/C Issuer, neither Toro nor the applicable L/C Party shall be required to make a specific request to the L/C Issuer for any such extension. Once an Auto-Extension Letter of Credit has been issued, the Revolving Credit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otherwise), or (B) it has received notice (which may be by telephone or in writing) on or before the day that is five Business Days before the Non-Extension Notice Date (1) from the Administrative Agent that the Required Revolving Lenders have elected not to permit such extension or (2) from the Administrative Agent, any Revolving Credit Lender or any Loan Party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the L/C Issuer not to permit such extension.</w:t>
      </w:r>
    </w:p>
    <w:p>
      <w:pPr>
        <w:spacing w:after="0" w:line="176" w:lineRule="exact"/>
        <w:rPr>
          <w:rFonts w:ascii="Arial" w:cs="Arial" w:eastAsia="Arial" w:hAnsi="Arial"/>
          <w:sz w:val="18"/>
          <w:szCs w:val="18"/>
          <w:color w:val="auto"/>
        </w:rPr>
      </w:pPr>
    </w:p>
    <w:p>
      <w:pPr>
        <w:jc w:val="both"/>
        <w:ind w:firstLine="789"/>
        <w:spacing w:after="0" w:line="250" w:lineRule="auto"/>
        <w:tabs>
          <w:tab w:leader="none" w:pos="1731" w:val="left"/>
        </w:tabs>
        <w:numPr>
          <w:ilvl w:val="0"/>
          <w:numId w:val="48"/>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L/C Issuer will also deliver to the applicable L/C Party and the Administrative Agent a true and complete copy of such Letter of Credit or amendment.</w:t>
      </w:r>
    </w:p>
    <w:p>
      <w:pPr>
        <w:spacing w:after="0" w:line="186"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160655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9" w:right="339" w:bottom="1440" w:gutter="0" w:footer="0" w:header="0"/>
        </w:sectPr>
      </w:pPr>
    </w:p>
    <w:bookmarkStart w:id="58" w:name="page59"/>
    <w:bookmarkEnd w:id="58"/>
    <w:p>
      <w:pPr>
        <w:ind w:left="868" w:hanging="868"/>
        <w:spacing w:after="0"/>
        <w:tabs>
          <w:tab w:leader="none" w:pos="868"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 w:firstLine="789"/>
        <w:spacing w:after="0" w:line="268" w:lineRule="auto"/>
        <w:tabs>
          <w:tab w:leader="none" w:pos="1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L/C Issuer shall notify the applicable L/C Party and the Administrative Agent thereof. In the case of a Letter of Credit denominated in an Alternative Currency, such L/C Party shall reimburse the L/C Issuer in such Alternative Currency, unless (A) the L/C Issuer (at its option) shall have specified in such notice that it will require reimbursement in Dollars, or (B) in the absence of any such requirement for reimbursement in Dollars, such L/C Party shall have notified the L/C Issuer promptly following receipt of the notice of drawing that the L/C Party will reimburse the L/C Issuer in Dollars. In the case of any such reimbursement in Dollars of a drawing under a Letter of Credit denominated in an Alternative Currency, the L/C Issuer shall notify the applicable L/C Party of the Dollar Equivalent of the amount of the drawing promptly following the determination thereof. Not later than 12:00 noon on the date of any payment by the L/C Issuer under a Letter of Credit to be reimbursed in Dollars, or the Applicable Time on the date of any payment by the L/C Issuer under a Letter of Credit to be reimbursed in an Alternative Currency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the applicable L/C Party shall reimburse the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and (B) the Dollar amount paid by applicable L/C Party, whether on or after the Honor Date, shall not be adequate on the date of that payment to purchase in accordance with normal banking procedures a sum denominated in the Alternative Currency equal to the drawing, the applicable L/C Party agrees, as a separate and independent obligation, to indemnify the L/C Issuer for the loss resulting from its inability on that date to purchase the Alternative Currency in the full amount of the drawing. If the applicable L/C Party fails to so reimburse the L/C Issuer by such time, the Administrative Agent or the L/C Issuer shall promptly notify each Revolving Credit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Revolving Credit Lender’s Applicable Percentage thereof. In such event, the applicable L/C Party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amount of the unutilized portion of the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Loan Notice). Any notice given by the L/C Issuer or the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71" w:lineRule="exact"/>
        <w:rPr>
          <w:rFonts w:ascii="Arial" w:cs="Arial" w:eastAsia="Arial" w:hAnsi="Arial"/>
          <w:sz w:val="18"/>
          <w:szCs w:val="18"/>
          <w:color w:val="auto"/>
        </w:rPr>
      </w:pPr>
    </w:p>
    <w:p>
      <w:pPr>
        <w:jc w:val="both"/>
        <w:ind w:left="8" w:firstLine="789"/>
        <w:spacing w:after="0" w:line="243" w:lineRule="auto"/>
        <w:tabs>
          <w:tab w:leader="none" w:pos="1695"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Each Revolving Credit Lender shall upon any notice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make funds available (and the Administrative Agent may apply Cash Collateral provided for this purpose) for the account of the L/C Issuer, in Dollars, at the Administrative Agent’s Office for Dollar-denominated payments in an amount equal to its Applicable Percentage of the Unreimbursed Amount not later than 2:00 p.m. on the Business Day specified in such notice by the Administrative Agent, whereupon, subject to the provisions of </w:t>
      </w:r>
      <w:r>
        <w:rPr>
          <w:rFonts w:ascii="Arial" w:cs="Arial" w:eastAsia="Arial" w:hAnsi="Arial"/>
          <w:sz w:val="20"/>
          <w:szCs w:val="20"/>
          <w:u w:val="single" w:color="auto"/>
          <w:color w:val="auto"/>
        </w:rPr>
        <w:t>Section 2.03(c)(iii)</w:t>
      </w:r>
      <w:r>
        <w:rPr>
          <w:rFonts w:ascii="Arial" w:cs="Arial" w:eastAsia="Arial" w:hAnsi="Arial"/>
          <w:sz w:val="20"/>
          <w:szCs w:val="20"/>
          <w:color w:val="auto"/>
        </w:rPr>
        <w:t>, each Revolving Credit Lender that so makes funds available shall be deemed to have made a Base Rate Loan to the applicable L/C Party in such amount. The Administrative Agent shall remit the funds so received to the L/C Issuer in Dollars.</w:t>
      </w:r>
    </w:p>
    <w:p>
      <w:pPr>
        <w:spacing w:after="0" w:line="192" w:lineRule="exact"/>
        <w:rPr>
          <w:rFonts w:ascii="Arial" w:cs="Arial" w:eastAsia="Arial" w:hAnsi="Arial"/>
          <w:sz w:val="20"/>
          <w:szCs w:val="20"/>
          <w:color w:val="auto"/>
        </w:rPr>
      </w:pPr>
    </w:p>
    <w:p>
      <w:pPr>
        <w:ind w:left="8" w:firstLine="789"/>
        <w:spacing w:after="0" w:line="260" w:lineRule="auto"/>
        <w:tabs>
          <w:tab w:leader="none" w:pos="1750"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With respect to any Unreimbursed Amount that is not fully refinanced by a Borrowing of Base Rate Loans because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cannot be satisfied</w:t>
      </w:r>
    </w:p>
    <w:p>
      <w:pPr>
        <w:spacing w:after="0" w:line="177" w:lineRule="exact"/>
        <w:rPr>
          <w:sz w:val="20"/>
          <w:szCs w:val="20"/>
          <w:color w:val="auto"/>
        </w:rPr>
      </w:pPr>
    </w:p>
    <w:p>
      <w:pPr>
        <w:ind w:left="4648"/>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160655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9" w:right="339" w:bottom="1440" w:gutter="0" w:footer="0" w:header="0"/>
        </w:sectPr>
      </w:pPr>
    </w:p>
    <w:bookmarkStart w:id="59" w:name="page60"/>
    <w:bookmarkEnd w:id="59"/>
    <w:p>
      <w:pPr>
        <w:jc w:val="both"/>
        <w:ind w:left="8"/>
        <w:spacing w:after="0" w:line="243" w:lineRule="auto"/>
        <w:rPr>
          <w:sz w:val="20"/>
          <w:szCs w:val="20"/>
          <w:color w:val="auto"/>
        </w:rPr>
      </w:pPr>
      <w:r>
        <w:rPr>
          <w:rFonts w:ascii="Arial" w:cs="Arial" w:eastAsia="Arial" w:hAnsi="Arial"/>
          <w:sz w:val="20"/>
          <w:szCs w:val="20"/>
          <w:color w:val="auto"/>
        </w:rPr>
        <w:t xml:space="preserve">or for any other reason, the applicable L/C Party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L/C Issuer pursuant to </w:t>
      </w:r>
      <w:r>
        <w:rPr>
          <w:rFonts w:ascii="Arial" w:cs="Arial" w:eastAsia="Arial" w:hAnsi="Arial"/>
          <w:sz w:val="20"/>
          <w:szCs w:val="20"/>
          <w:u w:val="single" w:color="auto"/>
          <w:color w:val="auto"/>
        </w:rPr>
        <w:t>Section 2.03(c)(ii)</w:t>
      </w:r>
      <w:r>
        <w:rPr>
          <w:rFonts w:ascii="Arial" w:cs="Arial" w:eastAsia="Arial" w:hAnsi="Arial"/>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196" w:lineRule="exact"/>
        <w:rPr>
          <w:sz w:val="20"/>
          <w:szCs w:val="20"/>
          <w:color w:val="auto"/>
        </w:rPr>
      </w:pPr>
    </w:p>
    <w:p>
      <w:pPr>
        <w:jc w:val="both"/>
        <w:ind w:left="8" w:firstLine="789"/>
        <w:spacing w:after="0" w:line="269" w:lineRule="auto"/>
        <w:tabs>
          <w:tab w:leader="none" w:pos="1739"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Until each Revolving Credit Lender funds its Revolving Credit Loan or L/C Advance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to reimburse the L/C Issuer for any amount drawn under any Letter of Credit, interest in respect of such Revolving Credit Lender’s Applicable Percentage of such amount shall be solely for the account of the L/C Issuer.</w:t>
      </w:r>
    </w:p>
    <w:p>
      <w:pPr>
        <w:spacing w:after="0" w:line="169" w:lineRule="exact"/>
        <w:rPr>
          <w:rFonts w:ascii="Arial" w:cs="Arial" w:eastAsia="Arial" w:hAnsi="Arial"/>
          <w:sz w:val="19"/>
          <w:szCs w:val="19"/>
          <w:color w:val="auto"/>
        </w:rPr>
      </w:pPr>
    </w:p>
    <w:p>
      <w:pPr>
        <w:jc w:val="both"/>
        <w:ind w:left="8" w:firstLine="789"/>
        <w:spacing w:after="0" w:line="272" w:lineRule="auto"/>
        <w:tabs>
          <w:tab w:leader="none" w:pos="1684"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Loans or L/C Advances to reimburse the L/C Issuer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Revolving Credit Lender may have against the L/C Issuer, the applicable L/C Party, any Subsidiary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Revolving Credit Lender’s obligation to make Loans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an L/C Party of a Loan Notice). No such making of an L/C Advance shall relieve or otherwise impair the obligation of the applicable L/C Party to reimburse the L/C Issuer for the amount of any payment made by the L/C Issuer under any Letter of Credit, together with interest as provided herein.</w:t>
      </w:r>
    </w:p>
    <w:p>
      <w:pPr>
        <w:spacing w:after="0" w:line="170" w:lineRule="exact"/>
        <w:rPr>
          <w:rFonts w:ascii="Arial" w:cs="Arial" w:eastAsia="Arial" w:hAnsi="Arial"/>
          <w:sz w:val="18"/>
          <w:szCs w:val="18"/>
          <w:color w:val="auto"/>
        </w:rPr>
      </w:pPr>
    </w:p>
    <w:p>
      <w:pPr>
        <w:jc w:val="both"/>
        <w:ind w:left="8" w:firstLine="789"/>
        <w:spacing w:after="0" w:line="271" w:lineRule="auto"/>
        <w:tabs>
          <w:tab w:leader="none" w:pos="1739"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If any Revolving Credit Lender fails to make available to the Administrative Agent for the account of the L/C Issuer any amount required to be paid by such Revolving Credit Lender pursuant to the foregoing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then, without limiting the other provisions of this Agreement, the L/C Issuer shall be entitled to recover from such Revolving Credit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Revolving Credit Lender pays such amount (with interest and fees as aforesaid), the amount so paid shall constitute such Revolving Credit Lender’s Revolving Credit Loan included in the relevant Borrowing or L/C Advance in respect of the relevant L/C Borrowing, as the case may be. A certificate of the L/C Issuer submitted to any Revolving Credit Lender (through the Administrative Agent) with respect to any amounts owing under this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shall be conclusive absent manifest error.</w:t>
      </w:r>
    </w:p>
    <w:p>
      <w:pPr>
        <w:spacing w:after="0" w:line="169" w:lineRule="exact"/>
        <w:rPr>
          <w:rFonts w:ascii="Arial" w:cs="Arial" w:eastAsia="Arial" w:hAnsi="Arial"/>
          <w:sz w:val="18"/>
          <w:szCs w:val="18"/>
          <w:color w:val="auto"/>
        </w:rPr>
      </w:pPr>
    </w:p>
    <w:p>
      <w:pPr>
        <w:ind w:left="888" w:hanging="888"/>
        <w:spacing w:after="0"/>
        <w:tabs>
          <w:tab w:leader="none" w:pos="88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 w:firstLine="789"/>
        <w:spacing w:after="0" w:line="260" w:lineRule="auto"/>
        <w:tabs>
          <w:tab w:leader="none" w:pos="1640"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At any time after the L/C Issuer has made a payment under any Letter of Credit and has received from any Revolving Credit Lender such Lender’s L/C Advance in respect of such payment in accordance with </w:t>
      </w:r>
      <w:r>
        <w:rPr>
          <w:rFonts w:ascii="Arial" w:cs="Arial" w:eastAsia="Arial" w:hAnsi="Arial"/>
          <w:sz w:val="19"/>
          <w:szCs w:val="19"/>
          <w:u w:val="single" w:color="auto"/>
          <w:color w:val="auto"/>
        </w:rPr>
        <w:t>Section 2.03(c)</w:t>
      </w:r>
      <w:r>
        <w:rPr>
          <w:rFonts w:ascii="Arial" w:cs="Arial" w:eastAsia="Arial" w:hAnsi="Arial"/>
          <w:sz w:val="19"/>
          <w:szCs w:val="19"/>
          <w:color w:val="auto"/>
        </w:rPr>
        <w:t>, if the Administrative Agent receives for the account of the L/C Issuer any payment in respect of the related Unreimbursed Amount or interest thereon (whether directly from the applicable L/C Party or otherwise, including proceeds of Cash Collateral applied thereto by the Administrative Agent), the Administrative Agent will distribute to such</w:t>
      </w:r>
    </w:p>
    <w:p>
      <w:pPr>
        <w:spacing w:after="0" w:line="180" w:lineRule="exact"/>
        <w:rPr>
          <w:sz w:val="20"/>
          <w:szCs w:val="20"/>
          <w:color w:val="auto"/>
        </w:rPr>
      </w:pPr>
    </w:p>
    <w:p>
      <w:pPr>
        <w:ind w:left="4648"/>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160655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9" w:right="339" w:bottom="1440" w:gutter="0" w:footer="0" w:header="0"/>
        </w:sectPr>
      </w:pPr>
    </w:p>
    <w:bookmarkStart w:id="60" w:name="page61"/>
    <w:bookmarkEnd w:id="60"/>
    <w:p>
      <w:pPr>
        <w:ind w:left="880"/>
        <w:spacing w:after="0"/>
        <w:rPr>
          <w:sz w:val="20"/>
          <w:szCs w:val="20"/>
          <w:color w:val="auto"/>
        </w:rPr>
      </w:pPr>
      <w:r>
        <w:rPr>
          <w:rFonts w:ascii="Arial" w:cs="Arial" w:eastAsia="Arial" w:hAnsi="Arial"/>
          <w:sz w:val="19"/>
          <w:szCs w:val="19"/>
          <w:color w:val="auto"/>
        </w:rPr>
        <w:t>Lender its Applicable Percentage thereof in Dollars and in the same funds as those received by the Administrative Agent.</w:t>
      </w:r>
    </w:p>
    <w:p>
      <w:pPr>
        <w:spacing w:after="0" w:line="227" w:lineRule="exact"/>
        <w:rPr>
          <w:sz w:val="20"/>
          <w:szCs w:val="20"/>
          <w:color w:val="auto"/>
        </w:rPr>
      </w:pPr>
    </w:p>
    <w:p>
      <w:pPr>
        <w:jc w:val="both"/>
        <w:ind w:left="880" w:firstLine="789"/>
        <w:spacing w:after="0" w:line="257" w:lineRule="auto"/>
        <w:tabs>
          <w:tab w:leader="none" w:pos="2567"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If any payment received by the Administrative Agent for the account of the L/C Issuer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2.03(c)(i)</w:t>
      </w:r>
      <w:r>
        <w:rPr>
          <w:rFonts w:ascii="Arial" w:cs="Arial" w:eastAsia="Arial" w:hAnsi="Arial"/>
          <w:sz w:val="19"/>
          <w:szCs w:val="19"/>
          <w:color w:val="auto"/>
        </w:rPr>
        <w:t xml:space="preserve"> is required to be returned under any of the circumstances described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pursuant to any settlement entered into by the L/C Issuer in its discretion), each Revolving Credit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Revolving Credit Lenders under this clause shall survive the payment in full of the Obligations and the termination of this Agreement.</w:t>
      </w:r>
    </w:p>
    <w:p>
      <w:pPr>
        <w:spacing w:after="0" w:line="184" w:lineRule="exact"/>
        <w:rPr>
          <w:rFonts w:ascii="Arial" w:cs="Arial" w:eastAsia="Arial" w:hAnsi="Arial"/>
          <w:sz w:val="19"/>
          <w:szCs w:val="19"/>
          <w:color w:val="auto"/>
        </w:rPr>
      </w:pPr>
    </w:p>
    <w:p>
      <w:pPr>
        <w:jc w:val="both"/>
        <w:ind w:firstLine="872"/>
        <w:spacing w:after="0" w:line="269" w:lineRule="auto"/>
        <w:tabs>
          <w:tab w:leader="none" w:pos="1731"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each L/C Party to reimburse the L/C Issuer for each drawing under each Letter of Credit issued for its account and to repay each related L/C Borrowing shall be absolute, unconditional and irrevocable, and shall be paid strictly in accordance with the terms of this Agreement under all circumstances, including the following:</w:t>
      </w:r>
    </w:p>
    <w:p>
      <w:pPr>
        <w:spacing w:after="0" w:line="169" w:lineRule="exact"/>
        <w:rPr>
          <w:rFonts w:ascii="Arial" w:cs="Arial" w:eastAsia="Arial" w:hAnsi="Arial"/>
          <w:sz w:val="19"/>
          <w:szCs w:val="19"/>
          <w:color w:val="auto"/>
        </w:rPr>
      </w:pPr>
    </w:p>
    <w:p>
      <w:pPr>
        <w:ind w:left="2500" w:hanging="831"/>
        <w:spacing w:after="0"/>
        <w:tabs>
          <w:tab w:leader="none" w:pos="2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39" w:lineRule="exact"/>
        <w:rPr>
          <w:sz w:val="20"/>
          <w:szCs w:val="20"/>
          <w:color w:val="auto"/>
        </w:rPr>
      </w:pPr>
    </w:p>
    <w:p>
      <w:pPr>
        <w:jc w:val="both"/>
        <w:ind w:left="880" w:firstLine="789"/>
        <w:spacing w:after="0" w:line="244" w:lineRule="auto"/>
        <w:tabs>
          <w:tab w:leader="none" w:pos="2567"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existence of any claim, counterclaim, setoff, defense or other right that any L/C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94" w:lineRule="exact"/>
        <w:rPr>
          <w:rFonts w:ascii="Arial" w:cs="Arial" w:eastAsia="Arial" w:hAnsi="Arial"/>
          <w:sz w:val="20"/>
          <w:szCs w:val="20"/>
          <w:color w:val="auto"/>
        </w:rPr>
      </w:pPr>
    </w:p>
    <w:p>
      <w:pPr>
        <w:jc w:val="both"/>
        <w:ind w:left="880" w:firstLine="789"/>
        <w:spacing w:after="0" w:line="291" w:lineRule="auto"/>
        <w:tabs>
          <w:tab w:leader="none" w:pos="262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1" w:lineRule="exact"/>
        <w:rPr>
          <w:rFonts w:ascii="Arial" w:cs="Arial" w:eastAsia="Arial" w:hAnsi="Arial"/>
          <w:sz w:val="18"/>
          <w:szCs w:val="18"/>
          <w:color w:val="auto"/>
        </w:rPr>
      </w:pPr>
    </w:p>
    <w:p>
      <w:pPr>
        <w:ind w:left="880" w:firstLine="789"/>
        <w:spacing w:after="0" w:line="260" w:lineRule="auto"/>
        <w:tabs>
          <w:tab w:leader="none" w:pos="2611" w:val="left"/>
        </w:tabs>
        <w:numPr>
          <w:ilvl w:val="0"/>
          <w:numId w:val="54"/>
        </w:numPr>
        <w:rPr>
          <w:rFonts w:ascii="Arial" w:cs="Arial" w:eastAsia="Arial" w:hAnsi="Arial"/>
          <w:sz w:val="20"/>
          <w:szCs w:val="20"/>
          <w:color w:val="auto"/>
        </w:rPr>
      </w:pPr>
      <w:r>
        <w:rPr>
          <w:rFonts w:ascii="Arial" w:cs="Arial" w:eastAsia="Arial" w:hAnsi="Arial"/>
          <w:sz w:val="20"/>
          <w:szCs w:val="20"/>
          <w:color w:val="auto"/>
        </w:rPr>
        <w:t>waiver by the L/C Issuer of any requirement that exists for the L/C Issuer’s protection and not the protection of any L/C Party or any waiver by the L/C Issuer which does not in fact materially prejudice any L/C Party;</w:t>
      </w:r>
    </w:p>
    <w:p>
      <w:pPr>
        <w:spacing w:after="0" w:line="176"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54"/>
        </w:numPr>
        <w:rPr>
          <w:rFonts w:ascii="Arial" w:cs="Arial" w:eastAsia="Arial" w:hAnsi="Arial"/>
          <w:sz w:val="20"/>
          <w:szCs w:val="20"/>
          <w:color w:val="auto"/>
        </w:rPr>
      </w:pPr>
      <w:r>
        <w:rPr>
          <w:rFonts w:ascii="Arial" w:cs="Arial" w:eastAsia="Arial" w:hAnsi="Arial"/>
          <w:sz w:val="20"/>
          <w:szCs w:val="20"/>
          <w:color w:val="auto"/>
        </w:rPr>
        <w:t>honor of a demand for payment presented electronically even if such Letter of Credit requires that demand be in the form of a draft;</w:t>
      </w:r>
    </w:p>
    <w:p>
      <w:pPr>
        <w:spacing w:after="0" w:line="176" w:lineRule="exact"/>
        <w:rPr>
          <w:rFonts w:ascii="Arial" w:cs="Arial" w:eastAsia="Arial" w:hAnsi="Arial"/>
          <w:sz w:val="20"/>
          <w:szCs w:val="20"/>
          <w:color w:val="auto"/>
        </w:rPr>
      </w:pPr>
    </w:p>
    <w:p>
      <w:pPr>
        <w:jc w:val="both"/>
        <w:ind w:left="880" w:firstLine="789"/>
        <w:spacing w:after="0" w:line="250" w:lineRule="auto"/>
        <w:tabs>
          <w:tab w:leader="none" w:pos="2611"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85" w:lineRule="exact"/>
        <w:rPr>
          <w:rFonts w:ascii="Arial" w:cs="Arial" w:eastAsia="Arial" w:hAnsi="Arial"/>
          <w:sz w:val="20"/>
          <w:szCs w:val="20"/>
          <w:color w:val="auto"/>
        </w:rPr>
      </w:pPr>
    </w:p>
    <w:p>
      <w:pPr>
        <w:jc w:val="both"/>
        <w:ind w:left="880" w:firstLine="789"/>
        <w:spacing w:after="0" w:line="260" w:lineRule="auto"/>
        <w:tabs>
          <w:tab w:leader="none" w:pos="2666" w:val="left"/>
        </w:tabs>
        <w:numPr>
          <w:ilvl w:val="0"/>
          <w:numId w:val="54"/>
        </w:numPr>
        <w:rPr>
          <w:rFonts w:ascii="Arial" w:cs="Arial" w:eastAsia="Arial" w:hAnsi="Arial"/>
          <w:sz w:val="19"/>
          <w:szCs w:val="19"/>
          <w:color w:val="auto"/>
        </w:rPr>
      </w:pPr>
      <w:r>
        <w:rPr>
          <w:rFonts w:ascii="Arial" w:cs="Arial" w:eastAsia="Arial" w:hAnsi="Arial"/>
          <w:sz w:val="19"/>
          <w:szCs w:val="19"/>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1" w:name="page62"/>
    <w:bookmarkEnd w:id="61"/>
    <w:p>
      <w:pPr>
        <w:ind w:left="880" w:right="20" w:firstLine="789"/>
        <w:spacing w:after="0" w:line="260" w:lineRule="auto"/>
        <w:tabs>
          <w:tab w:leader="none" w:pos="2721"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relevant Alternative Currency to the applicable L/C Party or any Subsidiary or in the relevant currency markets generally; or</w:t>
      </w:r>
    </w:p>
    <w:p>
      <w:pPr>
        <w:spacing w:after="0" w:line="176" w:lineRule="exact"/>
        <w:rPr>
          <w:rFonts w:ascii="Arial" w:cs="Arial" w:eastAsia="Arial" w:hAnsi="Arial"/>
          <w:sz w:val="20"/>
          <w:szCs w:val="20"/>
          <w:color w:val="auto"/>
        </w:rPr>
      </w:pPr>
    </w:p>
    <w:p>
      <w:pPr>
        <w:ind w:left="880" w:firstLine="789"/>
        <w:spacing w:after="0" w:line="385" w:lineRule="auto"/>
        <w:tabs>
          <w:tab w:leader="none" w:pos="26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other circumstance or happening whatsoever, whether or not similar to any of the foregoing, including any other circumstance that might otherwise constitute a defense available to, or a discharge of, the L/C Parties or any Subsidiary.</w:t>
      </w:r>
    </w:p>
    <w:p>
      <w:pPr>
        <w:spacing w:after="0" w:line="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The applicable L/C Party shall promptly examine a copy of each Letter of Credit and each amendment thereto that is delivered to it and, in the event of any claim of noncompliance with Toro’s instructions or other irregularity, the applicable L/C Party will immediately notify the L/C Issuer. The applicable L/C Party shall be conclusively deemed to have waived any such claim against the L/C Issuer and its correspondents unless such notice is given as aforesaid.</w:t>
      </w:r>
    </w:p>
    <w:p>
      <w:pPr>
        <w:spacing w:after="0" w:line="191" w:lineRule="exact"/>
        <w:rPr>
          <w:sz w:val="20"/>
          <w:szCs w:val="20"/>
          <w:color w:val="auto"/>
        </w:rPr>
      </w:pPr>
    </w:p>
    <w:p>
      <w:pPr>
        <w:jc w:val="both"/>
        <w:ind w:firstLine="872"/>
        <w:spacing w:after="0" w:line="268" w:lineRule="auto"/>
        <w:tabs>
          <w:tab w:leader="none" w:pos="170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xml:space="preserve">. Each Revolving Credit Lender and each L/C Party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Revolving Credit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Each L/C Party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assumption is not intended to, and shall not, preclude the applicable L/C Party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such clauses to the contrary notwithstanding, the applicable L/C Party may have a claim against the L/C Issuer, and the L/C Issuer may be liable to the applicable L/C Party, to the extent, but only to the extent, of any direct, as opposed to consequential or exemplary, damages suffered by the applicable L/C Party which such L/C Party proves were caused by the L/C Issuer’s willful misconduct or gross negligence or the L/C Issuer’s willful failure to pay under any Letter of Credit issued for the account of such L/C Party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Arial" w:cs="Arial" w:eastAsia="Arial" w:hAnsi="Arial"/>
          <w:sz w:val="18"/>
          <w:szCs w:val="18"/>
          <w:b w:val="1"/>
          <w:bCs w:val="1"/>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176" w:lineRule="exact"/>
        <w:rPr>
          <w:rFonts w:ascii="Arial" w:cs="Arial" w:eastAsia="Arial" w:hAnsi="Arial"/>
          <w:sz w:val="18"/>
          <w:szCs w:val="18"/>
          <w:color w:val="auto"/>
        </w:rPr>
      </w:pPr>
    </w:p>
    <w:p>
      <w:pPr>
        <w:jc w:val="both"/>
        <w:ind w:firstLine="872"/>
        <w:spacing w:after="0" w:line="263" w:lineRule="auto"/>
        <w:tabs>
          <w:tab w:leader="none" w:pos="1742"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Applicability of ISP</w:t>
      </w:r>
      <w:r>
        <w:rPr>
          <w:rFonts w:ascii="Arial" w:cs="Arial" w:eastAsia="Arial" w:hAnsi="Arial"/>
          <w:sz w:val="19"/>
          <w:szCs w:val="19"/>
          <w:color w:val="auto"/>
        </w:rPr>
        <w:t>. Unless otherwise expressly agreed by the L/C Issuer and Toro or the applicable L/C Party when a Letter of Credit is issued (including any such agreement applicable to an Existing Letter of Credit), the rules of the ISP shall apply to each standby Letter of Credit. Notwithstanding the foregoing, the L/C Issuer shall not be responsible to any L/C Party for, and the L/C Issuer’s rights and remedies against such L/C Party shall not be impaired by, any action or inaction of the L/C Issuer required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2" w:name="page63"/>
    <w:bookmarkEnd w:id="62"/>
    <w:p>
      <w:pPr>
        <w:jc w:val="both"/>
        <w:spacing w:after="0" w:line="244" w:lineRule="auto"/>
        <w:rPr>
          <w:sz w:val="20"/>
          <w:szCs w:val="20"/>
          <w:color w:val="auto"/>
        </w:rPr>
      </w:pPr>
      <w:r>
        <w:rPr>
          <w:rFonts w:ascii="Arial" w:cs="Arial" w:eastAsia="Arial" w:hAnsi="Arial"/>
          <w:sz w:val="20"/>
          <w:szCs w:val="20"/>
          <w:color w:val="auto"/>
        </w:rPr>
        <w:t>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4" w:lineRule="exact"/>
        <w:rPr>
          <w:sz w:val="20"/>
          <w:szCs w:val="20"/>
          <w:color w:val="auto"/>
        </w:rPr>
      </w:pPr>
    </w:p>
    <w:p>
      <w:pPr>
        <w:jc w:val="both"/>
        <w:ind w:firstLine="872"/>
        <w:spacing w:after="0" w:line="255" w:lineRule="auto"/>
        <w:tabs>
          <w:tab w:leader="none" w:pos="1742"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L/C Parties shall pay to the Administrative Agent for the account of each Revolving Credit Lender,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in accordance with its Applicable Percentage, in Dollars, a Letter of Credit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for each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1.08</w:t>
      </w:r>
      <w:r>
        <w:rPr>
          <w:rFonts w:ascii="Arial" w:cs="Arial" w:eastAsia="Arial" w:hAnsi="Arial"/>
          <w:sz w:val="19"/>
          <w:szCs w:val="19"/>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exists, all Letter of Credit Fees shall accrue at the Default Rate.</w:t>
      </w:r>
    </w:p>
    <w:p>
      <w:pPr>
        <w:spacing w:after="0" w:line="186" w:lineRule="exact"/>
        <w:rPr>
          <w:rFonts w:ascii="Arial" w:cs="Arial" w:eastAsia="Arial" w:hAnsi="Arial"/>
          <w:sz w:val="19"/>
          <w:szCs w:val="19"/>
          <w:color w:val="auto"/>
        </w:rPr>
      </w:pPr>
    </w:p>
    <w:p>
      <w:pPr>
        <w:jc w:val="both"/>
        <w:ind w:firstLine="872"/>
        <w:spacing w:after="0" w:line="255" w:lineRule="auto"/>
        <w:tabs>
          <w:tab w:leader="none" w:pos="169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Fronting Fee and Documentary and Processing Charges Payable to L/C Issuer</w:t>
      </w:r>
      <w:r>
        <w:rPr>
          <w:rFonts w:ascii="Arial" w:cs="Arial" w:eastAsia="Arial" w:hAnsi="Arial"/>
          <w:sz w:val="19"/>
          <w:szCs w:val="19"/>
          <w:color w:val="auto"/>
        </w:rPr>
        <w:t xml:space="preserve">. The L/C Parties shall pay directly to the L/C Issuer for its own account, in Dollars, a fronting fee with respect to each Letter of Credit, at the rate per annum specified in the BofA Fee Letter, computed on the Dollar Equivalent of the daily amount available to be drawn under such Letter of Credit on a quarterly basis in arrears. Such fronting fee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1.08</w:t>
      </w:r>
      <w:r>
        <w:rPr>
          <w:rFonts w:ascii="Arial" w:cs="Arial" w:eastAsia="Arial" w:hAnsi="Arial"/>
          <w:sz w:val="19"/>
          <w:szCs w:val="19"/>
          <w:color w:val="auto"/>
        </w:rPr>
        <w:t>. In addition, the L/C Parties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86" w:lineRule="exact"/>
        <w:rPr>
          <w:rFonts w:ascii="Arial" w:cs="Arial" w:eastAsia="Arial" w:hAnsi="Arial"/>
          <w:sz w:val="19"/>
          <w:szCs w:val="19"/>
          <w:color w:val="auto"/>
        </w:rPr>
      </w:pPr>
    </w:p>
    <w:p>
      <w:pPr>
        <w:ind w:firstLine="872"/>
        <w:spacing w:after="0" w:line="260" w:lineRule="auto"/>
        <w:tabs>
          <w:tab w:leader="none" w:pos="1698"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6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2.04</w:t>
      </w:r>
      <w:r>
        <w:rPr>
          <w:sz w:val="20"/>
          <w:szCs w:val="20"/>
          <w:color w:val="auto"/>
        </w:rPr>
        <w:tab/>
      </w:r>
      <w:r>
        <w:rPr>
          <w:rFonts w:ascii="Arial" w:cs="Arial" w:eastAsia="Arial" w:hAnsi="Arial"/>
          <w:sz w:val="17"/>
          <w:szCs w:val="17"/>
          <w:b w:val="1"/>
          <w:bCs w:val="1"/>
          <w:color w:val="auto"/>
        </w:rPr>
        <w:t>Swing Line Loans</w:t>
      </w:r>
      <w:r>
        <w:rPr>
          <w:rFonts w:ascii="Arial" w:cs="Arial" w:eastAsia="Arial" w:hAnsi="Arial"/>
          <w:sz w:val="18"/>
          <w:szCs w:val="18"/>
          <w:b w:val="1"/>
          <w:bCs w:val="1"/>
          <w:color w:val="auto"/>
        </w:rPr>
        <w:t>.</w:t>
      </w:r>
    </w:p>
    <w:p>
      <w:pPr>
        <w:spacing w:after="0" w:line="24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The Swing Line</w:t>
      </w:r>
      <w:r>
        <w:rPr>
          <w:rFonts w:ascii="Arial" w:cs="Arial" w:eastAsia="Arial" w:hAnsi="Arial"/>
          <w:sz w:val="18"/>
          <w:szCs w:val="18"/>
          <w:color w:val="auto"/>
        </w:rPr>
        <w:t xml:space="preserve">. Subject to the terms and conditions set forth herein, the Swing Line Lender, in reliance upon the agreements of the other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may in its sole discretion, make loans in Dollars (each such loan, a “</w:t>
      </w:r>
      <w:r>
        <w:rPr>
          <w:rFonts w:ascii="Arial" w:cs="Arial" w:eastAsia="Arial" w:hAnsi="Arial"/>
          <w:sz w:val="18"/>
          <w:szCs w:val="18"/>
          <w:u w:val="single" w:color="auto"/>
          <w:color w:val="auto"/>
        </w:rPr>
        <w:t>Swing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Line Loan</w:t>
      </w:r>
      <w:r>
        <w:rPr>
          <w:rFonts w:ascii="Arial" w:cs="Arial" w:eastAsia="Arial" w:hAnsi="Arial"/>
          <w:sz w:val="18"/>
          <w:szCs w:val="18"/>
          <w:color w:val="auto"/>
        </w:rPr>
        <w:t xml:space="preserve">”) to Toro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Loans and L/C Obligations of the Lender acting as Swing Line Lender, may exceed the amount of such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giving effect to any Swing Line Loan, (i) the Total Revolving Credit Outstandings shall not exceed the Revolving Credit Facility at such time, and (ii) the Revolving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3" w:name="page64"/>
    <w:bookmarkEnd w:id="63"/>
    <w:p>
      <w:pPr>
        <w:jc w:val="both"/>
        <w:spacing w:after="0" w:line="255" w:lineRule="auto"/>
        <w:rPr>
          <w:sz w:val="20"/>
          <w:szCs w:val="20"/>
          <w:color w:val="auto"/>
        </w:rPr>
      </w:pPr>
      <w:r>
        <w:rPr>
          <w:rFonts w:ascii="Arial" w:cs="Arial" w:eastAsia="Arial" w:hAnsi="Arial"/>
          <w:sz w:val="19"/>
          <w:szCs w:val="19"/>
          <w:color w:val="auto"/>
        </w:rPr>
        <w:t xml:space="preserve">Credit Exposure of any Revolving Credit Lender shall not exceed such Lender’s Revolving Credit Commitment, (y) Toro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Toro may borrow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Each Swing Line Loan shall bear interest at (x)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Base Rate Loans or (y) such other rate quoted to Toro by the Swing Line Lender on the date any Swing Line Loan shall be requested.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Swing Line Loan.</w:t>
      </w:r>
    </w:p>
    <w:p>
      <w:pPr>
        <w:spacing w:after="0" w:line="19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Swing Line Borrowing shall be made upon the irrevocable notice by Toro to the Swing Line Lender and the Administrative Agent, which may be given by (A) telephone or (B) by a Swing Line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promptly by delivery to the Swing Line Lender and the Administrative Agent of a Swing Line Loan Notice. Each such Swing Line Loan Notice must be received by the Swing Line Lender and the Administrative Agent not later than 2:00 p.m. on the requested borrowing date, and shall specify (i) the amount to be borrowed, which shall be a minimum of $500,000, and (ii)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of the contents thereof. Unless the Swing Line Lender has received notice (by telephone or in writing) from the Administrative Agent (including at the request of any Lender) prior to 3:00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the Swing Line Lender will, not later than 4:00 p.m. on the borrowing date specified in such Swing Line Loan Notice, make the amount of its Swing Line Loan available to Toro at its office by crediting the account of Toro on the books of the Swing Line Lender in Same Day Funds.</w:t>
      </w:r>
    </w:p>
    <w:p>
      <w:pPr>
        <w:spacing w:after="0" w:line="181"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216" w:lineRule="exact"/>
        <w:rPr>
          <w:sz w:val="20"/>
          <w:szCs w:val="20"/>
          <w:color w:val="auto"/>
        </w:rPr>
      </w:pPr>
    </w:p>
    <w:p>
      <w:pPr>
        <w:jc w:val="both"/>
        <w:ind w:left="880" w:firstLine="789"/>
        <w:spacing w:after="0" w:line="255" w:lineRule="auto"/>
        <w:tabs>
          <w:tab w:leader="none" w:pos="2512"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The Swing Line Lender at any time in its sole and absolute discretion may request, on behalf of Toro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Revolving Credit Facility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The Swing Line Lender shall furnish Toro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Loan Notice,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4" w:name="page65"/>
    <w:bookmarkEnd w:id="64"/>
    <w:p>
      <w:pPr>
        <w:jc w:val="both"/>
        <w:ind w:left="8"/>
        <w:spacing w:after="0" w:line="250" w:lineRule="auto"/>
        <w:rPr>
          <w:sz w:val="20"/>
          <w:szCs w:val="20"/>
          <w:color w:val="auto"/>
        </w:rPr>
      </w:pPr>
      <w:r>
        <w:rPr>
          <w:rFonts w:ascii="Arial" w:cs="Arial" w:eastAsia="Arial" w:hAnsi="Arial"/>
          <w:sz w:val="20"/>
          <w:szCs w:val="20"/>
          <w:color w:val="auto"/>
        </w:rPr>
        <w:t xml:space="preserve">whereupon, subject to </w:t>
      </w:r>
      <w:r>
        <w:rPr>
          <w:rFonts w:ascii="Arial" w:cs="Arial" w:eastAsia="Arial" w:hAnsi="Arial"/>
          <w:sz w:val="20"/>
          <w:szCs w:val="20"/>
          <w:u w:val="single" w:color="auto"/>
          <w:color w:val="auto"/>
        </w:rPr>
        <w:t>Section 2.04(c)(ii)</w:t>
      </w:r>
      <w:r>
        <w:rPr>
          <w:rFonts w:ascii="Arial" w:cs="Arial" w:eastAsia="Arial" w:hAnsi="Arial"/>
          <w:sz w:val="20"/>
          <w:szCs w:val="20"/>
          <w:color w:val="auto"/>
        </w:rPr>
        <w:t>, each Revolving Credit Lender that so makes funds available shall be deemed to have made a Base Rate Loan to Toro in such amount. The Administrative Agent shall remit the funds so received to the Swing Line Lender.</w:t>
      </w:r>
    </w:p>
    <w:p>
      <w:pPr>
        <w:spacing w:after="0" w:line="186" w:lineRule="exact"/>
        <w:rPr>
          <w:sz w:val="20"/>
          <w:szCs w:val="20"/>
          <w:color w:val="auto"/>
        </w:rPr>
      </w:pPr>
    </w:p>
    <w:p>
      <w:pPr>
        <w:jc w:val="both"/>
        <w:ind w:left="8" w:firstLine="789"/>
        <w:spacing w:after="0" w:line="278" w:lineRule="auto"/>
        <w:tabs>
          <w:tab w:leader="none" w:pos="16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If for any reason any Swing Line Loan cannot be refinanced by such a Revolving Credit Borrowing in accordance with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shall be deemed payment in respect of such participation.</w:t>
      </w:r>
    </w:p>
    <w:p>
      <w:pPr>
        <w:spacing w:after="0" w:line="164" w:lineRule="exact"/>
        <w:rPr>
          <w:rFonts w:ascii="Arial" w:cs="Arial" w:eastAsia="Arial" w:hAnsi="Arial"/>
          <w:sz w:val="18"/>
          <w:szCs w:val="18"/>
          <w:color w:val="auto"/>
        </w:rPr>
      </w:pPr>
    </w:p>
    <w:p>
      <w:pPr>
        <w:jc w:val="both"/>
        <w:ind w:left="8" w:firstLine="789"/>
        <w:spacing w:after="0" w:line="255" w:lineRule="auto"/>
        <w:tabs>
          <w:tab w:leader="none" w:pos="1750"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Swing 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shall be conclusive absent manifest error.</w:t>
      </w:r>
    </w:p>
    <w:p>
      <w:pPr>
        <w:spacing w:after="0" w:line="186" w:lineRule="exact"/>
        <w:rPr>
          <w:rFonts w:ascii="Arial" w:cs="Arial" w:eastAsia="Arial" w:hAnsi="Arial"/>
          <w:sz w:val="19"/>
          <w:szCs w:val="19"/>
          <w:color w:val="auto"/>
        </w:rPr>
      </w:pPr>
    </w:p>
    <w:p>
      <w:pPr>
        <w:jc w:val="both"/>
        <w:ind w:left="8" w:firstLine="789"/>
        <w:spacing w:after="0" w:line="257" w:lineRule="auto"/>
        <w:tabs>
          <w:tab w:leader="none" w:pos="1739"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Each Revolving Credit Lender’s obligation to make Revolving Credit Loans or to purchase and fund risk participations in Swing Line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Swing Line Lender, Toro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Revolving Credit Lender’s obligation to make Revolving Credit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No such funding of risk participations shall relieve or otherwise impair the obligation of Toro to repay Swing Line Loans, together with interest as provided herein.</w:t>
      </w:r>
    </w:p>
    <w:p>
      <w:pPr>
        <w:spacing w:after="0" w:line="180" w:lineRule="exact"/>
        <w:rPr>
          <w:rFonts w:ascii="Arial" w:cs="Arial" w:eastAsia="Arial" w:hAnsi="Arial"/>
          <w:sz w:val="19"/>
          <w:szCs w:val="19"/>
          <w:color w:val="auto"/>
        </w:rPr>
      </w:pPr>
    </w:p>
    <w:p>
      <w:pPr>
        <w:ind w:left="888" w:hanging="888"/>
        <w:spacing w:after="0"/>
        <w:tabs>
          <w:tab w:leader="none" w:pos="88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 w:firstLine="789"/>
        <w:spacing w:after="0" w:line="246" w:lineRule="auto"/>
        <w:tabs>
          <w:tab w:leader="none" w:pos="1640" w:val="left"/>
        </w:tabs>
        <w:numPr>
          <w:ilvl w:val="1"/>
          <w:numId w:val="60"/>
        </w:numPr>
        <w:rPr>
          <w:rFonts w:ascii="Arial" w:cs="Arial" w:eastAsia="Arial" w:hAnsi="Arial"/>
          <w:sz w:val="20"/>
          <w:szCs w:val="20"/>
          <w:color w:val="auto"/>
        </w:rPr>
      </w:pPr>
      <w:r>
        <w:rPr>
          <w:rFonts w:ascii="Arial" w:cs="Arial" w:eastAsia="Arial" w:hAnsi="Arial"/>
          <w:sz w:val="20"/>
          <w:szCs w:val="20"/>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91" w:lineRule="exact"/>
        <w:rPr>
          <w:rFonts w:ascii="Arial" w:cs="Arial" w:eastAsia="Arial" w:hAnsi="Arial"/>
          <w:sz w:val="20"/>
          <w:szCs w:val="20"/>
          <w:color w:val="auto"/>
        </w:rPr>
      </w:pPr>
    </w:p>
    <w:p>
      <w:pPr>
        <w:jc w:val="both"/>
        <w:ind w:left="8" w:firstLine="789"/>
        <w:spacing w:after="0" w:line="282" w:lineRule="auto"/>
        <w:tabs>
          <w:tab w:leader="none" w:pos="1695"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w:t>
      </w:r>
    </w:p>
    <w:p>
      <w:pPr>
        <w:spacing w:after="0" w:line="161" w:lineRule="exact"/>
        <w:rPr>
          <w:sz w:val="20"/>
          <w:szCs w:val="20"/>
          <w:color w:val="auto"/>
        </w:rPr>
      </w:pPr>
    </w:p>
    <w:p>
      <w:pPr>
        <w:ind w:left="4648"/>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160655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9" w:right="339" w:bottom="1440" w:gutter="0" w:footer="0" w:header="0"/>
        </w:sectPr>
      </w:pPr>
    </w:p>
    <w:bookmarkStart w:id="65" w:name="page66"/>
    <w:bookmarkEnd w:id="65"/>
    <w:p>
      <w:pPr>
        <w:jc w:val="both"/>
        <w:ind w:left="880"/>
        <w:spacing w:after="0" w:line="342" w:lineRule="auto"/>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18" w:lineRule="exact"/>
        <w:rPr>
          <w:sz w:val="20"/>
          <w:szCs w:val="20"/>
          <w:color w:val="auto"/>
        </w:rPr>
      </w:pPr>
    </w:p>
    <w:p>
      <w:pPr>
        <w:jc w:val="both"/>
        <w:ind w:firstLine="872"/>
        <w:spacing w:after="0" w:line="263" w:lineRule="auto"/>
        <w:tabs>
          <w:tab w:leader="none" w:pos="1731"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 Line Lender</w:t>
      </w:r>
      <w:r>
        <w:rPr>
          <w:rFonts w:ascii="Arial" w:cs="Arial" w:eastAsia="Arial" w:hAnsi="Arial"/>
          <w:sz w:val="19"/>
          <w:szCs w:val="19"/>
          <w:color w:val="auto"/>
        </w:rPr>
        <w:t xml:space="preserve">. The Swing Line Lender shall be responsible for invoicing Toro for interest on the Swing Line Loans. Until each Revolving Credit Lender funds its Base Rate Loan or risk participation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76" w:lineRule="exact"/>
        <w:rPr>
          <w:rFonts w:ascii="Arial" w:cs="Arial" w:eastAsia="Arial" w:hAnsi="Arial"/>
          <w:sz w:val="19"/>
          <w:szCs w:val="19"/>
          <w:color w:val="auto"/>
        </w:rPr>
      </w:pPr>
    </w:p>
    <w:p>
      <w:pPr>
        <w:ind w:right="20" w:firstLine="872"/>
        <w:spacing w:after="0" w:line="260" w:lineRule="auto"/>
        <w:tabs>
          <w:tab w:leader="none" w:pos="1709"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Toro shall make all payments of principal and interest in respect of the Swing Line Loans directly to the Swing Line Lender.</w:t>
      </w:r>
    </w:p>
    <w:p>
      <w:pPr>
        <w:spacing w:after="0" w:line="17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b w:val="1"/>
          <w:bCs w:val="1"/>
          <w:color w:val="auto"/>
        </w:rPr>
        <w:t xml:space="preserve">2.05 Prepayments.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Optional</w:t>
      </w:r>
      <w:r>
        <w:rPr>
          <w:rFonts w:ascii="Arial" w:cs="Arial" w:eastAsia="Arial" w:hAnsi="Arial"/>
          <w:sz w:val="18"/>
          <w:szCs w:val="18"/>
          <w:color w:val="auto"/>
        </w:rPr>
        <w:t>. (i) Each Borrower may, upon notice from Toro to the Administrative Agent,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time or from time to time voluntarily prepay Term Loans and Revolving Credit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in a form acceptable to the Administrative Agent and be received by the Administrative Agent not later than 12:00 noon (A) three (3) Business Days prior to any date of prepayment of Eurocurrency Rate Loans denominated in Dollars, (B) four</w:t>
      </w:r>
    </w:p>
    <w:p>
      <w:pPr>
        <w:spacing w:after="0" w:line="2" w:lineRule="exact"/>
        <w:rPr>
          <w:sz w:val="20"/>
          <w:szCs w:val="20"/>
          <w:color w:val="auto"/>
        </w:rPr>
      </w:pPr>
    </w:p>
    <w:p>
      <w:pPr>
        <w:jc w:val="both"/>
        <w:ind w:firstLine="8"/>
        <w:spacing w:after="0" w:line="268" w:lineRule="auto"/>
        <w:tabs>
          <w:tab w:leader="none" w:pos="3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Business Days (or five (5), in the case of prepayment of Loans denominated in Special Notice Currencies) prior to any date of prepayment of any Alternative Currency Loans, and (C) on the date of prepayment of Base Rate Loans; (ii) any prepayment of Eurocurrency Rate Loans denominated in Dollars shall be in a principal amount of $5,000,000 or a whole multiple of $1,000,000 in excess thereof; (iii) any prepayment of Alternative Currency Loans shall be in a minimum principal Dollar Equivalent amount of $5,000,000 or a whole multiple of $1,000,000 in excess thereof; and (iv)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Eurocurrency Rate Loans are to be prepaid, the Interest Period(s) of such Loans. The Administrative Agent will promptly notify each Lender of its receipt of each such notice, and of the amount of such ratable portion of such prepayment (based on such Lender’s Applicable Percentage). Once such notice is given by Toro, the applicable Borrower shall make such prepayment and the payment amount specified in such notice shall be due and payable on the date specified therein. Any prepayment of a Loan shall be accompanied by all accrued interest on the amount prepaid, together with, in the case of any Eurocurrency Rate Loan and any Alternative Currency Loan,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Each prepayment of the outstanding Term Loans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applied to the principal repayment installments of the Term Facility in inverse order of maturity, and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each such prepayment shall be paid to the Lenders in accordance with their respective Applicable Percentages in respect of each of the relevant Facilities.</w:t>
      </w:r>
    </w:p>
    <w:p>
      <w:pPr>
        <w:spacing w:after="0" w:line="175" w:lineRule="exact"/>
        <w:rPr>
          <w:rFonts w:ascii="Arial" w:cs="Arial" w:eastAsia="Arial" w:hAnsi="Arial"/>
          <w:sz w:val="18"/>
          <w:szCs w:val="18"/>
          <w:color w:val="auto"/>
        </w:rPr>
      </w:pPr>
    </w:p>
    <w:p>
      <w:pPr>
        <w:jc w:val="both"/>
        <w:ind w:left="880" w:firstLine="789"/>
        <w:spacing w:after="0" w:line="259" w:lineRule="auto"/>
        <w:tabs>
          <w:tab w:leader="none" w:pos="2567" w:val="left"/>
        </w:tabs>
        <w:numPr>
          <w:ilvl w:val="2"/>
          <w:numId w:val="62"/>
        </w:numPr>
        <w:rPr>
          <w:rFonts w:ascii="Arial" w:cs="Arial" w:eastAsia="Arial" w:hAnsi="Arial"/>
          <w:sz w:val="19"/>
          <w:szCs w:val="19"/>
          <w:color w:val="auto"/>
        </w:rPr>
      </w:pPr>
      <w:r>
        <w:rPr>
          <w:rFonts w:ascii="Arial" w:cs="Arial" w:eastAsia="Arial" w:hAnsi="Arial"/>
          <w:sz w:val="19"/>
          <w:szCs w:val="19"/>
          <w:color w:val="auto"/>
        </w:rPr>
        <w:t xml:space="preserve">Toro may, upon notice to the Swing Line Lender (with a copy to the Administrative Agent), at any time or from time to time, voluntarily prepay Swing Line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Once such notice is given by Toro, Toro shall make such prepayment and the payment amount specified in such notice shall be due and payable on the date specified therein.</w:t>
      </w:r>
    </w:p>
    <w:p>
      <w:pPr>
        <w:spacing w:after="0" w:line="178" w:lineRule="exact"/>
        <w:rPr>
          <w:rFonts w:ascii="Arial" w:cs="Arial" w:eastAsia="Arial" w:hAnsi="Arial"/>
          <w:sz w:val="19"/>
          <w:szCs w:val="19"/>
          <w:color w:val="auto"/>
        </w:rPr>
      </w:pPr>
    </w:p>
    <w:p>
      <w:pPr>
        <w:ind w:firstLine="872"/>
        <w:spacing w:after="0" w:line="260" w:lineRule="auto"/>
        <w:tabs>
          <w:tab w:leader="none" w:pos="1742" w:val="left"/>
        </w:tabs>
        <w:numPr>
          <w:ilvl w:val="1"/>
          <w:numId w:val="62"/>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If the Administrative Agent notifies Toro at any time that the Total Revolving Credit Outstandings at such time exceed an amount equal to 105% of the Revolving Credit Facility then 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6" w:name="page67"/>
    <w:bookmarkEnd w:id="66"/>
    <w:p>
      <w:pPr>
        <w:jc w:val="both"/>
        <w:spacing w:after="0" w:line="274" w:lineRule="auto"/>
        <w:rPr>
          <w:sz w:val="20"/>
          <w:szCs w:val="20"/>
          <w:color w:val="auto"/>
        </w:rPr>
      </w:pPr>
      <w:r>
        <w:rPr>
          <w:rFonts w:ascii="Arial" w:cs="Arial" w:eastAsia="Arial" w:hAnsi="Arial"/>
          <w:sz w:val="18"/>
          <w:szCs w:val="18"/>
          <w:color w:val="auto"/>
        </w:rPr>
        <w:t xml:space="preserve">effect, then, within two (2) Business Days after receipt of such notice, the Borrowers shall prepay Revolving Credit Loans and/or Toro shall Cash Collateralize the L/C Obligations in an aggregate amount sufficient to reduce such Total Revolving Credit Outstandings as of such date of payment to an amount not to exceed the Revolving Credit Facility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subject to the provisions of </w:t>
      </w:r>
      <w:r>
        <w:rPr>
          <w:rFonts w:ascii="Arial" w:cs="Arial" w:eastAsia="Arial" w:hAnsi="Arial"/>
          <w:sz w:val="18"/>
          <w:szCs w:val="18"/>
          <w:u w:val="single" w:color="auto"/>
          <w:color w:val="auto"/>
        </w:rPr>
        <w:t>Section 2.15(a)(ii)</w:t>
      </w:r>
      <w:r>
        <w:rPr>
          <w:rFonts w:ascii="Arial" w:cs="Arial" w:eastAsia="Arial" w:hAnsi="Arial"/>
          <w:sz w:val="18"/>
          <w:szCs w:val="18"/>
          <w:color w:val="auto"/>
        </w:rPr>
        <w:t xml:space="preserve">, Toro shall not be required to Cash Collateralize the L/C Obligations pursuant to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unless after the prepayment in full of the Revolving Credit Loans the Total Revolving Credit Outstandings exceed the Revolving Credit Facility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15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2.06</w:t>
      </w:r>
      <w:r>
        <w:rPr>
          <w:sz w:val="20"/>
          <w:szCs w:val="20"/>
          <w:color w:val="auto"/>
        </w:rPr>
        <w:tab/>
      </w:r>
      <w:r>
        <w:rPr>
          <w:rFonts w:ascii="Arial" w:cs="Arial" w:eastAsia="Arial" w:hAnsi="Arial"/>
          <w:sz w:val="18"/>
          <w:szCs w:val="18"/>
          <w:b w:val="1"/>
          <w:bCs w:val="1"/>
          <w:color w:val="auto"/>
        </w:rPr>
        <w:t>Termination or Reduction of Commitments</w:t>
      </w:r>
      <w:r>
        <w:rPr>
          <w:rFonts w:ascii="Arial" w:cs="Arial" w:eastAsia="Arial" w:hAnsi="Arial"/>
          <w:sz w:val="19"/>
          <w:szCs w:val="19"/>
          <w:b w:val="1"/>
          <w:bCs w:val="1"/>
          <w:color w:val="auto"/>
        </w:rPr>
        <w:t>.</w:t>
      </w:r>
    </w:p>
    <w:p>
      <w:pPr>
        <w:spacing w:after="0" w:line="240" w:lineRule="exact"/>
        <w:rPr>
          <w:sz w:val="20"/>
          <w:szCs w:val="20"/>
          <w:color w:val="auto"/>
        </w:rPr>
      </w:pPr>
    </w:p>
    <w:p>
      <w:pPr>
        <w:jc w:val="both"/>
        <w:ind w:firstLine="872"/>
        <w:spacing w:after="0" w:line="269" w:lineRule="auto"/>
        <w:tabs>
          <w:tab w:leader="none" w:pos="173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The Borrowers may, upon notice by Toro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the Administrative Agent not later than 12:00 noon five (5) Business Days prior to the date of termination or reduction, (ii) any such partial reduction shall be in an aggregate amount of $10,000,000 or any whole multiple of $1,000,000 in excess thereof, and (iii) the Borrowers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The Administrative Agent will promptly notify the Lenders of any such notice of termination or reduction of the Revolving Credit Facility. The amount of any such Revolving Credit Facility reduction shall not be applied to the Letter of Credit Sublimit unless otherwise specified by Toro. Any reduction of the Revolving Credit Facility shall be applied to the Revolving Credit Commitment of each Revolving Credit Lender according to its Applicable Percentage. All fees accrued until the effective date of any termination of the Revolving Credit Facility shall be paid on the effective date of such termination.</w:t>
      </w:r>
    </w:p>
    <w:p>
      <w:pPr>
        <w:spacing w:after="0" w:line="181" w:lineRule="exact"/>
        <w:rPr>
          <w:rFonts w:ascii="Arial" w:cs="Arial" w:eastAsia="Arial" w:hAnsi="Arial"/>
          <w:sz w:val="18"/>
          <w:szCs w:val="18"/>
          <w:color w:val="auto"/>
        </w:rPr>
      </w:pPr>
    </w:p>
    <w:p>
      <w:pPr>
        <w:ind w:right="20" w:firstLine="872"/>
        <w:spacing w:after="0" w:line="260" w:lineRule="auto"/>
        <w:tabs>
          <w:tab w:leader="none" w:pos="1742"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The aggregate Term Commitments shall be automatically and permanently reduced to zero upon the Term Borrowing on the Closing Date.</w:t>
      </w:r>
    </w:p>
    <w:p>
      <w:pPr>
        <w:spacing w:after="0" w:line="176" w:lineRule="exact"/>
        <w:rPr>
          <w:rFonts w:ascii="Arial" w:cs="Arial" w:eastAsia="Arial" w:hAnsi="Arial"/>
          <w:sz w:val="20"/>
          <w:szCs w:val="20"/>
          <w:color w:val="auto"/>
        </w:rPr>
      </w:pPr>
    </w:p>
    <w:p>
      <w:pPr>
        <w:jc w:val="both"/>
        <w:ind w:firstLine="872"/>
        <w:spacing w:after="0" w:line="243" w:lineRule="auto"/>
        <w:tabs>
          <w:tab w:leader="none" w:pos="1731"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Application of Commitment Reductions; Payment of Fees</w:t>
      </w:r>
      <w:r>
        <w:rPr>
          <w:rFonts w:ascii="Arial" w:cs="Arial" w:eastAsia="Arial" w:hAnsi="Arial"/>
          <w:sz w:val="20"/>
          <w:szCs w:val="20"/>
          <w:color w:val="auto"/>
        </w:rPr>
        <w:t xml:space="preserve">. The Administrative Agent will promptly notify the Lenders of any termination or reduction of the Letter of Credit Sublimit, Swing Line Sublimit or the Revolving Credit Commitment under this </w:t>
      </w:r>
      <w:r>
        <w:rPr>
          <w:rFonts w:ascii="Arial" w:cs="Arial" w:eastAsia="Arial" w:hAnsi="Arial"/>
          <w:sz w:val="20"/>
          <w:szCs w:val="20"/>
          <w:u w:val="single" w:color="auto"/>
          <w:color w:val="auto"/>
        </w:rPr>
        <w:t>Section 2.06</w:t>
      </w:r>
      <w:r>
        <w:rPr>
          <w:rFonts w:ascii="Arial" w:cs="Arial" w:eastAsia="Arial" w:hAnsi="Arial"/>
          <w:sz w:val="20"/>
          <w:szCs w:val="20"/>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7" w:name="page68"/>
    <w:bookmarkEnd w:id="67"/>
    <w:p>
      <w:pPr>
        <w:ind w:left="880"/>
        <w:spacing w:after="0"/>
        <w:tabs>
          <w:tab w:leader="none" w:pos="1840" w:val="left"/>
        </w:tabs>
        <w:rPr>
          <w:sz w:val="20"/>
          <w:szCs w:val="20"/>
          <w:color w:val="auto"/>
        </w:rPr>
      </w:pPr>
      <w:r>
        <w:rPr>
          <w:rFonts w:ascii="Arial" w:cs="Arial" w:eastAsia="Arial" w:hAnsi="Arial"/>
          <w:sz w:val="20"/>
          <w:szCs w:val="20"/>
          <w:b w:val="1"/>
          <w:bCs w:val="1"/>
          <w:color w:val="auto"/>
        </w:rPr>
        <w:t>2.07</w:t>
      </w:r>
      <w:r>
        <w:rPr>
          <w:sz w:val="20"/>
          <w:szCs w:val="20"/>
          <w:color w:val="auto"/>
        </w:rPr>
        <w:tab/>
      </w:r>
      <w:r>
        <w:rPr>
          <w:rFonts w:ascii="Arial" w:cs="Arial" w:eastAsia="Arial" w:hAnsi="Arial"/>
          <w:sz w:val="17"/>
          <w:szCs w:val="17"/>
          <w:b w:val="1"/>
          <w:bCs w:val="1"/>
          <w:color w:val="auto"/>
        </w:rPr>
        <w:t>Repayment of Loans</w:t>
      </w:r>
      <w:r>
        <w:rPr>
          <w:rFonts w:ascii="Arial" w:cs="Arial" w:eastAsia="Arial" w:hAnsi="Arial"/>
          <w:sz w:val="18"/>
          <w:szCs w:val="18"/>
          <w:b w:val="1"/>
          <w:bCs w:val="1"/>
          <w:color w:val="auto"/>
        </w:rPr>
        <w:t>.</w:t>
      </w:r>
    </w:p>
    <w:p>
      <w:pPr>
        <w:spacing w:after="0" w:line="240" w:lineRule="exact"/>
        <w:rPr>
          <w:sz w:val="20"/>
          <w:szCs w:val="20"/>
          <w:color w:val="auto"/>
        </w:rPr>
      </w:pPr>
    </w:p>
    <w:p>
      <w:pPr>
        <w:jc w:val="both"/>
        <w:ind w:firstLine="872"/>
        <w:spacing w:after="0" w:line="250" w:lineRule="auto"/>
        <w:tabs>
          <w:tab w:leader="none" w:pos="1731"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Term Loans</w:t>
      </w:r>
      <w:r>
        <w:rPr>
          <w:rFonts w:ascii="Arial" w:cs="Arial" w:eastAsia="Arial" w:hAnsi="Arial"/>
          <w:sz w:val="20"/>
          <w:szCs w:val="20"/>
          <w:color w:val="auto"/>
        </w:rPr>
        <w:t xml:space="preserve">. Toro shall repay to the Term Lenders the aggregate principal amount of all Term Loans outstanding on the following dates in the respective amounts set forth opposite such dates (which amounts shall be reduced as a result of the application of prepayments in accordance with the order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w:t>
      </w:r>
    </w:p>
    <w:p>
      <w:pPr>
        <w:spacing w:after="0" w:line="183" w:lineRule="exact"/>
        <w:rPr>
          <w:sz w:val="20"/>
          <w:szCs w:val="20"/>
          <w:color w:val="auto"/>
        </w:rPr>
      </w:pPr>
    </w:p>
    <w:tbl>
      <w:tblPr>
        <w:tblLayout w:type="fixed"/>
        <w:tblInd w:w="253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Date</w:t>
            </w:r>
          </w:p>
        </w:tc>
        <w:tc>
          <w:tcPr>
            <w:tcW w:w="23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Amount</w:t>
            </w:r>
          </w:p>
        </w:tc>
      </w:tr>
      <w:tr>
        <w:trPr>
          <w:trHeight w:val="223"/>
        </w:trPr>
        <w:tc>
          <w:tcPr>
            <w:tcW w:w="25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December 31, 2024</w:t>
            </w:r>
          </w:p>
        </w:tc>
        <w:tc>
          <w:tcPr>
            <w:tcW w:w="23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$6,750,000.00</w:t>
            </w:r>
          </w:p>
        </w:tc>
      </w:tr>
      <w:tr>
        <w:trPr>
          <w:trHeight w:val="223"/>
        </w:trPr>
        <w:tc>
          <w:tcPr>
            <w:tcW w:w="25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March 31, 2025</w:t>
            </w:r>
          </w:p>
        </w:tc>
        <w:tc>
          <w:tcPr>
            <w:tcW w:w="23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$6,750,000.00</w:t>
            </w:r>
          </w:p>
        </w:tc>
      </w:tr>
      <w:tr>
        <w:trPr>
          <w:trHeight w:val="223"/>
        </w:trPr>
        <w:tc>
          <w:tcPr>
            <w:tcW w:w="25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June 30, 2025</w:t>
            </w:r>
          </w:p>
        </w:tc>
        <w:tc>
          <w:tcPr>
            <w:tcW w:w="23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$6,750,000.00</w:t>
            </w:r>
          </w:p>
        </w:tc>
      </w:tr>
      <w:tr>
        <w:trPr>
          <w:trHeight w:val="223"/>
        </w:trPr>
        <w:tc>
          <w:tcPr>
            <w:tcW w:w="25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September 30, 2025</w:t>
            </w:r>
          </w:p>
        </w:tc>
        <w:tc>
          <w:tcPr>
            <w:tcW w:w="23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$6,750,000.00</w:t>
            </w:r>
          </w:p>
        </w:tc>
      </w:tr>
      <w:tr>
        <w:trPr>
          <w:trHeight w:val="223"/>
        </w:trPr>
        <w:tc>
          <w:tcPr>
            <w:tcW w:w="25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December 31, 2025</w:t>
            </w:r>
          </w:p>
        </w:tc>
        <w:tc>
          <w:tcPr>
            <w:tcW w:w="23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$6,750,000.00</w:t>
            </w:r>
          </w:p>
        </w:tc>
      </w:tr>
      <w:tr>
        <w:trPr>
          <w:trHeight w:val="223"/>
        </w:trPr>
        <w:tc>
          <w:tcPr>
            <w:tcW w:w="25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March 31, 2026</w:t>
            </w:r>
          </w:p>
        </w:tc>
        <w:tc>
          <w:tcPr>
            <w:tcW w:w="23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$6,750,000.00</w:t>
            </w:r>
          </w:p>
        </w:tc>
      </w:tr>
      <w:tr>
        <w:trPr>
          <w:trHeight w:val="223"/>
        </w:trPr>
        <w:tc>
          <w:tcPr>
            <w:tcW w:w="25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June 30, 2026</w:t>
            </w:r>
          </w:p>
        </w:tc>
        <w:tc>
          <w:tcPr>
            <w:tcW w:w="23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$6,750,000.00</w:t>
            </w:r>
          </w:p>
        </w:tc>
      </w:tr>
      <w:tr>
        <w:trPr>
          <w:trHeight w:val="223"/>
        </w:trPr>
        <w:tc>
          <w:tcPr>
            <w:tcW w:w="25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September 30, 2026</w:t>
            </w:r>
          </w:p>
        </w:tc>
        <w:tc>
          <w:tcPr>
            <w:tcW w:w="23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$6,750,000.00</w:t>
            </w:r>
          </w:p>
        </w:tc>
      </w:tr>
    </w:tbl>
    <w:p>
      <w:pPr>
        <w:spacing w:after="0" w:line="200" w:lineRule="exact"/>
        <w:rPr>
          <w:sz w:val="20"/>
          <w:szCs w:val="20"/>
          <w:color w:val="auto"/>
        </w:rPr>
      </w:pP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final principal repayment installment of the Term Loans shall be repaid on the Maturity Date for the Term Facility and in any event shall be in an amount equal to the aggregate principal amount of all Term Loans outstanding on such date.</w:t>
      </w:r>
    </w:p>
    <w:p>
      <w:pPr>
        <w:spacing w:after="0" w:line="152" w:lineRule="exact"/>
        <w:rPr>
          <w:sz w:val="20"/>
          <w:szCs w:val="20"/>
          <w:color w:val="auto"/>
        </w:rPr>
      </w:pPr>
    </w:p>
    <w:p>
      <w:pPr>
        <w:ind w:firstLine="872"/>
        <w:spacing w:after="0" w:line="260" w:lineRule="auto"/>
        <w:tabs>
          <w:tab w:leader="none" w:pos="1742"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Revolving Credit Loans</w:t>
      </w:r>
      <w:r>
        <w:rPr>
          <w:rFonts w:ascii="Arial" w:cs="Arial" w:eastAsia="Arial" w:hAnsi="Arial"/>
          <w:sz w:val="20"/>
          <w:szCs w:val="20"/>
          <w:color w:val="auto"/>
        </w:rPr>
        <w:t>. Each Borrower shall repay to the Revolving Credit Lenders on the Maturity Date for the Revolving Credit Facility the aggregate principal amount of all Revolving Credit Loans outstanding on such date.</w:t>
      </w:r>
    </w:p>
    <w:p>
      <w:pPr>
        <w:spacing w:after="0" w:line="176" w:lineRule="exact"/>
        <w:rPr>
          <w:rFonts w:ascii="Arial" w:cs="Arial" w:eastAsia="Arial" w:hAnsi="Arial"/>
          <w:sz w:val="20"/>
          <w:szCs w:val="20"/>
          <w:color w:val="auto"/>
        </w:rPr>
      </w:pPr>
    </w:p>
    <w:p>
      <w:pPr>
        <w:ind w:firstLine="872"/>
        <w:spacing w:after="0" w:line="260" w:lineRule="auto"/>
        <w:tabs>
          <w:tab w:leader="none" w:pos="1731"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Toro shall repay each Swing Line Loan on the earlier to occur of (i) the Maturity Date and (ii) the date of demand by the Swing Line Lender.</w:t>
      </w:r>
    </w:p>
    <w:p>
      <w:pPr>
        <w:spacing w:after="0" w:line="16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b w:val="1"/>
          <w:bCs w:val="1"/>
          <w:color w:val="auto"/>
        </w:rPr>
        <w:t>2.08 Interest</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(b)</w:t>
      </w:r>
      <w:r>
        <w:rPr>
          <w:rFonts w:ascii="Arial" w:cs="Arial" w:eastAsia="Arial" w:hAnsi="Arial"/>
          <w:sz w:val="18"/>
          <w:szCs w:val="18"/>
          <w:b w:val="1"/>
          <w:bCs w:val="1"/>
          <w:color w:val="auto"/>
        </w:rPr>
        <w:t xml:space="preserve"> </w:t>
      </w:r>
      <w:r>
        <w:rPr>
          <w:rFonts w:ascii="Arial" w:cs="Arial" w:eastAsia="Arial" w:hAnsi="Arial"/>
          <w:sz w:val="18"/>
          <w:szCs w:val="18"/>
          <w:color w:val="auto"/>
        </w:rPr>
        <w:t>below, (i) each Eurocurrency Rate Loan under a Facility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bear interest on the outstanding principal amount thereof for each Interest Period at a rate per annum equal to the Eurocurrency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such Facility; (ii) each Base Rate Loan under a Facility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such Facility; (iii) each Alternative Currency Daily Rate Loan under the Revolving Credit Facility shall bear interest on the outstanding principal amount thereof from the applicable borrowing date at a rate per annum equal to the Alternative Currency Daily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(iv) each Alternative Currency Term Rate Loan under the Revolving Credit Facility shall bear interest on the outstanding principal amount thereof for each Interest Period at a rate per annum equal to the Alternative Currency Term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and (v) each Swing Line Loan shall bear interest on the outstanding principal amount thereof from the applicable borrowing date at a rate per annum equal to (x)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the Revolving Credit Facility or (y) the rate quoted to Toro by the Swing Line Lender on the date any Swing Line Loan shall be requested.</w:t>
      </w:r>
    </w:p>
    <w:p>
      <w:pPr>
        <w:spacing w:after="0" w:line="17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Notwithstanding anything else herein, if at any time any Applicable Reference Rate or the Successor Rate as so determined would otherwise be less than zero percent, such interest rate will be deemed to be zero percent for purposes of this Agreement and the other Loan Documents.</w:t>
      </w:r>
    </w:p>
    <w:p>
      <w:pPr>
        <w:spacing w:after="0" w:line="186" w:lineRule="exact"/>
        <w:rPr>
          <w:sz w:val="20"/>
          <w:szCs w:val="20"/>
          <w:color w:val="auto"/>
        </w:rPr>
      </w:pPr>
    </w:p>
    <w:p>
      <w:pPr>
        <w:ind w:left="880" w:right="20" w:firstLine="77"/>
        <w:spacing w:after="0" w:line="260" w:lineRule="auto"/>
        <w:tabs>
          <w:tab w:leader="none" w:pos="1844" w:val="left"/>
        </w:tabs>
        <w:numPr>
          <w:ilvl w:val="0"/>
          <w:numId w:val="66"/>
        </w:numPr>
        <w:rPr>
          <w:rFonts w:ascii="Arial" w:cs="Arial" w:eastAsia="Arial" w:hAnsi="Arial"/>
          <w:sz w:val="20"/>
          <w:szCs w:val="20"/>
          <w:color w:val="auto"/>
        </w:rPr>
      </w:pPr>
      <w:r>
        <w:rPr>
          <w:rFonts w:ascii="Arial" w:cs="Arial" w:eastAsia="Arial" w:hAnsi="Arial"/>
          <w:sz w:val="20"/>
          <w:szCs w:val="20"/>
          <w:color w:val="auto"/>
        </w:rPr>
        <w:t>(i) If any amount of principal of any Loan is not paid when due (without regard to any applicable grace periods), whether at stated maturity, by acceleration or otherwise, such amount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8" w:name="page69"/>
    <w:bookmarkEnd w:id="68"/>
    <w:p>
      <w:pPr>
        <w:ind w:left="880"/>
        <w:spacing w:after="0" w:line="260" w:lineRule="auto"/>
        <w:rPr>
          <w:sz w:val="20"/>
          <w:szCs w:val="20"/>
          <w:color w:val="auto"/>
        </w:rPr>
      </w:pPr>
      <w:r>
        <w:rPr>
          <w:rFonts w:ascii="Arial" w:cs="Arial" w:eastAsia="Arial" w:hAnsi="Arial"/>
          <w:sz w:val="20"/>
          <w:szCs w:val="20"/>
          <w:color w:val="auto"/>
        </w:rPr>
        <w:t>shall thereafter bear interest at a fluctuating interest rate per annum at all times equal to the Default Rate to the fullest extent permitted by Applicable Laws.</w:t>
      </w:r>
    </w:p>
    <w:p>
      <w:pPr>
        <w:spacing w:after="0" w:line="177" w:lineRule="exact"/>
        <w:rPr>
          <w:sz w:val="20"/>
          <w:szCs w:val="20"/>
          <w:color w:val="auto"/>
        </w:rPr>
      </w:pPr>
    </w:p>
    <w:p>
      <w:pPr>
        <w:jc w:val="both"/>
        <w:ind w:left="880" w:firstLine="789"/>
        <w:spacing w:after="0" w:line="263" w:lineRule="auto"/>
        <w:tabs>
          <w:tab w:leader="none" w:pos="2567" w:val="left"/>
        </w:tabs>
        <w:numPr>
          <w:ilvl w:val="2"/>
          <w:numId w:val="67"/>
        </w:numPr>
        <w:rPr>
          <w:rFonts w:ascii="Arial" w:cs="Arial" w:eastAsia="Arial" w:hAnsi="Arial"/>
          <w:sz w:val="19"/>
          <w:szCs w:val="19"/>
          <w:color w:val="auto"/>
        </w:rPr>
      </w:pPr>
      <w:r>
        <w:rPr>
          <w:rFonts w:ascii="Arial" w:cs="Arial" w:eastAsia="Arial" w:hAnsi="Arial"/>
          <w:sz w:val="19"/>
          <w:szCs w:val="19"/>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6" w:lineRule="exact"/>
        <w:rPr>
          <w:rFonts w:ascii="Arial" w:cs="Arial" w:eastAsia="Arial" w:hAnsi="Arial"/>
          <w:sz w:val="19"/>
          <w:szCs w:val="19"/>
          <w:color w:val="auto"/>
        </w:rPr>
      </w:pPr>
    </w:p>
    <w:p>
      <w:pPr>
        <w:jc w:val="both"/>
        <w:ind w:left="880" w:firstLine="789"/>
        <w:spacing w:after="0" w:line="250" w:lineRule="auto"/>
        <w:tabs>
          <w:tab w:leader="none" w:pos="2622" w:val="left"/>
        </w:tabs>
        <w:numPr>
          <w:ilvl w:val="2"/>
          <w:numId w:val="67"/>
        </w:numPr>
        <w:rPr>
          <w:rFonts w:ascii="Arial" w:cs="Arial" w:eastAsia="Arial" w:hAnsi="Arial"/>
          <w:sz w:val="20"/>
          <w:szCs w:val="20"/>
          <w:color w:val="auto"/>
        </w:rPr>
      </w:pPr>
      <w:r>
        <w:rPr>
          <w:rFonts w:ascii="Arial" w:cs="Arial" w:eastAsia="Arial" w:hAnsi="Arial"/>
          <w:sz w:val="20"/>
          <w:szCs w:val="20"/>
          <w:color w:val="auto"/>
        </w:rPr>
        <w:t>Upon the request of the Required Lenders, while any Event of Default exists, the Borrowers shall pay interest on the principal amount of all outstanding Obligations at a fluctuating interest rate per annum at all times equal to the Default Rate to the fullest extent permitted by Applicable Laws.</w:t>
      </w:r>
    </w:p>
    <w:p>
      <w:pPr>
        <w:spacing w:after="0" w:line="185" w:lineRule="exact"/>
        <w:rPr>
          <w:rFonts w:ascii="Arial" w:cs="Arial" w:eastAsia="Arial" w:hAnsi="Arial"/>
          <w:sz w:val="20"/>
          <w:szCs w:val="20"/>
          <w:color w:val="auto"/>
        </w:rPr>
      </w:pPr>
    </w:p>
    <w:p>
      <w:pPr>
        <w:ind w:left="880" w:right="20" w:firstLine="789"/>
        <w:spacing w:after="0" w:line="260" w:lineRule="auto"/>
        <w:tabs>
          <w:tab w:leader="none" w:pos="2611" w:val="left"/>
        </w:tabs>
        <w:numPr>
          <w:ilvl w:val="2"/>
          <w:numId w:val="67"/>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176" w:lineRule="exact"/>
        <w:rPr>
          <w:rFonts w:ascii="Arial" w:cs="Arial" w:eastAsia="Arial" w:hAnsi="Arial"/>
          <w:sz w:val="20"/>
          <w:szCs w:val="20"/>
          <w:color w:val="auto"/>
        </w:rPr>
      </w:pPr>
    </w:p>
    <w:p>
      <w:pPr>
        <w:jc w:val="both"/>
        <w:ind w:firstLine="872"/>
        <w:spacing w:after="0" w:line="269" w:lineRule="auto"/>
        <w:tabs>
          <w:tab w:leader="none" w:pos="1731" w:val="left"/>
        </w:tabs>
        <w:numPr>
          <w:ilvl w:val="1"/>
          <w:numId w:val="68"/>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9" w:lineRule="exact"/>
        <w:rPr>
          <w:rFonts w:ascii="Arial" w:cs="Arial" w:eastAsia="Arial" w:hAnsi="Arial"/>
          <w:sz w:val="19"/>
          <w:szCs w:val="19"/>
          <w:color w:val="auto"/>
        </w:rPr>
      </w:pPr>
    </w:p>
    <w:p>
      <w:pPr>
        <w:ind w:left="1760" w:hanging="888"/>
        <w:spacing w:after="0"/>
        <w:tabs>
          <w:tab w:leader="none" w:pos="17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the purposes of the Interest Act (Canada) with respect to any credit extension denominated in Canadian Dollars,</w:t>
      </w:r>
    </w:p>
    <w:p>
      <w:pPr>
        <w:spacing w:after="0" w:line="38" w:lineRule="exact"/>
        <w:rPr>
          <w:rFonts w:ascii="Arial" w:cs="Arial" w:eastAsia="Arial" w:hAnsi="Arial"/>
          <w:sz w:val="18"/>
          <w:szCs w:val="18"/>
          <w:color w:val="auto"/>
        </w:rPr>
      </w:pPr>
    </w:p>
    <w:p>
      <w:pPr>
        <w:jc w:val="both"/>
        <w:ind w:firstLine="8"/>
        <w:spacing w:after="0" w:line="256" w:lineRule="auto"/>
        <w:tabs>
          <w:tab w:leader="none" w:pos="241" w:val="left"/>
        </w:tabs>
        <w:numPr>
          <w:ilvl w:val="0"/>
          <w:numId w:val="69"/>
        </w:numPr>
        <w:rPr>
          <w:rFonts w:ascii="Arial" w:cs="Arial" w:eastAsia="Arial" w:hAnsi="Arial"/>
          <w:sz w:val="19"/>
          <w:szCs w:val="19"/>
          <w:color w:val="auto"/>
        </w:rPr>
      </w:pPr>
      <w:r>
        <w:rPr>
          <w:rFonts w:ascii="Arial" w:cs="Arial" w:eastAsia="Arial" w:hAnsi="Arial"/>
          <w:sz w:val="19"/>
          <w:szCs w:val="19"/>
          <w:color w:val="auto"/>
        </w:rPr>
        <w:t>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7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2.09</w:t>
      </w:r>
      <w:r>
        <w:rPr>
          <w:sz w:val="20"/>
          <w:szCs w:val="20"/>
          <w:color w:val="auto"/>
        </w:rPr>
        <w:tab/>
      </w:r>
      <w:r>
        <w:rPr>
          <w:rFonts w:ascii="Arial" w:cs="Arial" w:eastAsia="Arial" w:hAnsi="Arial"/>
          <w:sz w:val="18"/>
          <w:szCs w:val="18"/>
          <w:b w:val="1"/>
          <w:bCs w:val="1"/>
          <w:color w:val="auto"/>
        </w:rPr>
        <w:t xml:space="preserve">Fees. </w:t>
      </w:r>
      <w:r>
        <w:rPr>
          <w:rFonts w:ascii="Arial" w:cs="Arial" w:eastAsia="Arial" w:hAnsi="Arial"/>
          <w:sz w:val="18"/>
          <w:szCs w:val="18"/>
          <w:color w:val="auto"/>
        </w:rPr>
        <w:t>In addition to certain fees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subsections (h)</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2" w:lineRule="exact"/>
        <w:rPr>
          <w:sz w:val="20"/>
          <w:szCs w:val="20"/>
          <w:color w:val="auto"/>
        </w:rPr>
      </w:pPr>
    </w:p>
    <w:p>
      <w:pPr>
        <w:jc w:val="both"/>
        <w:ind w:firstLine="872"/>
        <w:spacing w:after="0" w:line="271" w:lineRule="auto"/>
        <w:tabs>
          <w:tab w:leader="none" w:pos="173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The Borrowers shall pay to the Administrative Agent for the account of each Revolving Credit Lender in accordance with its Applicable Percentage,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xml:space="preserve">”) in Dollars equal to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actual daily amount of the Revolving Credit Facility (or, if the Revolving Credit Facility has terminated, on the Outstanding Amount of all Revolving Credit Loans, Swing Line Loans and L/C Obligations), regardless of usage, subject to adjustment as provided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The Facility Fee shall accrue at all times during the Availability Period (and thereafter so long as any Revolving Credit Loans, Swing Line Loans or L/C Obligations remain outstanding), including at any time during which one or more of the conditions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73" w:lineRule="exact"/>
        <w:rPr>
          <w:rFonts w:ascii="Arial" w:cs="Arial" w:eastAsia="Arial" w:hAnsi="Arial"/>
          <w:sz w:val="18"/>
          <w:szCs w:val="18"/>
          <w:color w:val="auto"/>
        </w:rPr>
      </w:pPr>
    </w:p>
    <w:p>
      <w:pPr>
        <w:jc w:val="both"/>
        <w:ind w:firstLine="872"/>
        <w:spacing w:after="0" w:line="250" w:lineRule="auto"/>
        <w:tabs>
          <w:tab w:leader="none" w:pos="1742"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(i) Toro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9" w:name="page70"/>
    <w:bookmarkEnd w:id="69"/>
    <w:p>
      <w:pPr>
        <w:ind w:firstLine="896"/>
        <w:spacing w:after="0" w:line="316" w:lineRule="auto"/>
        <w:tabs>
          <w:tab w:leader="none" w:pos="17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Toro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24"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b w:val="1"/>
          <w:bCs w:val="1"/>
          <w:color w:val="auto"/>
        </w:rPr>
        <w:t xml:space="preserve">2.10 Computation of Interest and Fees; Retroactive Adjustments of Applicable Rate. </w:t>
      </w:r>
      <w:r>
        <w:rPr>
          <w:rFonts w:ascii="Arial" w:cs="Arial" w:eastAsia="Arial" w:hAnsi="Arial"/>
          <w:sz w:val="18"/>
          <w:szCs w:val="18"/>
          <w:color w:val="auto"/>
        </w:rPr>
        <w:t>(a) All computations of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Base Rate Loans (including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68" w:lineRule="exact"/>
        <w:rPr>
          <w:sz w:val="20"/>
          <w:szCs w:val="20"/>
          <w:color w:val="auto"/>
        </w:rPr>
      </w:pPr>
    </w:p>
    <w:p>
      <w:pPr>
        <w:jc w:val="both"/>
        <w:ind w:firstLine="872"/>
        <w:spacing w:after="0" w:line="255" w:lineRule="auto"/>
        <w:tabs>
          <w:tab w:leader="none" w:pos="1742"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If, as a result of any restatement of or other adjustment to the financial statements of the Borrowers or for any other reason, the Borrowers or the Lenders determine that (i) the Leverage Ratio as calculated by the Borrowers as of any applicable date was inaccurate and (ii) a proper calculation of the Leverage Ratio would have resulted in higher pricing for such period, each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9"/>
          <w:szCs w:val="19"/>
          <w:u w:val="single" w:color="auto"/>
          <w:color w:val="auto"/>
        </w:rPr>
        <w:t>Section 2.03(c)(iii)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2.08(b)</w:t>
      </w:r>
      <w:r>
        <w:rPr>
          <w:rFonts w:ascii="Arial" w:cs="Arial" w:eastAsia="Arial" w:hAnsi="Arial"/>
          <w:sz w:val="19"/>
          <w:szCs w:val="19"/>
          <w:color w:val="auto"/>
        </w:rPr>
        <w:t xml:space="preserve"> or under </w:t>
      </w:r>
      <w:r>
        <w:rPr>
          <w:rFonts w:ascii="Arial" w:cs="Arial" w:eastAsia="Arial" w:hAnsi="Arial"/>
          <w:sz w:val="19"/>
          <w:szCs w:val="19"/>
          <w:u w:val="single" w:color="auto"/>
          <w:color w:val="auto"/>
        </w:rPr>
        <w:t>Article VIII</w:t>
      </w:r>
      <w:r>
        <w:rPr>
          <w:rFonts w:ascii="Arial" w:cs="Arial" w:eastAsia="Arial" w:hAnsi="Arial"/>
          <w:sz w:val="19"/>
          <w:szCs w:val="19"/>
          <w:color w:val="auto"/>
        </w:rPr>
        <w:t>. The Borrower’s obligations under this paragraph shall survive the termination of the Aggregate Commitments and the repayment of all other Obligations hereunder.</w:t>
      </w:r>
    </w:p>
    <w:p>
      <w:pPr>
        <w:spacing w:after="0" w:line="17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b w:val="1"/>
          <w:bCs w:val="1"/>
          <w:color w:val="auto"/>
        </w:rPr>
        <w:t>2.11 Evidence of Debt</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The Credit Extensions made by each Lender shall be evidenced by one or more accounts or</w:t>
      </w:r>
      <w:r>
        <w:rPr>
          <w:rFonts w:ascii="Arial" w:cs="Arial" w:eastAsia="Arial" w:hAnsi="Arial"/>
          <w:sz w:val="19"/>
          <w:szCs w:val="19"/>
          <w:b w:val="1"/>
          <w:bCs w:val="1"/>
          <w:color w:val="auto"/>
        </w:rPr>
        <w:t xml:space="preserve"> </w:t>
      </w:r>
      <w:r>
        <w:rPr>
          <w:rFonts w:ascii="Arial" w:cs="Arial" w:eastAsia="Arial" w:hAnsi="Arial"/>
          <w:sz w:val="19"/>
          <w:szCs w:val="19"/>
          <w:color w:val="auto"/>
        </w:rPr>
        <w:t>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89" w:lineRule="exact"/>
        <w:rPr>
          <w:sz w:val="20"/>
          <w:szCs w:val="20"/>
          <w:color w:val="auto"/>
        </w:rPr>
      </w:pPr>
    </w:p>
    <w:p>
      <w:pPr>
        <w:jc w:val="both"/>
        <w:ind w:firstLine="872"/>
        <w:spacing w:after="0" w:line="246" w:lineRule="auto"/>
        <w:tabs>
          <w:tab w:leader="none" w:pos="1742"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In addition to the accounts and records referred to in </w:t>
      </w:r>
      <w:r>
        <w:rPr>
          <w:rFonts w:ascii="Arial" w:cs="Arial" w:eastAsia="Arial" w:hAnsi="Arial"/>
          <w:sz w:val="20"/>
          <w:szCs w:val="20"/>
          <w:u w:val="single" w:color="auto"/>
          <w:color w:val="auto"/>
        </w:rPr>
        <w:t>subsection (a)</w:t>
      </w:r>
      <w:r>
        <w:rPr>
          <w:rFonts w:ascii="Arial" w:cs="Arial" w:eastAsia="Arial" w:hAnsi="Arial"/>
          <w:sz w:val="20"/>
          <w:szCs w:val="20"/>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0" w:name="page71"/>
    <w:bookmarkEnd w:id="70"/>
    <w:p>
      <w:pPr>
        <w:jc w:val="both"/>
        <w:spacing w:after="0" w:line="260" w:lineRule="auto"/>
        <w:rPr>
          <w:sz w:val="20"/>
          <w:szCs w:val="20"/>
          <w:color w:val="auto"/>
        </w:rPr>
      </w:pPr>
      <w:r>
        <w:rPr>
          <w:rFonts w:ascii="Arial" w:cs="Arial" w:eastAsia="Arial" w:hAnsi="Arial"/>
          <w:sz w:val="20"/>
          <w:szCs w:val="20"/>
          <w:color w:val="auto"/>
        </w:rPr>
        <w:t>accounts and records of any Lender in respect of such matters, the accounts and records of the Administrative Agent shall control in the absence of manifest error.</w:t>
      </w:r>
    </w:p>
    <w:p>
      <w:pPr>
        <w:spacing w:after="0" w:line="16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b w:val="1"/>
          <w:bCs w:val="1"/>
          <w:color w:val="auto"/>
        </w:rPr>
        <w:t>2.12 Payments Generally; Administrative Agent’s Clawback</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made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3:00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(as determined by the Administrative Agent)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3:00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82" w:lineRule="exact"/>
        <w:rPr>
          <w:sz w:val="20"/>
          <w:szCs w:val="20"/>
          <w:color w:val="auto"/>
        </w:rPr>
      </w:pPr>
    </w:p>
    <w:p>
      <w:pPr>
        <w:jc w:val="both"/>
        <w:ind w:firstLine="872"/>
        <w:spacing w:after="0" w:line="269" w:lineRule="auto"/>
        <w:tabs>
          <w:tab w:leader="none" w:pos="17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Borrowing of Eurocurrency Rate Loans or Alternative Currency Daily Rate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1" w:name="page72"/>
    <w:bookmarkEnd w:id="71"/>
    <w:p>
      <w:pPr>
        <w:jc w:val="both"/>
        <w:ind w:firstLine="896"/>
        <w:spacing w:after="0" w:line="243" w:lineRule="auto"/>
        <w:tabs>
          <w:tab w:leader="none" w:pos="1778"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Payments by Borrowers; Presumptions by Administrative Agent</w:t>
      </w:r>
      <w:r>
        <w:rPr>
          <w:rFonts w:ascii="Arial" w:cs="Arial" w:eastAsia="Arial" w:hAnsi="Arial"/>
          <w:sz w:val="20"/>
          <w:szCs w:val="20"/>
          <w:color w:val="auto"/>
        </w:rPr>
        <w:t>. With respect to any payment that is due to the Administrative Agent for the account of the Lenders or the L/C Issuer hereunder,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w:t>
      </w:r>
    </w:p>
    <w:p>
      <w:pPr>
        <w:spacing w:after="0" w:line="19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Arial" w:cs="Arial" w:eastAsia="Arial" w:hAnsi="Arial"/>
          <w:sz w:val="18"/>
          <w:szCs w:val="18"/>
          <w:u w:val="single" w:color="auto"/>
          <w:color w:val="auto"/>
        </w:rPr>
        <w:t>Rescindable Amount</w:t>
      </w:r>
      <w:r>
        <w:rPr>
          <w:rFonts w:ascii="Arial" w:cs="Arial" w:eastAsia="Arial" w:hAnsi="Arial"/>
          <w:sz w:val="18"/>
          <w:szCs w:val="18"/>
          <w:color w:val="auto"/>
        </w:rPr>
        <w:t>”): (1) the applicable Borrower has not in fact made such payment; (2) the Administrative Agent has made a payment in excess of the amount so paid by the applicable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A notice of the Administrative Agent to any Lender or any Borrower with respect to any amount owing under this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shall be conclusive, absent manifest error.</w:t>
      </w:r>
    </w:p>
    <w:p>
      <w:pPr>
        <w:spacing w:after="0" w:line="177" w:lineRule="exact"/>
        <w:rPr>
          <w:sz w:val="20"/>
          <w:szCs w:val="20"/>
          <w:color w:val="auto"/>
        </w:rPr>
      </w:pPr>
    </w:p>
    <w:p>
      <w:pPr>
        <w:jc w:val="both"/>
        <w:ind w:firstLine="872"/>
        <w:spacing w:after="0" w:line="244" w:lineRule="auto"/>
        <w:tabs>
          <w:tab w:leader="none" w:pos="1731"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such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4" w:lineRule="exact"/>
        <w:rPr>
          <w:rFonts w:ascii="Arial" w:cs="Arial" w:eastAsia="Arial" w:hAnsi="Arial"/>
          <w:sz w:val="20"/>
          <w:szCs w:val="20"/>
          <w:color w:val="auto"/>
        </w:rPr>
      </w:pPr>
    </w:p>
    <w:p>
      <w:pPr>
        <w:jc w:val="both"/>
        <w:ind w:firstLine="872"/>
        <w:spacing w:after="0" w:line="243" w:lineRule="auto"/>
        <w:tabs>
          <w:tab w:leader="none" w:pos="174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xml:space="preserve">. The obligations of the Lenders hereunder to make Term Loans and Revolving Credit Loans, to fund participations in Letters of Credit and Swing Line Loans and to make payments pursuant to </w:t>
      </w:r>
      <w:r>
        <w:rPr>
          <w:rFonts w:ascii="Arial" w:cs="Arial" w:eastAsia="Arial" w:hAnsi="Arial"/>
          <w:sz w:val="20"/>
          <w:szCs w:val="20"/>
          <w:u w:val="single" w:color="auto"/>
          <w:color w:val="auto"/>
        </w:rPr>
        <w:t>Section 11.04(c)</w:t>
      </w:r>
      <w:r>
        <w:rPr>
          <w:rFonts w:ascii="Arial" w:cs="Arial" w:eastAsia="Arial" w:hAnsi="Arial"/>
          <w:sz w:val="20"/>
          <w:szCs w:val="20"/>
          <w:color w:val="auto"/>
        </w:rPr>
        <w:t xml:space="preserve"> are several and not joint. The failure of any Lender to make any Loan, to fund any such participation or to make any payment under </w:t>
      </w:r>
      <w:r>
        <w:rPr>
          <w:rFonts w:ascii="Arial" w:cs="Arial" w:eastAsia="Arial" w:hAnsi="Arial"/>
          <w:sz w:val="20"/>
          <w:szCs w:val="20"/>
          <w:u w:val="single" w:color="auto"/>
          <w:color w:val="auto"/>
        </w:rPr>
        <w:t>Section 11.04(c)</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0"/>
          <w:szCs w:val="20"/>
          <w:u w:val="single" w:color="auto"/>
          <w:color w:val="auto"/>
        </w:rPr>
        <w:t>Section 11.04(c)</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firstLine="872"/>
        <w:spacing w:after="0" w:line="250" w:lineRule="auto"/>
        <w:tabs>
          <w:tab w:leader="none" w:pos="1731"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b w:val="1"/>
          <w:bCs w:val="1"/>
          <w:color w:val="auto"/>
        </w:rPr>
        <w:t>2.13 Sharing of Payments by Lenders</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any Lender shall, by exercising any right of setoff or counterclaim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as provided herein, then the Lender receiving such greater proportion shall</w:t>
      </w:r>
    </w:p>
    <w:p>
      <w:pPr>
        <w:spacing w:after="0" w:line="3" w:lineRule="exact"/>
        <w:rPr>
          <w:sz w:val="20"/>
          <w:szCs w:val="20"/>
          <w:color w:val="auto"/>
        </w:rPr>
      </w:pPr>
    </w:p>
    <w:p>
      <w:pPr>
        <w:jc w:val="both"/>
        <w:ind w:firstLine="8"/>
        <w:spacing w:after="0" w:line="241" w:lineRule="auto"/>
        <w:tabs>
          <w:tab w:leader="none" w:pos="273" w:val="left"/>
        </w:tabs>
        <w:numPr>
          <w:ilvl w:val="0"/>
          <w:numId w:val="77"/>
        </w:numPr>
        <w:rPr>
          <w:rFonts w:ascii="Arial" w:cs="Arial" w:eastAsia="Arial" w:hAnsi="Arial"/>
          <w:sz w:val="20"/>
          <w:szCs w:val="20"/>
          <w:color w:val="auto"/>
        </w:rPr>
      </w:pPr>
      <w:r>
        <w:rPr>
          <w:rFonts w:ascii="Arial" w:cs="Arial" w:eastAsia="Arial" w:hAnsi="Arial"/>
          <w:sz w:val="20"/>
          <w:szCs w:val="20"/>
          <w:color w:val="auto"/>
        </w:rPr>
        <w:t>notify the Administrative Agent of such fact, and (b) purchase (for cash at face value) participations in the Loans and subparticipations in L/C Obligations and Swing Line Loans of the other Lenders, or make such other adjustments as shall be equitable, so that the benefit of all such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2" w:name="page73"/>
    <w:bookmarkEnd w:id="72"/>
    <w:p>
      <w:pPr>
        <w:spacing w:after="0" w:line="260" w:lineRule="auto"/>
        <w:rPr>
          <w:sz w:val="20"/>
          <w:szCs w:val="20"/>
          <w:color w:val="auto"/>
        </w:rPr>
      </w:pPr>
      <w:r>
        <w:rPr>
          <w:rFonts w:ascii="Arial" w:cs="Arial" w:eastAsia="Arial" w:hAnsi="Arial"/>
          <w:sz w:val="20"/>
          <w:szCs w:val="20"/>
          <w:color w:val="auto"/>
        </w:rPr>
        <w:t xml:space="preserve">payments shall be shared by the Lenders ratably in accordance with the aggregate amount of principal of and accrued interest on their respective Loans and other amounts owing them,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7" w:lineRule="exact"/>
        <w:rPr>
          <w:sz w:val="20"/>
          <w:szCs w:val="20"/>
          <w:color w:val="auto"/>
        </w:rPr>
      </w:pPr>
    </w:p>
    <w:p>
      <w:pPr>
        <w:jc w:val="both"/>
        <w:ind w:left="900" w:firstLine="791"/>
        <w:spacing w:after="0" w:line="250" w:lineRule="auto"/>
        <w:tabs>
          <w:tab w:leader="none" w:pos="253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5" w:lineRule="exact"/>
        <w:rPr>
          <w:rFonts w:ascii="Arial" w:cs="Arial" w:eastAsia="Arial" w:hAnsi="Arial"/>
          <w:sz w:val="20"/>
          <w:szCs w:val="20"/>
          <w:color w:val="auto"/>
        </w:rPr>
      </w:pPr>
    </w:p>
    <w:p>
      <w:pPr>
        <w:jc w:val="both"/>
        <w:ind w:left="900" w:firstLine="791"/>
        <w:spacing w:after="0" w:line="243" w:lineRule="auto"/>
        <w:tabs>
          <w:tab w:leader="none" w:pos="2585"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the provisions of this Section shall not be construed to apply to (x) any payment made by a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20"/>
          <w:szCs w:val="20"/>
          <w:u w:val="single" w:color="auto"/>
          <w:color w:val="auto"/>
        </w:rPr>
        <w:t>Section 2.15</w:t>
      </w:r>
      <w:r>
        <w:rPr>
          <w:rFonts w:ascii="Arial" w:cs="Arial" w:eastAsia="Arial" w:hAnsi="Arial"/>
          <w:sz w:val="20"/>
          <w:szCs w:val="20"/>
          <w:color w:val="auto"/>
        </w:rPr>
        <w:t>, or (z) any payment obtained by a Lender as consideration for the assignment of or sale of a participation in any of its Loans or subparticipations in L/C Obligations or Swing Line Loans to any assignee or participant, other than to Toro or any Subsidiary thereof (as to which the provisions of this Section shall apply).</w:t>
      </w:r>
    </w:p>
    <w:p>
      <w:pPr>
        <w:spacing w:after="0" w:line="19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7"/>
          <w:szCs w:val="17"/>
          <w:b w:val="1"/>
          <w:bCs w:val="1"/>
          <w:color w:val="auto"/>
        </w:rPr>
        <w:t>Increase in Commitments</w:t>
      </w:r>
      <w:r>
        <w:rPr>
          <w:rFonts w:ascii="Arial" w:cs="Arial" w:eastAsia="Arial" w:hAnsi="Arial"/>
          <w:sz w:val="18"/>
          <w:szCs w:val="18"/>
          <w:color w:val="auto"/>
        </w:rPr>
        <w:t>.</w:t>
      </w:r>
    </w:p>
    <w:p>
      <w:pPr>
        <w:spacing w:after="0" w:line="23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Request for Increase</w:t>
      </w:r>
      <w:r>
        <w:rPr>
          <w:rFonts w:ascii="Arial" w:cs="Arial" w:eastAsia="Arial" w:hAnsi="Arial"/>
          <w:sz w:val="19"/>
          <w:szCs w:val="19"/>
          <w:color w:val="auto"/>
        </w:rPr>
        <w:t>. Provided there exists no Default, upon notice to the Administrative Agent (which shall promptly notify the Lenders), Toro may from time to time, request (x) an increase in the Revolving Credit Facility (each, an “</w:t>
      </w:r>
      <w:r>
        <w:rPr>
          <w:rFonts w:ascii="Arial" w:cs="Arial" w:eastAsia="Arial" w:hAnsi="Arial"/>
          <w:sz w:val="19"/>
          <w:szCs w:val="19"/>
          <w:u w:val="single" w:color="auto"/>
          <w:color w:val="auto"/>
        </w:rPr>
        <w:t>Incremental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by an amount (for all such requests) up to $300,000,000 and/or (y) the one-time establishment of one or more new term loan commitments (each, an “</w:t>
      </w:r>
      <w:r>
        <w:rPr>
          <w:rFonts w:ascii="Arial" w:cs="Arial" w:eastAsia="Arial" w:hAnsi="Arial"/>
          <w:sz w:val="19"/>
          <w:szCs w:val="19"/>
          <w:u w:val="single" w:color="auto"/>
          <w:color w:val="auto"/>
        </w:rPr>
        <w:t>Incremental Term Commitment</w:t>
      </w:r>
      <w:r>
        <w:rPr>
          <w:rFonts w:ascii="Arial" w:cs="Arial" w:eastAsia="Arial" w:hAnsi="Arial"/>
          <w:sz w:val="19"/>
          <w:szCs w:val="19"/>
          <w:color w:val="auto"/>
        </w:rPr>
        <w:t xml:space="preserve">”) by an amount (for all such requests) up to $100,000,000;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request for an increase shall be in a minimum amount of $25,000,000 or a whole multiple of $5,000,000 in excess thereof;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Toro may make a maximum of six (6) such requests. Each such notice shall specify (i) the date (each, an “</w:t>
      </w:r>
      <w:r>
        <w:rPr>
          <w:rFonts w:ascii="Arial" w:cs="Arial" w:eastAsia="Arial" w:hAnsi="Arial"/>
          <w:sz w:val="19"/>
          <w:szCs w:val="19"/>
          <w:u w:val="single" w:color="auto"/>
          <w:color w:val="auto"/>
        </w:rPr>
        <w:t>Increase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on which Toro proposes that the Incremental Commitments shall be effective, which shall be a date not less than 10 Business Days after the date on which such notice is delivered to the Administrative Agent and (ii) the identity of each Eligible Assignee to whom Toro proposes any portion of such Incremental Commitments be allocated and the amounts of such allocations;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existing Lender approached to provide all or a portion of the Incremental Commitments may elect or decline, in its sole discretion, to provide such Incremental Commitment.</w:t>
      </w:r>
    </w:p>
    <w:p>
      <w:pPr>
        <w:spacing w:after="0" w:line="187" w:lineRule="exact"/>
        <w:rPr>
          <w:sz w:val="20"/>
          <w:szCs w:val="20"/>
          <w:color w:val="auto"/>
        </w:rPr>
      </w:pPr>
    </w:p>
    <w:p>
      <w:pPr>
        <w:jc w:val="both"/>
        <w:ind w:firstLine="872"/>
        <w:spacing w:after="0" w:line="304" w:lineRule="auto"/>
        <w:tabs>
          <w:tab w:leader="none" w:pos="1742"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Conditions</w:t>
      </w:r>
      <w:r>
        <w:rPr>
          <w:rFonts w:ascii="Arial" w:cs="Arial" w:eastAsia="Arial" w:hAnsi="Arial"/>
          <w:sz w:val="16"/>
          <w:szCs w:val="16"/>
          <w:color w:val="auto"/>
        </w:rPr>
        <w:t xml:space="preserve">. As a condition precedent to the effectiveness of any Incremental Commitments, Toro shall deliver to the Administrative Agent and the Lenders (i) such information as may be requested pursuant to </w:t>
      </w:r>
      <w:r>
        <w:rPr>
          <w:rFonts w:ascii="Arial" w:cs="Arial" w:eastAsia="Arial" w:hAnsi="Arial"/>
          <w:sz w:val="16"/>
          <w:szCs w:val="16"/>
          <w:u w:val="single" w:color="auto"/>
          <w:color w:val="auto"/>
        </w:rPr>
        <w:t>Section 4.01(a)(xi)</w:t>
      </w:r>
      <w:r>
        <w:rPr>
          <w:rFonts w:ascii="Arial" w:cs="Arial" w:eastAsia="Arial" w:hAnsi="Arial"/>
          <w:sz w:val="16"/>
          <w:szCs w:val="16"/>
          <w:color w:val="auto"/>
        </w:rPr>
        <w:t>, (ii) legal opinions of the type delivered on the Closing Date to the extent reasonably requested by, and in form and substance reasonably satisfactory to, the Administrative Agent and (iii) a certificate of each Loan Party dated as of the Increase Effective Date signed by a Responsible Officer of such Loan Party</w:t>
      </w:r>
    </w:p>
    <w:p>
      <w:pPr>
        <w:spacing w:after="0" w:line="1" w:lineRule="exact"/>
        <w:rPr>
          <w:rFonts w:ascii="Arial" w:cs="Arial" w:eastAsia="Arial" w:hAnsi="Arial"/>
          <w:sz w:val="16"/>
          <w:szCs w:val="16"/>
          <w:color w:val="auto"/>
        </w:rPr>
      </w:pPr>
    </w:p>
    <w:p>
      <w:pPr>
        <w:jc w:val="both"/>
        <w:ind w:firstLine="8"/>
        <w:spacing w:after="0" w:line="254" w:lineRule="auto"/>
        <w:tabs>
          <w:tab w:leader="none" w:pos="342"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certifying and attaching the resolutions adopted by such Loan Party approving or consenting to such increase, and (B) certifying that, before and after giving effect to such increase, (1) the representations and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the other Loan Documents are true and correct in all material respects on and as of the Increase Effective Date, except (w) if a qualifier relating to materiality, Material Adverse Effect or other similar concept applies, such representation or warranty is true and correct in all respects, (x) to the extent that such representations and warranties specifically refer to an earlier date, in which case they are true and correct as of such earlier date, and (y) that for purposes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3" w:name="page74"/>
    <w:bookmarkEnd w:id="73"/>
    <w:p>
      <w:pPr>
        <w:jc w:val="both"/>
        <w:spacing w:after="0" w:line="242" w:lineRule="auto"/>
        <w:rPr>
          <w:sz w:val="20"/>
          <w:szCs w:val="20"/>
          <w:color w:val="auto"/>
        </w:rPr>
      </w:pP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respectively, of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(2) immediately after giving effect to such Incremental Commitments (assuming that such Incremental Commitments have been fully utilized), Toro is in compliance on a pro forma basis with the financial covenant set forth in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and (3) no Default exists or will result from the borrowings to be made on the Increase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Incremental Commitments are being provided in connection with a Limited Conditionality Acquisition, such certificate shall provide that the above requirements in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were satisfied in accordance with </w:t>
      </w:r>
      <w:r>
        <w:rPr>
          <w:rFonts w:ascii="Arial" w:cs="Arial" w:eastAsia="Arial" w:hAnsi="Arial"/>
          <w:sz w:val="20"/>
          <w:szCs w:val="20"/>
          <w:u w:val="single" w:color="auto"/>
          <w:color w:val="auto"/>
        </w:rPr>
        <w:t>Section 1.10</w:t>
      </w:r>
      <w:r>
        <w:rPr>
          <w:rFonts w:ascii="Arial" w:cs="Arial" w:eastAsia="Arial" w:hAnsi="Arial"/>
          <w:sz w:val="20"/>
          <w:szCs w:val="20"/>
          <w:color w:val="auto"/>
        </w:rPr>
        <w:t xml:space="preserve">. The Borrowers shall prepay any Loans outstanding on the Increase Effective Date (and pay any additional amounts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to the extent necessary to keep the outstanding Loans ratable with any revised Applicable Percentages arising from any nonratable increase in the Revolving Credit Commitments under this Section.</w:t>
      </w:r>
    </w:p>
    <w:p>
      <w:pPr>
        <w:spacing w:after="0" w:line="197" w:lineRule="exact"/>
        <w:rPr>
          <w:sz w:val="20"/>
          <w:szCs w:val="20"/>
          <w:color w:val="auto"/>
        </w:rPr>
      </w:pPr>
    </w:p>
    <w:p>
      <w:pPr>
        <w:ind w:firstLine="872"/>
        <w:spacing w:after="0" w:line="260" w:lineRule="auto"/>
        <w:tabs>
          <w:tab w:leader="none" w:pos="1731"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Terms of New Loans and Commitments</w:t>
      </w:r>
      <w:r>
        <w:rPr>
          <w:rFonts w:ascii="Arial" w:cs="Arial" w:eastAsia="Arial" w:hAnsi="Arial"/>
          <w:sz w:val="20"/>
          <w:szCs w:val="20"/>
          <w:color w:val="auto"/>
        </w:rPr>
        <w:t>. The terms and provisions of Loans made pursuant to Incremental Commitments shall be as follows:</w:t>
      </w:r>
    </w:p>
    <w:p>
      <w:pPr>
        <w:spacing w:after="0" w:line="176" w:lineRule="exact"/>
        <w:rPr>
          <w:rFonts w:ascii="Arial" w:cs="Arial" w:eastAsia="Arial" w:hAnsi="Arial"/>
          <w:sz w:val="20"/>
          <w:szCs w:val="20"/>
          <w:color w:val="auto"/>
        </w:rPr>
      </w:pPr>
    </w:p>
    <w:p>
      <w:pPr>
        <w:jc w:val="both"/>
        <w:ind w:left="880" w:firstLine="789"/>
        <w:spacing w:after="0" w:line="260" w:lineRule="auto"/>
        <w:tabs>
          <w:tab w:leader="none" w:pos="2512"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the terms and provisions of Incremental Term Loans shall be, except as otherwise set forth herein or in the Increase Joinder, identical to the Term Loans (it being understood that Incremental Term Loans may be a part of the Term Loans) and to the extent that the terms and provisions of Incremental Term Loans are not identical to the Term Loans (except to the extent permitted by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below) they shall be reasonably satisfactory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any event the Incremental Term Loans must comply with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below;</w:t>
      </w:r>
    </w:p>
    <w:p>
      <w:pPr>
        <w:spacing w:after="0" w:line="180" w:lineRule="exact"/>
        <w:rPr>
          <w:rFonts w:ascii="Arial" w:cs="Arial" w:eastAsia="Arial" w:hAnsi="Arial"/>
          <w:sz w:val="19"/>
          <w:szCs w:val="19"/>
          <w:color w:val="auto"/>
        </w:rPr>
      </w:pPr>
    </w:p>
    <w:p>
      <w:pPr>
        <w:ind w:left="880" w:firstLine="789"/>
        <w:spacing w:after="0" w:line="260" w:lineRule="auto"/>
        <w:tabs>
          <w:tab w:leader="none" w:pos="2567"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terms and provisions of Revolving Credit Loans made pursuant to new Commitments shall be identical to the Revolving Credit Loans;</w:t>
      </w:r>
    </w:p>
    <w:p>
      <w:pPr>
        <w:spacing w:after="0" w:line="176" w:lineRule="exact"/>
        <w:rPr>
          <w:rFonts w:ascii="Arial" w:cs="Arial" w:eastAsia="Arial" w:hAnsi="Arial"/>
          <w:sz w:val="20"/>
          <w:szCs w:val="20"/>
          <w:color w:val="auto"/>
        </w:rPr>
      </w:pPr>
    </w:p>
    <w:p>
      <w:pPr>
        <w:ind w:left="880" w:firstLine="789"/>
        <w:spacing w:after="0" w:line="260" w:lineRule="auto"/>
        <w:tabs>
          <w:tab w:leader="none" w:pos="2622"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weighted average life to maturity of any Incremental Term Loans shall be no shorter than the remaining weighted average life to maturity of the then existing Term Loans; and</w:t>
      </w:r>
    </w:p>
    <w:p>
      <w:pPr>
        <w:spacing w:after="0" w:line="176" w:lineRule="exact"/>
        <w:rPr>
          <w:rFonts w:ascii="Arial" w:cs="Arial" w:eastAsia="Arial" w:hAnsi="Arial"/>
          <w:sz w:val="20"/>
          <w:szCs w:val="20"/>
          <w:color w:val="auto"/>
        </w:rPr>
      </w:pPr>
    </w:p>
    <w:p>
      <w:pPr>
        <w:ind w:left="880" w:firstLine="789"/>
        <w:spacing w:after="0" w:line="260" w:lineRule="auto"/>
        <w:tabs>
          <w:tab w:leader="none" w:pos="2611"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maturity date of Incremental Term Loans (the “</w:t>
      </w:r>
      <w:r>
        <w:rPr>
          <w:rFonts w:ascii="Arial" w:cs="Arial" w:eastAsia="Arial" w:hAnsi="Arial"/>
          <w:sz w:val="20"/>
          <w:szCs w:val="20"/>
          <w:u w:val="single" w:color="auto"/>
          <w:color w:val="auto"/>
        </w:rPr>
        <w:t>Incremental Term Loan Maturity Date</w:t>
      </w:r>
      <w:r>
        <w:rPr>
          <w:rFonts w:ascii="Arial" w:cs="Arial" w:eastAsia="Arial" w:hAnsi="Arial"/>
          <w:sz w:val="20"/>
          <w:szCs w:val="20"/>
          <w:color w:val="auto"/>
        </w:rPr>
        <w:t>”) shall not be earlier than the then Latest Maturity Date.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Incremental Commitments shall be effected by a joinder agreement (the “</w:t>
      </w:r>
      <w:r>
        <w:rPr>
          <w:rFonts w:ascii="Arial" w:cs="Arial" w:eastAsia="Arial" w:hAnsi="Arial"/>
          <w:sz w:val="19"/>
          <w:szCs w:val="19"/>
          <w:u w:val="single" w:color="auto"/>
          <w:color w:val="auto"/>
        </w:rPr>
        <w:t>Increase Joinder</w:t>
      </w:r>
      <w:r>
        <w:rPr>
          <w:rFonts w:ascii="Arial" w:cs="Arial" w:eastAsia="Arial" w:hAnsi="Arial"/>
          <w:sz w:val="19"/>
          <w:szCs w:val="19"/>
          <w:color w:val="auto"/>
        </w:rPr>
        <w:t xml:space="preserve">”) executed by each applicable Borrower, the Administrative Agent and each Lender making such Incremental Commitment, in form and substance reasonably satisfactory to each of them. Notwithstanding the provisions of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the Increase Joinder may, without the consent of any other Lenders, effect such amendments to this Agreement and the other Loan Documents as may be necessary or appropriate, in the reasonable opinion of the Administrative Agent, to effect the provisions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In addition, unless otherwise specifically provided herein, all references in Loan Documents to Revolving Credit Loans or Term Loans shall be deemed, unless the context otherwise requires, to include references to Revolving Credit Loans made pursuant to Incremental Revolving Commitments and Incremental Term Loans that are Term Loans, respectively, made pursuant to this Agreement.</w:t>
      </w:r>
    </w:p>
    <w:p>
      <w:pPr>
        <w:spacing w:after="0" w:line="180" w:lineRule="exact"/>
        <w:rPr>
          <w:sz w:val="20"/>
          <w:szCs w:val="20"/>
          <w:color w:val="auto"/>
        </w:rPr>
      </w:pPr>
    </w:p>
    <w:p>
      <w:pPr>
        <w:jc w:val="both"/>
        <w:ind w:firstLine="872"/>
        <w:spacing w:after="0" w:line="243" w:lineRule="auto"/>
        <w:tabs>
          <w:tab w:leader="none" w:pos="1742"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Adjustment of Revolving Credit Loans</w:t>
      </w:r>
      <w:r>
        <w:rPr>
          <w:rFonts w:ascii="Arial" w:cs="Arial" w:eastAsia="Arial" w:hAnsi="Arial"/>
          <w:sz w:val="20"/>
          <w:szCs w:val="20"/>
          <w:color w:val="auto"/>
        </w:rPr>
        <w:t>. To the extent the Commitments being increased on the relevant Increase Effective Date are Incremental Revolving Commitments, then each Revolving Credit Lender that is acquiring an Incremental Revolving Commitment on the Increase Effective Date shall make a Revolving Credit Loan, the proceeds of which will be used to prepay the Revolving Credit Loans of the other Revolving Credit Lenders immediately prior to such Increase Effective Date, so that, after giving effect thereto, the Revolving Credit Loans outstanding are held by the Revolving Credit Lenders pro rata based on their Revolving Credit Commitments after giving effect to such Increase Effective Date. If there is a new borrowing of Revolving Credit Loans on such Increase Effective Date, the Revolving Credit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Lenders after giving effect to such Increase Effective Date shall make such Revolving Credit Loans in accordance with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39" w:lineRule="exact"/>
        <w:rPr>
          <w:sz w:val="20"/>
          <w:szCs w:val="20"/>
          <w:color w:val="auto"/>
        </w:rPr>
      </w:pPr>
    </w:p>
    <w:p>
      <w:pPr>
        <w:jc w:val="both"/>
        <w:ind w:firstLine="872"/>
        <w:spacing w:after="0" w:line="250" w:lineRule="auto"/>
        <w:tabs>
          <w:tab w:leader="none" w:pos="1731"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Making of Incremental Term Loans</w:t>
      </w:r>
      <w:r>
        <w:rPr>
          <w:rFonts w:ascii="Arial" w:cs="Arial" w:eastAsia="Arial" w:hAnsi="Arial"/>
          <w:sz w:val="20"/>
          <w:szCs w:val="20"/>
          <w:color w:val="auto"/>
        </w:rPr>
        <w:t>. On any Increase Effective Date on which new Commitments for Incremental Term Loans are effective, subject to the satisfaction of the foregoing terms and conditions, each Lender of such new Commitment shall make an Incremental Term Loan to Toro in an amount equal to its new Commitment.</w:t>
      </w:r>
    </w:p>
    <w:p>
      <w:pPr>
        <w:spacing w:after="0" w:line="185" w:lineRule="exact"/>
        <w:rPr>
          <w:rFonts w:ascii="Arial" w:cs="Arial" w:eastAsia="Arial" w:hAnsi="Arial"/>
          <w:sz w:val="20"/>
          <w:szCs w:val="20"/>
          <w:color w:val="auto"/>
        </w:rPr>
      </w:pPr>
    </w:p>
    <w:p>
      <w:pPr>
        <w:jc w:val="both"/>
        <w:ind w:firstLine="872"/>
        <w:spacing w:after="0" w:line="246" w:lineRule="auto"/>
        <w:tabs>
          <w:tab w:leader="none" w:pos="1709"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Equal and Ratable Benefit</w:t>
      </w:r>
      <w:r>
        <w:rPr>
          <w:rFonts w:ascii="Arial" w:cs="Arial" w:eastAsia="Arial" w:hAnsi="Arial"/>
          <w:sz w:val="20"/>
          <w:szCs w:val="20"/>
          <w:color w:val="auto"/>
        </w:rPr>
        <w:t xml:space="preserve">. The Loans and Commitments established pursuant to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shall constitute Loans and Commitments under, and shall be entitled to all the benefits afforded by, this Agreement and the other Loan Documents, and shall, without limiting the foregoing, benefit equally and ratably from the Guaranty, except that the new Loans may be subordinated in right of payment to the extent set forth in the Increase Joinder.</w:t>
      </w:r>
    </w:p>
    <w:p>
      <w:pPr>
        <w:spacing w:after="0" w:line="191" w:lineRule="exact"/>
        <w:rPr>
          <w:rFonts w:ascii="Arial" w:cs="Arial" w:eastAsia="Arial" w:hAnsi="Arial"/>
          <w:sz w:val="20"/>
          <w:szCs w:val="20"/>
          <w:color w:val="auto"/>
        </w:rPr>
      </w:pPr>
    </w:p>
    <w:p>
      <w:pPr>
        <w:ind w:left="1760" w:hanging="888"/>
        <w:spacing w:after="0"/>
        <w:tabs>
          <w:tab w:leader="none" w:pos="176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11.01</w:t>
      </w:r>
      <w:r>
        <w:rPr>
          <w:rFonts w:ascii="Arial" w:cs="Arial" w:eastAsia="Arial" w:hAnsi="Arial"/>
          <w:sz w:val="20"/>
          <w:szCs w:val="20"/>
          <w:color w:val="auto"/>
        </w:rPr>
        <w:t xml:space="preserve"> to the contrary.</w:t>
      </w:r>
    </w:p>
    <w:p>
      <w:pPr>
        <w:spacing w:after="0" w:line="21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8"/>
          <w:szCs w:val="18"/>
          <w:b w:val="1"/>
          <w:bCs w:val="1"/>
          <w:color w:val="auto"/>
        </w:rPr>
        <w:t>Cash Collateral</w:t>
      </w:r>
      <w:r>
        <w:rPr>
          <w:rFonts w:ascii="Arial" w:cs="Arial" w:eastAsia="Arial" w:hAnsi="Arial"/>
          <w:sz w:val="19"/>
          <w:szCs w:val="19"/>
          <w:color w:val="auto"/>
        </w:rPr>
        <w:t>.</w:t>
      </w:r>
    </w:p>
    <w:p>
      <w:pPr>
        <w:spacing w:after="0" w:line="234" w:lineRule="exact"/>
        <w:rPr>
          <w:sz w:val="20"/>
          <w:szCs w:val="20"/>
          <w:color w:val="auto"/>
        </w:rPr>
      </w:pPr>
    </w:p>
    <w:p>
      <w:pPr>
        <w:jc w:val="both"/>
        <w:ind w:firstLine="872"/>
        <w:spacing w:after="0" w:line="255" w:lineRule="auto"/>
        <w:tabs>
          <w:tab w:leader="none" w:pos="1731"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Borrowers shall be required to provide Cash Collateral pursuant to </w:t>
      </w:r>
      <w:r>
        <w:rPr>
          <w:rFonts w:ascii="Arial" w:cs="Arial" w:eastAsia="Arial" w:hAnsi="Arial"/>
          <w:sz w:val="19"/>
          <w:szCs w:val="19"/>
          <w:u w:val="single" w:color="auto"/>
          <w:color w:val="auto"/>
        </w:rPr>
        <w:t>Section 8.02(c)</w:t>
      </w:r>
      <w:r>
        <w:rPr>
          <w:rFonts w:ascii="Arial" w:cs="Arial" w:eastAsia="Arial" w:hAnsi="Arial"/>
          <w:sz w:val="19"/>
          <w:szCs w:val="19"/>
          <w:color w:val="auto"/>
        </w:rPr>
        <w:t xml:space="preserve">, or (iv) there shall exist a Defaulting Lender, the Borrowers shall immediately (in the case of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above) or within one (1)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above, after giving effect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2.16(a)(iv)</w:t>
      </w:r>
      <w:r>
        <w:rPr>
          <w:rFonts w:ascii="Arial" w:cs="Arial" w:eastAsia="Arial" w:hAnsi="Arial"/>
          <w:sz w:val="19"/>
          <w:szCs w:val="19"/>
          <w:color w:val="auto"/>
        </w:rPr>
        <w:t xml:space="preserve"> and any Cash Collateral provided by the Defaulting Lender). Additionally, if the Administrative Agent notifies the Borrowers at any time that the Outstanding Amount of all L/C Obligations at such time exceeds 105% of the Letter of Credit Sublimit then in effect, then, within two (2) Business Days after receipt of such notice, the Borrowers shall provide Cash Collateral for the Outstanding Amount of the L/C Obligations in an amount not less than the amount by which the Outstanding Amount of all L/C Obligations exceeds the Letter of Credit Sublimit.</w:t>
      </w:r>
    </w:p>
    <w:p>
      <w:pPr>
        <w:spacing w:after="0" w:line="186" w:lineRule="exact"/>
        <w:rPr>
          <w:rFonts w:ascii="Arial" w:cs="Arial" w:eastAsia="Arial" w:hAnsi="Arial"/>
          <w:sz w:val="19"/>
          <w:szCs w:val="19"/>
          <w:color w:val="auto"/>
        </w:rPr>
      </w:pPr>
    </w:p>
    <w:p>
      <w:pPr>
        <w:jc w:val="both"/>
        <w:ind w:firstLine="872"/>
        <w:spacing w:after="0" w:line="255" w:lineRule="auto"/>
        <w:tabs>
          <w:tab w:leader="none" w:pos="1742"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Each Borrower, and to the extent provided by any Defaulting Lender, such Defaulting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2.15(c)</w:t>
      </w:r>
      <w:r>
        <w:rPr>
          <w:rFonts w:ascii="Arial" w:cs="Arial" w:eastAsia="Arial" w:hAnsi="Arial"/>
          <w:sz w:val="19"/>
          <w:szCs w:val="19"/>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Borrowers shall pay on demand therefor from time to time all customary account opening, activity and other administrative fees and charges in connection with the maintenance and disbursement of Cash Collateral.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5" w:name="page76"/>
    <w:bookmarkEnd w:id="75"/>
    <w:p>
      <w:pPr>
        <w:jc w:val="both"/>
        <w:ind w:firstLine="872"/>
        <w:spacing w:after="0" w:line="244" w:lineRule="auto"/>
        <w:tabs>
          <w:tab w:leader="none" w:pos="1731"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8.02</w:t>
      </w:r>
      <w:r>
        <w:rPr>
          <w:rFonts w:ascii="Arial" w:cs="Arial" w:eastAsia="Arial" w:hAnsi="Arial"/>
          <w:sz w:val="20"/>
          <w:szCs w:val="20"/>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Cash Collateral as may be provided for herein.</w:t>
      </w:r>
    </w:p>
    <w:p>
      <w:pPr>
        <w:spacing w:after="0" w:line="194" w:lineRule="exact"/>
        <w:rPr>
          <w:rFonts w:ascii="Arial" w:cs="Arial" w:eastAsia="Arial" w:hAnsi="Arial"/>
          <w:sz w:val="20"/>
          <w:szCs w:val="20"/>
          <w:color w:val="auto"/>
        </w:rPr>
      </w:pPr>
    </w:p>
    <w:p>
      <w:pPr>
        <w:jc w:val="both"/>
        <w:ind w:firstLine="872"/>
        <w:spacing w:after="0" w:line="257" w:lineRule="auto"/>
        <w:tabs>
          <w:tab w:leader="none" w:pos="1742"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9"/>
          <w:szCs w:val="19"/>
          <w:u w:val="single" w:color="auto"/>
          <w:color w:val="auto"/>
        </w:rPr>
        <w:t>Section 11.06(b)(vi)</w:t>
      </w:r>
      <w:r>
        <w:rPr>
          <w:rFonts w:ascii="Arial" w:cs="Arial" w:eastAsia="Arial" w:hAnsi="Arial"/>
          <w:sz w:val="19"/>
          <w:szCs w:val="19"/>
          <w:color w:val="auto"/>
        </w:rPr>
        <w:t xml:space="preserve">)) or (ii) the determination by the Administrative Agent and the L/C Issuer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7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8"/>
          <w:szCs w:val="18"/>
          <w:b w:val="1"/>
          <w:bCs w:val="1"/>
          <w:color w:val="auto"/>
        </w:rPr>
        <w:t>Defaulting Lenders</w:t>
      </w:r>
      <w:r>
        <w:rPr>
          <w:rFonts w:ascii="Arial" w:cs="Arial" w:eastAsia="Arial" w:hAnsi="Arial"/>
          <w:sz w:val="19"/>
          <w:szCs w:val="19"/>
          <w:color w:val="auto"/>
        </w:rPr>
        <w:t>.</w:t>
      </w:r>
    </w:p>
    <w:p>
      <w:pPr>
        <w:spacing w:after="0" w:line="234" w:lineRule="exact"/>
        <w:rPr>
          <w:sz w:val="20"/>
          <w:szCs w:val="20"/>
          <w:color w:val="auto"/>
        </w:rPr>
      </w:pPr>
    </w:p>
    <w:p>
      <w:pPr>
        <w:ind w:firstLine="872"/>
        <w:spacing w:after="0" w:line="287" w:lineRule="auto"/>
        <w:tabs>
          <w:tab w:leader="none" w:pos="1731"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2" w:lineRule="exact"/>
        <w:rPr>
          <w:rFonts w:ascii="Arial" w:cs="Arial" w:eastAsia="Arial" w:hAnsi="Arial"/>
          <w:sz w:val="19"/>
          <w:szCs w:val="19"/>
          <w:color w:val="auto"/>
        </w:rPr>
      </w:pPr>
    </w:p>
    <w:p>
      <w:pPr>
        <w:jc w:val="both"/>
        <w:ind w:left="880" w:firstLine="789"/>
        <w:spacing w:after="0" w:line="250" w:lineRule="auto"/>
        <w:tabs>
          <w:tab w:leader="none" w:pos="2512"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Such Defaulting Lender’s right to approve or disapprove any amendment, waiver or consent with respect to this Agreement shall be restricted as set forth in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and in the definition of “Required Lenders”.</w:t>
      </w:r>
    </w:p>
    <w:p>
      <w:pPr>
        <w:spacing w:after="0" w:line="185" w:lineRule="exact"/>
        <w:rPr>
          <w:rFonts w:ascii="Arial" w:cs="Arial" w:eastAsia="Arial" w:hAnsi="Arial"/>
          <w:sz w:val="20"/>
          <w:szCs w:val="20"/>
          <w:color w:val="auto"/>
        </w:rPr>
      </w:pPr>
    </w:p>
    <w:p>
      <w:pPr>
        <w:jc w:val="both"/>
        <w:ind w:left="880" w:firstLine="789"/>
        <w:spacing w:after="0" w:line="269" w:lineRule="auto"/>
        <w:tabs>
          <w:tab w:leader="none" w:pos="2567"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if such Defaulting Lender is a Lender, to the payment on a pro rata basis of any amounts owing by such Defaulting Lender to the L/C Issuer or Swing Line Lender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such Defaulting Lender is a Lender, to Cash Collateralize the L/C Issuer’s Fronting Exposure with respect to such Defaulting Lender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Toro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the Administrative Agent and Toro, to be held in a deposit account and released pro rata in order to (x) satisfy such Defaulting Lender’s potential future funding obligations with respect to Loans under this Agreement and (y) if such Defaulting Lender is a Lender, Cash Collateralize the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i w:val="1"/>
          <w:iCs w:val="1"/>
          <w:color w:val="auto"/>
        </w:rPr>
        <w:t>sixth</w:t>
      </w:r>
      <w:r>
        <w:rPr>
          <w:rFonts w:ascii="Arial" w:cs="Arial" w:eastAsia="Arial" w:hAnsi="Arial"/>
          <w:sz w:val="18"/>
          <w:szCs w:val="18"/>
          <w:color w:val="auto"/>
        </w:rPr>
        <w:t xml:space="preserve">, in the case of a Defaulting Lender, to the payment of any amounts owing to the other Lenders and the L/C Issuer or Swing Line Lender, in each case,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so long as no Default or Event of Default exists, to the payment of any amounts owing to any Borrower as a result of any judgment of a court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19"/>
          <w:szCs w:val="19"/>
          <w:color w:val="auto"/>
        </w:rPr>
        <w:t xml:space="preserve">of competent jurisdiction obtained by such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Obligations owed to, all Non-Defaulting Lenders on a pro rata basis (and ratably among all applicable Facilities computed in accordance with the Defaulting Lenders’ respective funding deficiencies)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2.16(a)(ii)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182" w:lineRule="exact"/>
        <w:rPr>
          <w:sz w:val="20"/>
          <w:szCs w:val="20"/>
          <w:color w:val="auto"/>
        </w:rPr>
      </w:pPr>
    </w:p>
    <w:p>
      <w:pPr>
        <w:ind w:left="1740" w:hanging="951"/>
        <w:spacing w:after="0"/>
        <w:tabs>
          <w:tab w:leader="none" w:pos="174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860" w:firstLine="726"/>
        <w:spacing w:after="0" w:line="238" w:lineRule="auto"/>
        <w:tabs>
          <w:tab w:leader="none" w:pos="2539" w:val="left"/>
        </w:tabs>
        <w:numPr>
          <w:ilvl w:val="1"/>
          <w:numId w:val="87"/>
        </w:numPr>
        <w:rPr>
          <w:rFonts w:ascii="Arial" w:cs="Arial" w:eastAsia="Arial" w:hAnsi="Arial"/>
          <w:sz w:val="22"/>
          <w:szCs w:val="22"/>
          <w:color w:val="auto"/>
        </w:rPr>
      </w:pPr>
      <w:r>
        <w:rPr>
          <w:rFonts w:ascii="Arial" w:cs="Arial" w:eastAsia="Arial" w:hAnsi="Arial"/>
          <w:sz w:val="20"/>
          <w:szCs w:val="20"/>
          <w:color w:val="auto"/>
        </w:rPr>
        <w:t xml:space="preserve">That Defaulting Lender (x) shall be entitled to receive any Facility Fee pursuant to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for any period during which that Lender is a Defaulting Lender only to extent allocable to the sum of (1) the Outstanding Amount of the Loans funded by it and (2) its Applicable Percentage of the stated amount of Letters of Credit for which it has provided Cash Collateral pursuant to </w:t>
      </w:r>
      <w:r>
        <w:rPr>
          <w:rFonts w:ascii="Arial" w:cs="Arial" w:eastAsia="Arial" w:hAnsi="Arial"/>
          <w:sz w:val="20"/>
          <w:szCs w:val="20"/>
          <w:u w:val="single" w:color="auto"/>
          <w:color w:val="auto"/>
        </w:rPr>
        <w:t>Section 2.16(a)(ii)</w:t>
      </w:r>
      <w:r>
        <w:rPr>
          <w:rFonts w:ascii="Arial" w:cs="Arial" w:eastAsia="Arial" w:hAnsi="Arial"/>
          <w:sz w:val="20"/>
          <w:szCs w:val="20"/>
          <w:color w:val="auto"/>
        </w:rPr>
        <w:t>.</w:t>
      </w:r>
    </w:p>
    <w:p>
      <w:pPr>
        <w:spacing w:after="0" w:line="212" w:lineRule="exact"/>
        <w:rPr>
          <w:rFonts w:ascii="Arial" w:cs="Arial" w:eastAsia="Arial" w:hAnsi="Arial"/>
          <w:sz w:val="22"/>
          <w:szCs w:val="22"/>
          <w:color w:val="auto"/>
        </w:rPr>
      </w:pPr>
    </w:p>
    <w:p>
      <w:pPr>
        <w:jc w:val="both"/>
        <w:ind w:left="860" w:firstLine="726"/>
        <w:spacing w:after="0" w:line="283" w:lineRule="auto"/>
        <w:tabs>
          <w:tab w:leader="none" w:pos="2527" w:val="left"/>
        </w:tabs>
        <w:numPr>
          <w:ilvl w:val="1"/>
          <w:numId w:val="87"/>
        </w:numPr>
        <w:rPr>
          <w:rFonts w:ascii="Arial" w:cs="Arial" w:eastAsia="Arial" w:hAnsi="Arial"/>
          <w:sz w:val="19"/>
          <w:szCs w:val="19"/>
          <w:color w:val="auto"/>
        </w:rPr>
      </w:pPr>
      <w:r>
        <w:rPr>
          <w:rFonts w:ascii="Arial" w:cs="Arial" w:eastAsia="Arial" w:hAnsi="Arial"/>
          <w:sz w:val="18"/>
          <w:szCs w:val="18"/>
          <w:color w:val="auto"/>
        </w:rPr>
        <w:t xml:space="preserve">Each Defaulting Lender which is a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72" w:lineRule="exact"/>
        <w:rPr>
          <w:rFonts w:ascii="Arial" w:cs="Arial" w:eastAsia="Arial" w:hAnsi="Arial"/>
          <w:sz w:val="19"/>
          <w:szCs w:val="19"/>
          <w:color w:val="auto"/>
        </w:rPr>
      </w:pPr>
    </w:p>
    <w:p>
      <w:pPr>
        <w:jc w:val="both"/>
        <w:ind w:left="860" w:firstLine="726"/>
        <w:spacing w:after="0" w:line="239" w:lineRule="auto"/>
        <w:tabs>
          <w:tab w:leader="none" w:pos="2527" w:val="left"/>
        </w:tabs>
        <w:numPr>
          <w:ilvl w:val="1"/>
          <w:numId w:val="87"/>
        </w:numPr>
        <w:rPr>
          <w:rFonts w:ascii="Arial" w:cs="Arial" w:eastAsia="Arial" w:hAnsi="Arial"/>
          <w:sz w:val="22"/>
          <w:szCs w:val="22"/>
          <w:color w:val="auto"/>
        </w:rPr>
      </w:pPr>
      <w:r>
        <w:rPr>
          <w:rFonts w:ascii="Arial" w:cs="Arial" w:eastAsia="Arial" w:hAnsi="Arial"/>
          <w:sz w:val="20"/>
          <w:szCs w:val="20"/>
          <w:color w:val="auto"/>
        </w:rPr>
        <w:t xml:space="preserve">With respect to any fee payable under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or any Letter of Credit Fee not required to be paid to any Defaulting Lender pursuant to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the Borrowers shall (x) pay to each Non-Defaulting Lender which is a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20"/>
          <w:szCs w:val="20"/>
          <w:u w:val="single" w:color="auto"/>
          <w:color w:val="auto"/>
        </w:rPr>
        <w:t>clause (iv)</w:t>
      </w:r>
      <w:r>
        <w:rPr>
          <w:rFonts w:ascii="Arial" w:cs="Arial" w:eastAsia="Arial" w:hAnsi="Arial"/>
          <w:sz w:val="20"/>
          <w:szCs w:val="20"/>
          <w:color w:val="auto"/>
        </w:rPr>
        <w:t xml:space="preserve"> below, (y) pay to the L/C Issuer and Swing Line Lender, as applicable</w:t>
      </w:r>
      <w:r>
        <w:rPr>
          <w:rFonts w:ascii="Arial" w:cs="Arial" w:eastAsia="Arial" w:hAnsi="Arial"/>
          <w:sz w:val="20"/>
          <w:szCs w:val="20"/>
          <w:b w:val="1"/>
          <w:bCs w:val="1"/>
          <w:color w:val="auto"/>
        </w:rPr>
        <w:t>,</w:t>
      </w:r>
      <w:r>
        <w:rPr>
          <w:rFonts w:ascii="Arial" w:cs="Arial" w:eastAsia="Arial" w:hAnsi="Arial"/>
          <w:sz w:val="20"/>
          <w:szCs w:val="20"/>
          <w:color w:val="auto"/>
        </w:rPr>
        <w:t xml:space="preserv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96" w:lineRule="exact"/>
        <w:rPr>
          <w:rFonts w:ascii="Arial" w:cs="Arial" w:eastAsia="Arial" w:hAnsi="Arial"/>
          <w:sz w:val="22"/>
          <w:szCs w:val="22"/>
          <w:color w:val="auto"/>
        </w:rPr>
      </w:pPr>
    </w:p>
    <w:p>
      <w:pPr>
        <w:jc w:val="both"/>
        <w:ind w:firstLine="789"/>
        <w:spacing w:after="0" w:line="274" w:lineRule="auto"/>
        <w:tabs>
          <w:tab w:leader="none" w:pos="173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at the time of such reallocation (and, unless Toro shall have otherwise notified the Administrative Agent at such time, Toro shall be deemed to have represented and warranted that such conditions are satisfied at such time), and (y) such reallocation does not cause the aggregate Revolving Credit Exposure of any Non-Defaulting Lender to exceed such Non-Defaulting Lender’s Revolving Credit Commitment.</w:t>
      </w:r>
    </w:p>
    <w:p>
      <w:pPr>
        <w:spacing w:after="0" w:line="168"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160655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9" w:right="339" w:bottom="1440" w:gutter="0" w:footer="0" w:header="0"/>
        </w:sectPr>
      </w:pPr>
    </w:p>
    <w:bookmarkStart w:id="77" w:name="page78"/>
    <w:bookmarkEnd w:id="77"/>
    <w:p>
      <w:pPr>
        <w:jc w:val="both"/>
        <w:ind w:left="880"/>
        <w:spacing w:after="0" w:line="269"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11.24</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0" w:lineRule="exact"/>
        <w:rPr>
          <w:sz w:val="20"/>
          <w:szCs w:val="20"/>
          <w:color w:val="auto"/>
        </w:rPr>
      </w:pPr>
    </w:p>
    <w:p>
      <w:pPr>
        <w:jc w:val="both"/>
        <w:ind w:left="880" w:firstLine="789"/>
        <w:spacing w:after="0" w:line="272" w:lineRule="auto"/>
        <w:tabs>
          <w:tab w:leader="none" w:pos="2556"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Borrowers shall, without prejudice to any right or remedy available to it hereunder or under Applicable Law, (x) first, prepay Swing Line Loans in an amount equal to the Swing Line Lender’s Fronting Exposure and</w:t>
      </w:r>
    </w:p>
    <w:p>
      <w:pPr>
        <w:ind w:left="1160" w:hanging="288"/>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second, Cash Collateralize the L/C Issuers’ Fronting Exposure in accordance with the procedures set forth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3" w:lineRule="exact"/>
        <w:rPr>
          <w:sz w:val="20"/>
          <w:szCs w:val="20"/>
          <w:color w:val="auto"/>
        </w:rPr>
      </w:pPr>
    </w:p>
    <w:p>
      <w:pPr>
        <w:jc w:val="both"/>
        <w:ind w:firstLine="872"/>
        <w:spacing w:after="0" w:line="271" w:lineRule="auto"/>
        <w:tabs>
          <w:tab w:leader="none" w:pos="174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Toro, the Administrative Agent, and, in the case that a Defaulting Lender is a Lender, the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8"/>
          <w:szCs w:val="18"/>
          <w:u w:val="single" w:color="auto"/>
          <w:color w:val="auto"/>
        </w:rPr>
        <w:t>Section 2.16(a)(iv)</w:t>
      </w:r>
      <w:r>
        <w:rPr>
          <w:rFonts w:ascii="Arial" w:cs="Arial" w:eastAsia="Arial" w:hAnsi="Arial"/>
          <w:sz w:val="18"/>
          <w:szCs w:val="18"/>
          <w:color w:val="auto"/>
        </w:rPr>
        <w:t xml:space="preserve">), whereupon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any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9" w:lineRule="exact"/>
        <w:rPr>
          <w:rFonts w:ascii="Arial" w:cs="Arial" w:eastAsia="Arial" w:hAnsi="Arial"/>
          <w:sz w:val="18"/>
          <w:szCs w:val="18"/>
          <w:color w:val="auto"/>
        </w:rPr>
      </w:pPr>
    </w:p>
    <w:p>
      <w:pPr>
        <w:jc w:val="both"/>
        <w:ind w:firstLine="872"/>
        <w:spacing w:after="0" w:line="246" w:lineRule="auto"/>
        <w:tabs>
          <w:tab w:leader="none" w:pos="1731"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New Swing Line Loans/Letters of Credit</w:t>
      </w:r>
      <w:r>
        <w:rPr>
          <w:rFonts w:ascii="Arial" w:cs="Arial" w:eastAsia="Arial" w:hAnsi="Arial"/>
          <w:sz w:val="20"/>
          <w:szCs w:val="20"/>
          <w:color w:val="auto"/>
        </w:rPr>
        <w:t>. So long as any Revolving Credit Lender is a Defaulting Lender, (i) the Swing Line Lender shall not be required to fund any Swing Line Loans unless it is satisfied that it will have no Fronting Exposure after giving effect to such Swing Line Loan and (ii) the L/C Issuer shall not be required to issue, extend, increase, reinstate or renew any Letter of Credit unless it is satisfied that it will have no Fronting Exposure after giving effect thereto.</w:t>
      </w:r>
    </w:p>
    <w:p>
      <w:pPr>
        <w:spacing w:after="0" w:line="18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2.17 Designated Borrowers</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Toro may at any time, upon not less than 15 Business Days’ notice from Toro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(or such shorter period as may be agreed by the Administrative Agent in its sole discretion), designate any additional Subsidiary of Toro (an “</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The parties hereto acknowledge and agree that prior to any Applicant Borrower becoming entitled to utilize the credit facilities provided for herein the Administrative Agent and the Lenders shall have received such supporting resolutions, incumbency certificates, opinions of counsel, such information as may be requested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4.01(a)(xi)</w:t>
      </w:r>
      <w:r>
        <w:rPr>
          <w:rFonts w:ascii="Arial" w:cs="Arial" w:eastAsia="Arial" w:hAnsi="Arial"/>
          <w:sz w:val="18"/>
          <w:szCs w:val="18"/>
          <w:color w:val="auto"/>
        </w:rPr>
        <w:t xml:space="preserve"> and other documents or information, in form, content and scope reasonably satisfactory to the Administrative Agent, as may be required by the Administrative Agent or the Required Lenders in their sole discretion, and Notes signed by such new Subsidiary Borrowers to the extent any Lenders so require. If the Administrative Agent and each of the Lenders agree that an Applicant Borrower shall be entitled to receive Loans hereunder (provided, for the avoidance of doubt, that any Lender may be entitled to reject any Applicant Borrower as a Designated Borrower hereunder to the extent that such Applicant Borrower is organized under the laws of a jurisdiction other than the United States or a political subdivision thereof, and such Lender may not legally lend to, establish credit for the account of, or do 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9"/>
          <w:szCs w:val="19"/>
          <w:color w:val="auto"/>
        </w:rPr>
        <w:t xml:space="preserve">business whatsoever with such Applicant Borrower), then promptly following receipt of all such requested resolutions, incumbency certificates, opinions of counsel, such information as may be requested pursuant to </w:t>
      </w:r>
      <w:r>
        <w:rPr>
          <w:rFonts w:ascii="Arial" w:cs="Arial" w:eastAsia="Arial" w:hAnsi="Arial"/>
          <w:sz w:val="19"/>
          <w:szCs w:val="19"/>
          <w:u w:val="single" w:color="auto"/>
          <w:color w:val="auto"/>
        </w:rPr>
        <w:t>Section 4.01(a)(xi)</w:t>
      </w:r>
      <w:r>
        <w:rPr>
          <w:rFonts w:ascii="Arial" w:cs="Arial" w:eastAsia="Arial" w:hAnsi="Arial"/>
          <w:sz w:val="19"/>
          <w:szCs w:val="19"/>
          <w:color w:val="auto"/>
        </w:rPr>
        <w:t xml:space="preserve"> and other documents or information, the Administrative Agent shall send a notice in substantially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(a “</w:t>
      </w:r>
      <w:r>
        <w:rPr>
          <w:rFonts w:ascii="Arial" w:cs="Arial" w:eastAsia="Arial" w:hAnsi="Arial"/>
          <w:sz w:val="19"/>
          <w:szCs w:val="19"/>
          <w:u w:val="single" w:color="auto"/>
          <w:color w:val="auto"/>
        </w:rPr>
        <w:t>Designated Borrower Notice</w:t>
      </w:r>
      <w:r>
        <w:rPr>
          <w:rFonts w:ascii="Arial" w:cs="Arial" w:eastAsia="Arial" w:hAnsi="Arial"/>
          <w:sz w:val="19"/>
          <w:szCs w:val="19"/>
          <w:color w:val="auto"/>
        </w:rPr>
        <w:t xml:space="preserve">”) to Toro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Subsidiary Borrower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Loan Notice or Letter of Credit Application may be submitted by or on behalf of such Designated Borrower until the date five (5) Business Days after such effective date.</w:t>
      </w:r>
    </w:p>
    <w:p>
      <w:pPr>
        <w:spacing w:after="0" w:line="180" w:lineRule="exact"/>
        <w:rPr>
          <w:sz w:val="20"/>
          <w:szCs w:val="20"/>
          <w:color w:val="auto"/>
        </w:rPr>
      </w:pPr>
    </w:p>
    <w:p>
      <w:pPr>
        <w:ind w:left="1760" w:hanging="888"/>
        <w:spacing w:after="0"/>
        <w:tabs>
          <w:tab w:leader="none" w:pos="17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Obligations of all Designated Borrowers shall be several in nature and shall be guaranteed by Toro pursuant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hereof.</w:t>
      </w:r>
    </w:p>
    <w:p>
      <w:pPr>
        <w:spacing w:after="0" w:line="199" w:lineRule="exact"/>
        <w:rPr>
          <w:rFonts w:ascii="Arial" w:cs="Arial" w:eastAsia="Arial" w:hAnsi="Arial"/>
          <w:sz w:val="18"/>
          <w:szCs w:val="18"/>
          <w:color w:val="auto"/>
        </w:rPr>
      </w:pPr>
    </w:p>
    <w:p>
      <w:pPr>
        <w:jc w:val="both"/>
        <w:ind w:firstLine="872"/>
        <w:spacing w:after="0" w:line="260" w:lineRule="auto"/>
        <w:tabs>
          <w:tab w:leader="none" w:pos="1731"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Toro may from time to time, upon not less than 15 Business Days’ notice from Toro to the Administrative Agent (or such shorter period as may be agreed by the Administrative Agent in its sole discretion), terminate a Designated Borrower’s status as such,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7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6"/>
          <w:szCs w:val="16"/>
          <w:b w:val="1"/>
          <w:bCs w:val="1"/>
          <w:color w:val="auto"/>
        </w:rPr>
        <w:t>Sustainability Adjustments.</w:t>
      </w:r>
    </w:p>
    <w:p>
      <w:pPr>
        <w:spacing w:after="0" w:line="222" w:lineRule="exact"/>
        <w:rPr>
          <w:sz w:val="20"/>
          <w:szCs w:val="20"/>
          <w:color w:val="auto"/>
        </w:rPr>
      </w:pPr>
    </w:p>
    <w:p>
      <w:pPr>
        <w:jc w:val="both"/>
        <w:ind w:firstLine="872"/>
        <w:spacing w:after="0" w:line="268" w:lineRule="auto"/>
        <w:tabs>
          <w:tab w:leader="none" w:pos="173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ESG Amendment</w:t>
      </w:r>
      <w:r>
        <w:rPr>
          <w:rFonts w:ascii="Arial" w:cs="Arial" w:eastAsia="Arial" w:hAnsi="Arial"/>
          <w:sz w:val="18"/>
          <w:szCs w:val="18"/>
          <w:color w:val="auto"/>
        </w:rPr>
        <w:t>. After the Closing Date, Toro, in consultation with the Sustainability Coordinator, shall be entitled to establish key performance indicators (“</w:t>
      </w:r>
      <w:r>
        <w:rPr>
          <w:rFonts w:ascii="Arial" w:cs="Arial" w:eastAsia="Arial" w:hAnsi="Arial"/>
          <w:sz w:val="18"/>
          <w:szCs w:val="18"/>
          <w:u w:val="single" w:color="auto"/>
          <w:color w:val="auto"/>
        </w:rPr>
        <w:t>KPIs</w:t>
      </w:r>
      <w:r>
        <w:rPr>
          <w:rFonts w:ascii="Arial" w:cs="Arial" w:eastAsia="Arial" w:hAnsi="Arial"/>
          <w:sz w:val="18"/>
          <w:szCs w:val="18"/>
          <w:color w:val="auto"/>
        </w:rPr>
        <w:t>”) for the Revolving Credit Facility with respect to certain environmental, social and governance (“</w:t>
      </w:r>
      <w:r>
        <w:rPr>
          <w:rFonts w:ascii="Arial" w:cs="Arial" w:eastAsia="Arial" w:hAnsi="Arial"/>
          <w:sz w:val="18"/>
          <w:szCs w:val="18"/>
          <w:u w:val="single" w:color="auto"/>
          <w:color w:val="auto"/>
        </w:rPr>
        <w:t>ESG</w:t>
      </w:r>
      <w:r>
        <w:rPr>
          <w:rFonts w:ascii="Arial" w:cs="Arial" w:eastAsia="Arial" w:hAnsi="Arial"/>
          <w:sz w:val="18"/>
          <w:szCs w:val="18"/>
          <w:color w:val="auto"/>
        </w:rPr>
        <w:t>”) targets of the Borrowers and their Subsidiaries. The Sustainability Coordinator and Toro may amend this Agreement (such amendment, an “</w:t>
      </w:r>
      <w:r>
        <w:rPr>
          <w:rFonts w:ascii="Arial" w:cs="Arial" w:eastAsia="Arial" w:hAnsi="Arial"/>
          <w:sz w:val="18"/>
          <w:szCs w:val="18"/>
          <w:u w:val="single" w:color="auto"/>
          <w:color w:val="auto"/>
        </w:rPr>
        <w:t>ESG Amendment</w:t>
      </w:r>
      <w:r>
        <w:rPr>
          <w:rFonts w:ascii="Arial" w:cs="Arial" w:eastAsia="Arial" w:hAnsi="Arial"/>
          <w:sz w:val="18"/>
          <w:szCs w:val="18"/>
          <w:color w:val="auto"/>
        </w:rPr>
        <w:t>”) solely for the purpose of incorporating the KPIs and the other related provisions (the “</w:t>
      </w:r>
      <w:r>
        <w:rPr>
          <w:rFonts w:ascii="Arial" w:cs="Arial" w:eastAsia="Arial" w:hAnsi="Arial"/>
          <w:sz w:val="18"/>
          <w:szCs w:val="18"/>
          <w:u w:val="single" w:color="auto"/>
          <w:color w:val="auto"/>
        </w:rPr>
        <w:t>ESG Pricing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Provisions</w:t>
      </w:r>
      <w:r>
        <w:rPr>
          <w:rFonts w:ascii="Arial" w:cs="Arial" w:eastAsia="Arial" w:hAnsi="Arial"/>
          <w:sz w:val="18"/>
          <w:szCs w:val="18"/>
          <w:color w:val="auto"/>
        </w:rPr>
        <w:t xml:space="preserve">”) into this Agreement, and any such amendment shall become effective at 5:00 p.m., New York City time, on the tenth Business Day after the Administrative Agent shall have posted such proposed amendment to all Lenders and the Borrowers unless, prior to such time, Lenders comprising the Required Lenders have delivered to the Administrative Agent (who shall promptly notify the Borrowers) written notice that such Required Lenders object to such ESG Amendment. In the event that the Required Lenders deliver a written notice objecting to any such ESG Amendment, an alternative ESG Amendment may be effectuated with the consent of the Required Lenders, Toro and the Sustainability Coordinator. Upon the effectiveness of any such ESG Amendment, based on the Borrower’s performance against the KPIs, certain adjustments (increase, decrease or no adjustment) to the otherwise applicable Facility Fee, Applicable Rate for Base Rate Loans, Swing Line Loans, Eurocurrency Rate Loans, Alternative Currency Loans, and Letter of Credit Fees will be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more than one KPI has been established, the amount of such adjustments shall (x) in the case of the applicable Facility Fee, (i) increase by 0.01% if none of the then existing KPIs are met or (ii) decrease by 0.01% if all of the then existing KPIs are met or (y) in the case of the Applicable Rate for Eurocurrency Rate Loans, Alternative Currency Loans and Letter of Credit Fees, (i) increase by 0.04% if none of the then existing KPIs are met or (ii) decrease by 0.04% if all of the then existing KPIs are met, and the adjustments to the Applicable Rate for Base Rate Loans and Swing Line Loans shall be the same amount, in basis points, as the adjustments to the Applicable Rate for Eurocurrency Rate Loans and Letter of Credit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Applicable Rate for Base Rate Loans and Swing Line Loans be less than zero;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if more than one KPI has been established and just one of the then existing KPIs is met, no adjustments to the Facility Fee or the Applicable Rate shall be made. The pricing adjustments pursuant to the KPIs will require, among other things, reporting and validation of the measurement of the KPIs in a manner that is aligned with the Sustainability Linked Loan Principles and is to be agreed between Toro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the Sustainability Coordinator (each acting reasonably). Following the effectiveness of the ESG Amendment:</w:t>
      </w:r>
    </w:p>
    <w:p>
      <w:pPr>
        <w:spacing w:after="0" w:line="216" w:lineRule="exact"/>
        <w:rPr>
          <w:sz w:val="20"/>
          <w:szCs w:val="20"/>
          <w:color w:val="auto"/>
        </w:rPr>
      </w:pPr>
    </w:p>
    <w:p>
      <w:pPr>
        <w:jc w:val="both"/>
        <w:ind w:left="880" w:firstLine="789"/>
        <w:spacing w:after="0" w:line="242" w:lineRule="auto"/>
        <w:tabs>
          <w:tab w:leader="none" w:pos="2512" w:val="left"/>
        </w:tabs>
        <w:numPr>
          <w:ilvl w:val="1"/>
          <w:numId w:val="93"/>
        </w:numPr>
        <w:rPr>
          <w:rFonts w:ascii="Arial" w:cs="Arial" w:eastAsia="Arial" w:hAnsi="Arial"/>
          <w:sz w:val="20"/>
          <w:szCs w:val="20"/>
          <w:color w:val="auto"/>
        </w:rPr>
      </w:pPr>
      <w:r>
        <w:rPr>
          <w:rFonts w:ascii="Arial" w:cs="Arial" w:eastAsia="Arial" w:hAnsi="Arial"/>
          <w:sz w:val="20"/>
          <w:szCs w:val="20"/>
          <w:color w:val="auto"/>
        </w:rPr>
        <w:t xml:space="preserve">any modification to the ESG Pricing Provisions which has the effect of (x) reducing the applicable Facility Fee, Applicable Rate for Base Rate Loan and Swing Line Loans, or Applicable Rate for Eurocurrency Rate Loans, Alternative Currency Loans and Letter of Credit Fees to a level not otherwise permitted by </w:t>
      </w:r>
      <w:r>
        <w:rPr>
          <w:rFonts w:ascii="Arial" w:cs="Arial" w:eastAsia="Arial" w:hAnsi="Arial"/>
          <w:sz w:val="20"/>
          <w:szCs w:val="20"/>
          <w:u w:val="single" w:color="auto"/>
          <w:color w:val="auto"/>
        </w:rPr>
        <w:t>Section 2.18(a)</w:t>
      </w:r>
      <w:r>
        <w:rPr>
          <w:rFonts w:ascii="Arial" w:cs="Arial" w:eastAsia="Arial" w:hAnsi="Arial"/>
          <w:sz w:val="20"/>
          <w:szCs w:val="20"/>
          <w:color w:val="auto"/>
        </w:rPr>
        <w:t xml:space="preserve"> or (y) increasing the applicable Facility Fee, Applicable Rate for Base Rate Loans and Swing Line Loans, or Applicable Rate for Eurocurrency Rate Loans, Alternative Currency Loans and Letter of Credit Fees that is not accompanied by a corresponding reduction of the applicable Facility Fee, Applicable Rate for Base Rate Loans and Swing Line Loans, or Applicable Rate for Eurocurrency Rate Loans, Alternative Currency Loans, and Letter of Credit Fees by a percentage equivalent to such increase, shall (in each case) be subject to the consent of all Lenders; and</w:t>
      </w:r>
    </w:p>
    <w:p>
      <w:pPr>
        <w:spacing w:after="0" w:line="196" w:lineRule="exact"/>
        <w:rPr>
          <w:rFonts w:ascii="Arial" w:cs="Arial" w:eastAsia="Arial" w:hAnsi="Arial"/>
          <w:sz w:val="20"/>
          <w:szCs w:val="20"/>
          <w:color w:val="auto"/>
        </w:rPr>
      </w:pPr>
    </w:p>
    <w:p>
      <w:pPr>
        <w:ind w:left="880" w:firstLine="789"/>
        <w:spacing w:after="0" w:line="260" w:lineRule="auto"/>
        <w:tabs>
          <w:tab w:leader="none" w:pos="2567" w:val="left"/>
        </w:tabs>
        <w:numPr>
          <w:ilvl w:val="1"/>
          <w:numId w:val="93"/>
        </w:numPr>
        <w:rPr>
          <w:rFonts w:ascii="Arial" w:cs="Arial" w:eastAsia="Arial" w:hAnsi="Arial"/>
          <w:sz w:val="20"/>
          <w:szCs w:val="20"/>
          <w:color w:val="auto"/>
        </w:rPr>
      </w:pPr>
      <w:r>
        <w:rPr>
          <w:rFonts w:ascii="Arial" w:cs="Arial" w:eastAsia="Arial" w:hAnsi="Arial"/>
          <w:sz w:val="20"/>
          <w:szCs w:val="20"/>
          <w:color w:val="auto"/>
        </w:rPr>
        <w:t xml:space="preserve">any other modification to the ESG Pricing Provisions (other than as provided for in </w:t>
      </w:r>
      <w:r>
        <w:rPr>
          <w:rFonts w:ascii="Arial" w:cs="Arial" w:eastAsia="Arial" w:hAnsi="Arial"/>
          <w:sz w:val="20"/>
          <w:szCs w:val="20"/>
          <w:u w:val="single" w:color="auto"/>
          <w:color w:val="auto"/>
        </w:rPr>
        <w:t>Section 2.18(a)(i)</w:t>
      </w:r>
      <w:r>
        <w:rPr>
          <w:rFonts w:ascii="Arial" w:cs="Arial" w:eastAsia="Arial" w:hAnsi="Arial"/>
          <w:sz w:val="20"/>
          <w:szCs w:val="20"/>
          <w:color w:val="auto"/>
        </w:rPr>
        <w:t xml:space="preserve"> above) shall be subject only to the consent of the Required Lenders.</w:t>
      </w:r>
    </w:p>
    <w:p>
      <w:pPr>
        <w:spacing w:after="0" w:line="176" w:lineRule="exact"/>
        <w:rPr>
          <w:rFonts w:ascii="Arial" w:cs="Arial" w:eastAsia="Arial" w:hAnsi="Arial"/>
          <w:sz w:val="20"/>
          <w:szCs w:val="20"/>
          <w:color w:val="auto"/>
        </w:rPr>
      </w:pPr>
    </w:p>
    <w:p>
      <w:pPr>
        <w:jc w:val="both"/>
        <w:ind w:firstLine="872"/>
        <w:spacing w:after="0" w:line="250" w:lineRule="auto"/>
        <w:tabs>
          <w:tab w:leader="none" w:pos="1742"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Sustainability Coordinator</w:t>
      </w:r>
      <w:r>
        <w:rPr>
          <w:rFonts w:ascii="Arial" w:cs="Arial" w:eastAsia="Arial" w:hAnsi="Arial"/>
          <w:sz w:val="20"/>
          <w:szCs w:val="20"/>
          <w:color w:val="auto"/>
        </w:rPr>
        <w:t>. If engaged by Toro, the Sustainability Coordinator will (i) assist Toro in determining the ESG Pricing Provisions in connection with the ESG Amendment and (ii) assist Toro in preparing informational materials focused on ESG to be used in connection with the ESG Amendment.</w:t>
      </w:r>
    </w:p>
    <w:p>
      <w:pPr>
        <w:spacing w:after="0" w:line="185" w:lineRule="exact"/>
        <w:rPr>
          <w:rFonts w:ascii="Arial" w:cs="Arial" w:eastAsia="Arial" w:hAnsi="Arial"/>
          <w:sz w:val="20"/>
          <w:szCs w:val="20"/>
          <w:color w:val="auto"/>
        </w:rPr>
      </w:pPr>
    </w:p>
    <w:p>
      <w:pPr>
        <w:ind w:left="1740" w:hanging="868"/>
        <w:spacing w:after="0"/>
        <w:tabs>
          <w:tab w:leader="none" w:pos="174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to the contrary.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YIELD PROTECTION AND ILLEGALITY</w:t>
      </w:r>
    </w:p>
    <w:p>
      <w:pPr>
        <w:spacing w:after="0" w:line="194"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6"/>
          <w:szCs w:val="16"/>
          <w:b w:val="1"/>
          <w:bCs w:val="1"/>
          <w:color w:val="auto"/>
        </w:rPr>
        <w:t>Taxes.</w:t>
      </w:r>
    </w:p>
    <w:p>
      <w:pPr>
        <w:spacing w:after="0" w:line="222" w:lineRule="exact"/>
        <w:rPr>
          <w:sz w:val="20"/>
          <w:szCs w:val="20"/>
          <w:color w:val="auto"/>
        </w:rPr>
      </w:pPr>
    </w:p>
    <w:p>
      <w:pPr>
        <w:ind w:left="1740" w:hanging="868"/>
        <w:spacing w:after="0"/>
        <w:tabs>
          <w:tab w:leader="none" w:pos="174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789"/>
        <w:spacing w:after="0" w:line="243" w:lineRule="auto"/>
        <w:tabs>
          <w:tab w:leader="none" w:pos="2512"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Any and all payments by or on account of any obligation of the respective Borrowers hereunder or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Borrower, then the Administrative Agent or such Borrower shall be entitled to make such deduction or withholding, upon the basis of the information and documentation to be delivered pursuant to </w:t>
      </w:r>
      <w:r>
        <w:rPr>
          <w:rFonts w:ascii="Arial" w:cs="Arial" w:eastAsia="Arial" w:hAnsi="Arial"/>
          <w:sz w:val="20"/>
          <w:szCs w:val="20"/>
          <w:u w:val="single" w:color="auto"/>
          <w:color w:val="auto"/>
        </w:rPr>
        <w:t>subsection (e)</w:t>
      </w:r>
      <w:r>
        <w:rPr>
          <w:rFonts w:ascii="Arial" w:cs="Arial" w:eastAsia="Arial" w:hAnsi="Arial"/>
          <w:sz w:val="20"/>
          <w:szCs w:val="20"/>
          <w:color w:val="auto"/>
        </w:rPr>
        <w:t xml:space="preserve"> below.</w:t>
      </w:r>
    </w:p>
    <w:p>
      <w:pPr>
        <w:spacing w:after="0" w:line="195" w:lineRule="exact"/>
        <w:rPr>
          <w:rFonts w:ascii="Arial" w:cs="Arial" w:eastAsia="Arial" w:hAnsi="Arial"/>
          <w:sz w:val="20"/>
          <w:szCs w:val="20"/>
          <w:color w:val="auto"/>
        </w:rPr>
      </w:pPr>
    </w:p>
    <w:p>
      <w:pPr>
        <w:jc w:val="both"/>
        <w:ind w:left="880" w:firstLine="789"/>
        <w:spacing w:after="0" w:line="257" w:lineRule="auto"/>
        <w:tabs>
          <w:tab w:leader="none" w:pos="2567"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If any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the Administrative Agent shall timely pay the full amount so withheld or deducted by it to the relevant Governmental Authority in accordance with the Code,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0" w:name="page81"/>
    <w:bookmarkEnd w:id="80"/>
    <w:p>
      <w:pPr>
        <w:ind w:left="880" w:right="20"/>
        <w:spacing w:after="0" w:line="260" w:lineRule="auto"/>
        <w:rPr>
          <w:sz w:val="20"/>
          <w:szCs w:val="20"/>
          <w:color w:val="auto"/>
        </w:rPr>
      </w:pPr>
      <w:r>
        <w:rPr>
          <w:rFonts w:ascii="Arial" w:cs="Arial" w:eastAsia="Arial" w:hAnsi="Arial"/>
          <w:sz w:val="20"/>
          <w:szCs w:val="20"/>
          <w:color w:val="auto"/>
        </w:rPr>
        <w:t>the applicable Recipient receives an amount equal to the sum it would have received had no such withholding or deduction been made.</w:t>
      </w:r>
    </w:p>
    <w:p>
      <w:pPr>
        <w:spacing w:after="0" w:line="177" w:lineRule="exact"/>
        <w:rPr>
          <w:sz w:val="20"/>
          <w:szCs w:val="20"/>
          <w:color w:val="auto"/>
        </w:rPr>
      </w:pPr>
    </w:p>
    <w:p>
      <w:pPr>
        <w:jc w:val="both"/>
        <w:ind w:left="880" w:firstLine="789"/>
        <w:spacing w:after="0" w:line="255" w:lineRule="auto"/>
        <w:tabs>
          <w:tab w:leader="none" w:pos="2622"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If any Borrower or the Administrative Agent shall be required by any Applicable Laws other than the Code to withhold or deduct any Taxes from any payment, then (A) such Borrower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such Borrower or the Administrative Agent, to the extent required by such Laws, shall make such deductions and shall timely pay the full amount so withheld or deducted by it to the relevant Governmental Authority in accordance with such Laws,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89" w:lineRule="exact"/>
        <w:rPr>
          <w:rFonts w:ascii="Arial" w:cs="Arial" w:eastAsia="Arial" w:hAnsi="Arial"/>
          <w:sz w:val="19"/>
          <w:szCs w:val="19"/>
          <w:color w:val="auto"/>
        </w:rPr>
      </w:pPr>
    </w:p>
    <w:p>
      <w:pPr>
        <w:jc w:val="both"/>
        <w:ind w:firstLine="872"/>
        <w:spacing w:after="0" w:line="250" w:lineRule="auto"/>
        <w:tabs>
          <w:tab w:leader="none" w:pos="1742"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Borrowers</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above, each Borrower shall timely pay to the relevant Governmental Authority in accordance with Applicable Laws, or at the option of the Administrative Agent timely reimburse it for the payment of, any Other Taxes.</w:t>
      </w:r>
    </w:p>
    <w:p>
      <w:pPr>
        <w:spacing w:after="0" w:line="185" w:lineRule="exact"/>
        <w:rPr>
          <w:rFonts w:ascii="Arial" w:cs="Arial" w:eastAsia="Arial" w:hAnsi="Arial"/>
          <w:sz w:val="20"/>
          <w:szCs w:val="20"/>
          <w:color w:val="auto"/>
        </w:rPr>
      </w:pPr>
    </w:p>
    <w:p>
      <w:pPr>
        <w:ind w:left="1740" w:hanging="868"/>
        <w:spacing w:after="0"/>
        <w:tabs>
          <w:tab w:leader="none" w:pos="174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789"/>
        <w:spacing w:after="0" w:line="255" w:lineRule="auto"/>
        <w:tabs>
          <w:tab w:leader="none" w:pos="2512"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Without limiting the provisions of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each Borrower shall, and does hereby, indemnify each Recipient, and shall make payment in respect thereof within 30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Each Borrower shall, and does hereby, indemnify the Administrative Agent, and shall make payment in respect thereof within 30 days after demand therefor, for any amount which a Lender or the L/C Issuer for any reason fails to pay indefeasibly to the Administrative Agent as required pursuant to </w:t>
      </w:r>
      <w:r>
        <w:rPr>
          <w:rFonts w:ascii="Arial" w:cs="Arial" w:eastAsia="Arial" w:hAnsi="Arial"/>
          <w:sz w:val="19"/>
          <w:szCs w:val="19"/>
          <w:u w:val="single" w:color="auto"/>
          <w:color w:val="auto"/>
        </w:rPr>
        <w:t>Section 3.01(c)(ii)</w:t>
      </w:r>
      <w:r>
        <w:rPr>
          <w:rFonts w:ascii="Arial" w:cs="Arial" w:eastAsia="Arial" w:hAnsi="Arial"/>
          <w:sz w:val="19"/>
          <w:szCs w:val="19"/>
          <w:color w:val="auto"/>
        </w:rPr>
        <w:t xml:space="preserve"> below. A certificate as to the amount of such payment or liability delivered to a Borrower by a Lender or the L/C Issuer (with a copy to the Administrative Agent), or by the Administrative Agent on its own behalf or on behalf of a Lender or the L/C Issuer, shall be conclusive absent manifest error.</w:t>
      </w:r>
    </w:p>
    <w:p>
      <w:pPr>
        <w:spacing w:after="0" w:line="187" w:lineRule="exact"/>
        <w:rPr>
          <w:sz w:val="20"/>
          <w:szCs w:val="20"/>
          <w:color w:val="auto"/>
        </w:rPr>
      </w:pPr>
    </w:p>
    <w:p>
      <w:pPr>
        <w:jc w:val="both"/>
        <w:ind w:left="880" w:firstLine="789"/>
        <w:spacing w:after="0" w:line="271" w:lineRule="auto"/>
        <w:tabs>
          <w:tab w:leader="none" w:pos="256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each Lender and the L/C Issuer shall, and does hereby, severally indemnify, and shall make payment in respect thereof within 30 days after demand therefor, (x) the Administrative Agent against any Indemnified Taxes attributable to such Lender or the L/C Issuer (but only to the extent that any Borrower has not already indemnified the Administrative Agent for such Indemnified Taxes and without limiting the obligation of the Borrowers to do so), (y) the Administrative Agent and the Borrowers, as applicable, against any Taxes attributable to such Lender’s failure to comply with the provisions of </w:t>
      </w:r>
      <w:r>
        <w:rPr>
          <w:rFonts w:ascii="Arial" w:cs="Arial" w:eastAsia="Arial" w:hAnsi="Arial"/>
          <w:sz w:val="18"/>
          <w:szCs w:val="18"/>
          <w:u w:val="single" w:color="auto"/>
          <w:color w:val="auto"/>
        </w:rPr>
        <w:t>Section 11.06(d)</w:t>
      </w:r>
      <w:r>
        <w:rPr>
          <w:rFonts w:ascii="Arial" w:cs="Arial" w:eastAsia="Arial" w:hAnsi="Arial"/>
          <w:sz w:val="18"/>
          <w:szCs w:val="18"/>
          <w:color w:val="auto"/>
        </w:rPr>
        <w:t xml:space="preserve"> relating to the maintenance of a Participant Register and (z) the Administrative Agent and the Borrowers, as applicable, against any Excluded Taxes attributable to such Lender or the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1" w:name="page82"/>
    <w:bookmarkEnd w:id="81"/>
    <w:p>
      <w:pPr>
        <w:jc w:val="both"/>
        <w:ind w:left="880"/>
        <w:spacing w:after="0" w:line="246" w:lineRule="auto"/>
        <w:rPr>
          <w:sz w:val="20"/>
          <w:szCs w:val="20"/>
          <w:color w:val="auto"/>
        </w:rPr>
      </w:pPr>
      <w:r>
        <w:rPr>
          <w:rFonts w:ascii="Arial" w:cs="Arial" w:eastAsia="Arial" w:hAnsi="Arial"/>
          <w:sz w:val="20"/>
          <w:szCs w:val="20"/>
          <w:color w:val="auto"/>
        </w:rPr>
        <w:t xml:space="preserve">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20"/>
          <w:szCs w:val="20"/>
          <w:u w:val="single" w:color="auto"/>
          <w:color w:val="auto"/>
        </w:rPr>
        <w:t>clause (ii)</w:t>
      </w:r>
      <w:r>
        <w:rPr>
          <w:rFonts w:ascii="Arial" w:cs="Arial" w:eastAsia="Arial" w:hAnsi="Arial"/>
          <w:sz w:val="20"/>
          <w:szCs w:val="20"/>
          <w:color w:val="auto"/>
        </w:rPr>
        <w:t>.</w:t>
      </w:r>
    </w:p>
    <w:p>
      <w:pPr>
        <w:spacing w:after="0" w:line="191" w:lineRule="exact"/>
        <w:rPr>
          <w:sz w:val="20"/>
          <w:szCs w:val="20"/>
          <w:color w:val="auto"/>
        </w:rPr>
      </w:pPr>
    </w:p>
    <w:p>
      <w:pPr>
        <w:jc w:val="both"/>
        <w:ind w:firstLine="872"/>
        <w:spacing w:after="0" w:line="260" w:lineRule="auto"/>
        <w:tabs>
          <w:tab w:leader="none" w:pos="1742"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such Borrower or by the Administrative Agent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such Borrower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180" w:lineRule="exact"/>
        <w:rPr>
          <w:rFonts w:ascii="Arial" w:cs="Arial" w:eastAsia="Arial" w:hAnsi="Arial"/>
          <w:sz w:val="19"/>
          <w:szCs w:val="19"/>
          <w:color w:val="auto"/>
        </w:rPr>
      </w:pPr>
    </w:p>
    <w:p>
      <w:pPr>
        <w:ind w:left="1740" w:hanging="868"/>
        <w:spacing w:after="0"/>
        <w:tabs>
          <w:tab w:leader="none" w:pos="174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789"/>
        <w:spacing w:after="0" w:line="271" w:lineRule="auto"/>
        <w:tabs>
          <w:tab w:leader="none" w:pos="2512"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Toro and to the Administrative Agent, at the time or times reasonably requested by Toro or the Administrative Agent, such properly completed and executed documentation reasonably requested by Toro or the Administrative Agent as will permit such payments to be made without withholding or at a reduced rate of withholding. In addition, any Lender, if reasonably requested by Toro or the Administrative Agent, shall deliver such other documentation prescribed by Applicable Law or reasonably requested by Toro or the Administrative Agent as will enable Toro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3.01(e)(ii)(A)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9" w:lineRule="exact"/>
        <w:rPr>
          <w:rFonts w:ascii="Arial" w:cs="Arial" w:eastAsia="Arial" w:hAnsi="Arial"/>
          <w:sz w:val="18"/>
          <w:szCs w:val="18"/>
          <w:color w:val="auto"/>
        </w:rPr>
      </w:pPr>
    </w:p>
    <w:p>
      <w:pPr>
        <w:ind w:left="2560" w:hanging="891"/>
        <w:spacing w:after="0"/>
        <w:tabs>
          <w:tab w:leader="none" w:pos="2560" w:val="left"/>
        </w:tabs>
        <w:numPr>
          <w:ilvl w:val="1"/>
          <w:numId w:val="99"/>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a Borrower is a U.S. Person,</w:t>
      </w:r>
    </w:p>
    <w:p>
      <w:pPr>
        <w:spacing w:after="0" w:line="229" w:lineRule="exact"/>
        <w:rPr>
          <w:rFonts w:ascii="Arial" w:cs="Arial" w:eastAsia="Arial" w:hAnsi="Arial"/>
          <w:sz w:val="20"/>
          <w:szCs w:val="20"/>
          <w:color w:val="auto"/>
        </w:rPr>
      </w:pPr>
    </w:p>
    <w:p>
      <w:pPr>
        <w:jc w:val="both"/>
        <w:ind w:left="1740" w:firstLine="726"/>
        <w:spacing w:after="0" w:line="238" w:lineRule="auto"/>
        <w:tabs>
          <w:tab w:leader="none" w:pos="3419" w:val="left"/>
        </w:tabs>
        <w:numPr>
          <w:ilvl w:val="2"/>
          <w:numId w:val="99"/>
        </w:numPr>
        <w:rPr>
          <w:rFonts w:ascii="Arial" w:cs="Arial" w:eastAsia="Arial" w:hAnsi="Arial"/>
          <w:sz w:val="22"/>
          <w:szCs w:val="22"/>
          <w:color w:val="auto"/>
        </w:rPr>
      </w:pPr>
      <w:r>
        <w:rPr>
          <w:rFonts w:ascii="Arial" w:cs="Arial" w:eastAsia="Arial" w:hAnsi="Arial"/>
          <w:sz w:val="20"/>
          <w:szCs w:val="20"/>
          <w:color w:val="auto"/>
        </w:rPr>
        <w:t>any Lender that is a U.S. Person shall deliver to Toro and the Administrative Agent on or prior to the date on which such Lender becomes a Lender under this Agreement (and from time to time thereafter upon the reasonable request of Toro or the Administrative Agent), executed originals of IRS Form W-9 certifying that such Lender is exempt from U.S. federal backup withholding tax;</w:t>
      </w:r>
    </w:p>
    <w:p>
      <w:pPr>
        <w:spacing w:after="0" w:line="212" w:lineRule="exact"/>
        <w:rPr>
          <w:rFonts w:ascii="Arial" w:cs="Arial" w:eastAsia="Arial" w:hAnsi="Arial"/>
          <w:sz w:val="22"/>
          <w:szCs w:val="22"/>
          <w:color w:val="auto"/>
        </w:rPr>
      </w:pPr>
    </w:p>
    <w:p>
      <w:pPr>
        <w:jc w:val="both"/>
        <w:ind w:left="1740" w:firstLine="726"/>
        <w:spacing w:after="0" w:line="277" w:lineRule="auto"/>
        <w:tabs>
          <w:tab w:leader="none" w:pos="3407" w:val="left"/>
        </w:tabs>
        <w:numPr>
          <w:ilvl w:val="2"/>
          <w:numId w:val="99"/>
        </w:numPr>
        <w:rPr>
          <w:rFonts w:ascii="Arial" w:cs="Arial" w:eastAsia="Arial" w:hAnsi="Arial"/>
          <w:sz w:val="19"/>
          <w:szCs w:val="19"/>
          <w:color w:val="auto"/>
        </w:rPr>
      </w:pPr>
      <w:r>
        <w:rPr>
          <w:rFonts w:ascii="Arial" w:cs="Arial" w:eastAsia="Arial" w:hAnsi="Arial"/>
          <w:sz w:val="18"/>
          <w:szCs w:val="18"/>
          <w:color w:val="auto"/>
        </w:rPr>
        <w:t>any Foreign Lender shall, to the extent it is legally entitled to do so, deliver to Toro and the Administrative Agent (in such number of copies as shall be requested by the recipient) on or prior to the date on which such Foreign Lender becomes a Lender under this Agreement (and from time to time thereafter upon the reasonable request of Toro on behalf of such Borrower or the Administrative Agent), whichever of the following is applicable:</w:t>
      </w:r>
    </w:p>
    <w:p>
      <w:pPr>
        <w:spacing w:after="0" w:line="165" w:lineRule="exact"/>
        <w:rPr>
          <w:sz w:val="20"/>
          <w:szCs w:val="20"/>
          <w:color w:val="auto"/>
        </w:rPr>
      </w:pPr>
    </w:p>
    <w:p>
      <w:pPr>
        <w:jc w:val="both"/>
        <w:ind w:left="2600" w:firstLine="691"/>
        <w:spacing w:after="0" w:line="250" w:lineRule="auto"/>
        <w:tabs>
          <w:tab w:leader="none" w:pos="4129"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originals of IRS Form W-8BEN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2" w:name="page83"/>
    <w:bookmarkEnd w:id="82"/>
    <w:p>
      <w:pPr>
        <w:jc w:val="both"/>
        <w:ind w:left="1480"/>
        <w:spacing w:after="0" w:line="244" w:lineRule="auto"/>
        <w:rPr>
          <w:sz w:val="20"/>
          <w:szCs w:val="20"/>
          <w:color w:val="auto"/>
        </w:rPr>
      </w:pPr>
      <w:r>
        <w:rPr>
          <w:rFonts w:ascii="Arial" w:cs="Arial" w:eastAsia="Arial" w:hAnsi="Arial"/>
          <w:sz w:val="20"/>
          <w:szCs w:val="20"/>
          <w:color w:val="auto"/>
        </w:rPr>
        <w:t>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94" w:lineRule="exact"/>
        <w:rPr>
          <w:sz w:val="20"/>
          <w:szCs w:val="20"/>
          <w:color w:val="auto"/>
        </w:rPr>
      </w:pPr>
    </w:p>
    <w:p>
      <w:pPr>
        <w:ind w:left="3060" w:hanging="916"/>
        <w:spacing w:after="0"/>
        <w:tabs>
          <w:tab w:leader="none" w:pos="30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16" w:lineRule="exact"/>
        <w:rPr>
          <w:sz w:val="20"/>
          <w:szCs w:val="20"/>
          <w:color w:val="auto"/>
        </w:rPr>
      </w:pPr>
    </w:p>
    <w:p>
      <w:pPr>
        <w:ind w:left="3120" w:hanging="976"/>
        <w:spacing w:after="0"/>
        <w:tabs>
          <w:tab w:leader="none" w:pos="3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executed originals of IRS Form W-8IMY and all required supporting documentation,</w:t>
      </w:r>
    </w:p>
    <w:p>
      <w:pPr>
        <w:spacing w:after="0" w:line="239" w:lineRule="exact"/>
        <w:rPr>
          <w:sz w:val="20"/>
          <w:szCs w:val="20"/>
          <w:color w:val="auto"/>
        </w:rPr>
      </w:pPr>
    </w:p>
    <w:p>
      <w:pPr>
        <w:jc w:val="both"/>
        <w:ind w:left="1480" w:firstLine="664"/>
        <w:spacing w:after="0" w:line="259" w:lineRule="auto"/>
        <w:rPr>
          <w:sz w:val="20"/>
          <w:szCs w:val="20"/>
          <w:color w:val="auto"/>
        </w:rPr>
      </w:pPr>
      <w:r>
        <w:rPr>
          <w:rFonts w:ascii="Arial" w:cs="Arial" w:eastAsia="Arial" w:hAnsi="Arial"/>
          <w:sz w:val="19"/>
          <w:szCs w:val="19"/>
          <w:color w:val="auto"/>
        </w:rPr>
        <w:t xml:space="preserve">(IV) 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I-1</w:t>
      </w:r>
      <w:r>
        <w:rPr>
          <w:rFonts w:ascii="Arial" w:cs="Arial" w:eastAsia="Arial" w:hAnsi="Arial"/>
          <w:sz w:val="19"/>
          <w:szCs w:val="19"/>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Arial" w:cs="Arial" w:eastAsia="Arial" w:hAnsi="Arial"/>
          <w:sz w:val="19"/>
          <w:szCs w:val="19"/>
          <w:u w:val="single" w:color="auto"/>
          <w:color w:val="auto"/>
        </w:rPr>
        <w:t>U.S. Tax Compliance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Certificate</w:t>
      </w:r>
      <w:r>
        <w:rPr>
          <w:rFonts w:ascii="Arial" w:cs="Arial" w:eastAsia="Arial" w:hAnsi="Arial"/>
          <w:sz w:val="19"/>
          <w:szCs w:val="19"/>
          <w:color w:val="auto"/>
        </w:rPr>
        <w:t>”) and (y) executed originals of IRS Form W-8BEN or W-8BEN-E, as applicable, or</w:t>
      </w:r>
    </w:p>
    <w:p>
      <w:pPr>
        <w:spacing w:after="0" w:line="178" w:lineRule="exact"/>
        <w:rPr>
          <w:sz w:val="20"/>
          <w:szCs w:val="20"/>
          <w:color w:val="auto"/>
        </w:rPr>
      </w:pPr>
    </w:p>
    <w:p>
      <w:pPr>
        <w:jc w:val="both"/>
        <w:ind w:left="1480" w:firstLine="664"/>
        <w:spacing w:after="0" w:line="257" w:lineRule="auto"/>
        <w:tabs>
          <w:tab w:leader="none" w:pos="3067"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19"/>
          <w:szCs w:val="19"/>
          <w:u w:val="single" w:color="auto"/>
          <w:color w:val="auto"/>
        </w:rPr>
        <w:t>Exhibit I-2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I-3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I-4</w:t>
      </w:r>
      <w:r>
        <w:rPr>
          <w:rFonts w:ascii="Arial" w:cs="Arial" w:eastAsia="Arial" w:hAnsi="Arial"/>
          <w:sz w:val="19"/>
          <w:szCs w:val="19"/>
          <w:color w:val="auto"/>
        </w:rPr>
        <w:t xml:space="preserve"> on behalf of each such direct and indirect partner.</w:t>
      </w:r>
    </w:p>
    <w:p>
      <w:pPr>
        <w:spacing w:after="0" w:line="198" w:lineRule="exact"/>
        <w:rPr>
          <w:rFonts w:ascii="Arial" w:cs="Arial" w:eastAsia="Arial" w:hAnsi="Arial"/>
          <w:sz w:val="19"/>
          <w:szCs w:val="19"/>
          <w:color w:val="auto"/>
        </w:rPr>
      </w:pPr>
    </w:p>
    <w:p>
      <w:pPr>
        <w:jc w:val="both"/>
        <w:ind w:left="620" w:firstLine="726"/>
        <w:spacing w:after="0" w:line="253" w:lineRule="auto"/>
        <w:tabs>
          <w:tab w:leader="none" w:pos="2287" w:val="left"/>
        </w:tabs>
        <w:numPr>
          <w:ilvl w:val="0"/>
          <w:numId w:val="104"/>
        </w:numPr>
        <w:rPr>
          <w:rFonts w:ascii="Arial" w:cs="Arial" w:eastAsia="Arial" w:hAnsi="Arial"/>
          <w:sz w:val="21"/>
          <w:szCs w:val="21"/>
          <w:color w:val="auto"/>
        </w:rPr>
      </w:pPr>
      <w:r>
        <w:rPr>
          <w:rFonts w:ascii="Arial" w:cs="Arial" w:eastAsia="Arial" w:hAnsi="Arial"/>
          <w:sz w:val="19"/>
          <w:szCs w:val="19"/>
          <w:color w:val="auto"/>
        </w:rPr>
        <w:t>any Foreign Lender shall, to the extent it is legally entitled to do so, deliver to Toro and the Administrative Agent (in such number of copies as shall be requested by the recipient) on or prior to the date on which such Foreign Lender becomes a Lender under this Agreement (and from time to time thereafter upon the reasonable request of Toro or the Administrative Agent), executed copies of any additional forms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99" w:lineRule="exact"/>
        <w:rPr>
          <w:rFonts w:ascii="Arial" w:cs="Arial" w:eastAsia="Arial" w:hAnsi="Arial"/>
          <w:sz w:val="21"/>
          <w:szCs w:val="21"/>
          <w:color w:val="auto"/>
        </w:rPr>
      </w:pPr>
    </w:p>
    <w:p>
      <w:pPr>
        <w:jc w:val="both"/>
        <w:ind w:left="620" w:firstLine="726"/>
        <w:spacing w:after="0" w:line="271" w:lineRule="auto"/>
        <w:tabs>
          <w:tab w:leader="none" w:pos="2299" w:val="left"/>
        </w:tabs>
        <w:numPr>
          <w:ilvl w:val="0"/>
          <w:numId w:val="104"/>
        </w:numPr>
        <w:rPr>
          <w:rFonts w:ascii="Arial" w:cs="Arial" w:eastAsia="Arial" w:hAnsi="Arial"/>
          <w:sz w:val="19"/>
          <w:szCs w:val="19"/>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Toro and the Administrative Agent at the time or times prescribed by law and at such time or times reasonably requested by Toro or the Administrative Agent such documentation prescribed by Applicable Law (including as prescribed by Section 1471(b)(3)(C)(i) of the Code) and such additional documentation reasonably requested by Toro or the Administrative Agent as may be necessary for such Borrower and the Administrative</w:t>
      </w:r>
    </w:p>
    <w:p>
      <w:pPr>
        <w:spacing w:after="0" w:line="17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160655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9" w:right="339" w:bottom="1440" w:gutter="0" w:footer="0" w:header="0"/>
        </w:sectPr>
      </w:pPr>
    </w:p>
    <w:bookmarkStart w:id="83" w:name="page84"/>
    <w:bookmarkEnd w:id="83"/>
    <w:p>
      <w:pPr>
        <w:jc w:val="both"/>
        <w:ind w:left="1740"/>
        <w:spacing w:after="0" w:line="291" w:lineRule="auto"/>
        <w:rPr>
          <w:sz w:val="20"/>
          <w:szCs w:val="20"/>
          <w:color w:val="auto"/>
        </w:rPr>
      </w:pPr>
      <w:r>
        <w:rPr>
          <w:rFonts w:ascii="Arial" w:cs="Arial" w:eastAsia="Arial" w:hAnsi="Arial"/>
          <w:sz w:val="18"/>
          <w:szCs w:val="18"/>
          <w:color w:val="auto"/>
        </w:rPr>
        <w:t xml:space="preserve">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clause (D)</w:t>
      </w:r>
      <w:r>
        <w:rPr>
          <w:rFonts w:ascii="Arial" w:cs="Arial" w:eastAsia="Arial" w:hAnsi="Arial"/>
          <w:sz w:val="18"/>
          <w:szCs w:val="18"/>
          <w:color w:val="auto"/>
        </w:rPr>
        <w:t>, “FATCA” shall include any amendments made to FATCA after the date of this Agreement.</w:t>
      </w:r>
    </w:p>
    <w:p>
      <w:pPr>
        <w:spacing w:after="0" w:line="152" w:lineRule="exact"/>
        <w:rPr>
          <w:sz w:val="20"/>
          <w:szCs w:val="20"/>
          <w:color w:val="auto"/>
        </w:rPr>
      </w:pPr>
    </w:p>
    <w:p>
      <w:pPr>
        <w:jc w:val="both"/>
        <w:ind w:left="880" w:firstLine="789"/>
        <w:spacing w:after="0" w:line="250" w:lineRule="auto"/>
        <w:tabs>
          <w:tab w:leader="none" w:pos="2622" w:val="left"/>
        </w:tabs>
        <w:numPr>
          <w:ilvl w:val="1"/>
          <w:numId w:val="105"/>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Toro and the Administrative Agent in writing of its legal inability to do so.</w:t>
      </w:r>
    </w:p>
    <w:p>
      <w:pPr>
        <w:spacing w:after="0" w:line="185" w:lineRule="exact"/>
        <w:rPr>
          <w:rFonts w:ascii="Arial" w:cs="Arial" w:eastAsia="Arial" w:hAnsi="Arial"/>
          <w:sz w:val="20"/>
          <w:szCs w:val="20"/>
          <w:color w:val="auto"/>
        </w:rPr>
      </w:pPr>
    </w:p>
    <w:p>
      <w:pPr>
        <w:jc w:val="both"/>
        <w:ind w:firstLine="872"/>
        <w:spacing w:after="0" w:line="254" w:lineRule="auto"/>
        <w:tabs>
          <w:tab w:leader="none" w:pos="170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in no event will the indemnified party be required to pay any amount to an indemnifying party pursuant to this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1" w:lineRule="exact"/>
        <w:rPr>
          <w:rFonts w:ascii="Arial" w:cs="Arial" w:eastAsia="Arial" w:hAnsi="Arial"/>
          <w:sz w:val="19"/>
          <w:szCs w:val="19"/>
          <w:color w:val="auto"/>
        </w:rPr>
      </w:pPr>
    </w:p>
    <w:p>
      <w:pPr>
        <w:jc w:val="both"/>
        <w:ind w:firstLine="872"/>
        <w:spacing w:after="0" w:line="250" w:lineRule="auto"/>
        <w:tabs>
          <w:tab w:leader="none" w:pos="1742"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185" w:lineRule="exact"/>
        <w:rPr>
          <w:rFonts w:ascii="Arial" w:cs="Arial" w:eastAsia="Arial" w:hAnsi="Arial"/>
          <w:sz w:val="20"/>
          <w:szCs w:val="20"/>
          <w:color w:val="auto"/>
        </w:rPr>
      </w:pPr>
    </w:p>
    <w:p>
      <w:pPr>
        <w:ind w:left="1760" w:hanging="888"/>
        <w:spacing w:after="0"/>
        <w:tabs>
          <w:tab w:leader="none" w:pos="176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term “Applicable Law” includes FATCA.</w:t>
      </w:r>
    </w:p>
    <w:p>
      <w:pPr>
        <w:spacing w:after="0" w:line="21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3.02 Illegality. </w:t>
      </w:r>
      <w:r>
        <w:rPr>
          <w:rFonts w:ascii="Arial" w:cs="Arial" w:eastAsia="Arial" w:hAnsi="Arial"/>
          <w:sz w:val="18"/>
          <w:szCs w:val="18"/>
          <w:color w:val="auto"/>
        </w:rPr>
        <w:t>If any Lender determines that any Law has made it unlawful, or that any Governmental Authority has</w:t>
      </w:r>
      <w:r>
        <w:rPr>
          <w:rFonts w:ascii="Arial" w:cs="Arial" w:eastAsia="Arial" w:hAnsi="Arial"/>
          <w:sz w:val="18"/>
          <w:szCs w:val="18"/>
          <w:b w:val="1"/>
          <w:bCs w:val="1"/>
          <w:color w:val="auto"/>
        </w:rPr>
        <w:t xml:space="preserve"> </w:t>
      </w:r>
      <w:r>
        <w:rPr>
          <w:rFonts w:ascii="Arial" w:cs="Arial" w:eastAsia="Arial" w:hAnsi="Arial"/>
          <w:sz w:val="18"/>
          <w:szCs w:val="18"/>
          <w:color w:val="auto"/>
        </w:rPr>
        <w:t>asserted that it is unlawful, for any Lender or its applicable Lending Office to make, maintain or fund Loans whose interest is determined by reference to the Eurocurrency Rate (whether such Loans are denominated in Dollars or an Alternative Currency), or to determine or charge interest rates based upon the Eurocurrency Rate (including in regards to the Base Rate), or any Governmental Authority has imposed material restrictions on the authority of such Lender to purchase or sell, or to take deposits of, Dollars or any Alternative Currency in the applicable interbank market, then, on notice thereof by such Lender to Toro through the Administrative Agent, (i) any obligation of such Lender to make or continue Eurocurrency Rate Loans in the affected currency or currencies or, in the case of Eurocurrency Rate Loans in Dollars, to convert Base Rate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4" w:name="page85"/>
    <w:bookmarkEnd w:id="84"/>
    <w:p>
      <w:pPr>
        <w:jc w:val="both"/>
        <w:spacing w:after="0" w:line="271" w:lineRule="auto"/>
        <w:rPr>
          <w:sz w:val="20"/>
          <w:szCs w:val="20"/>
          <w:color w:val="auto"/>
        </w:rPr>
      </w:pPr>
      <w:r>
        <w:rPr>
          <w:rFonts w:ascii="Arial" w:cs="Arial" w:eastAsia="Arial" w:hAnsi="Arial"/>
          <w:sz w:val="18"/>
          <w:szCs w:val="18"/>
          <w:color w:val="auto"/>
        </w:rPr>
        <w:t>until such Lender notifies the Administrative Agent and Toro that the circumstances giving rise to such determination no longer exist. Upon receipt of such notice, (x) the Borrowers shall, upon demand from such Lender (with a copy to the Administrative Agent), prepay or, if applicable and such Loans are denominated in Dollars, convert all such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16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3.03</w:t>
      </w:r>
      <w:r>
        <w:rPr>
          <w:sz w:val="20"/>
          <w:szCs w:val="20"/>
          <w:color w:val="auto"/>
        </w:rPr>
        <w:tab/>
      </w:r>
      <w:r>
        <w:rPr>
          <w:rFonts w:ascii="Arial" w:cs="Arial" w:eastAsia="Arial" w:hAnsi="Arial"/>
          <w:sz w:val="18"/>
          <w:szCs w:val="18"/>
          <w:b w:val="1"/>
          <w:bCs w:val="1"/>
          <w:color w:val="auto"/>
        </w:rPr>
        <w:t>Inability to Determine Rates</w:t>
      </w:r>
      <w:r>
        <w:rPr>
          <w:rFonts w:ascii="Arial" w:cs="Arial" w:eastAsia="Arial" w:hAnsi="Arial"/>
          <w:sz w:val="19"/>
          <w:szCs w:val="19"/>
          <w:color w:val="auto"/>
        </w:rPr>
        <w:t>.</w:t>
      </w:r>
    </w:p>
    <w:p>
      <w:pPr>
        <w:spacing w:after="0" w:line="234" w:lineRule="exact"/>
        <w:rPr>
          <w:sz w:val="20"/>
          <w:szCs w:val="20"/>
          <w:color w:val="auto"/>
        </w:rPr>
      </w:pPr>
    </w:p>
    <w:p>
      <w:pPr>
        <w:jc w:val="both"/>
        <w:ind w:firstLine="872"/>
        <w:spacing w:after="0" w:line="269" w:lineRule="auto"/>
        <w:tabs>
          <w:tab w:leader="none" w:pos="1731"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 xml:space="preserve">. If in connection with any request for a Eurocurrency Rate Loan denominated in Dollars or a conversion to or continuation thereof, (i) the Administrative Agent determines that (A) Dollar deposits are not being offered to banks in the London interbank eurodollar market for the applicable amount and Interest Period of such Eurocurrency Rate Loan, or (B) adequate and reasonable means do not exist for determining the Eurocurrency Rate for any requested Interest Period with respect to a proposed Eurocurrency Rate Loan or in connection with an existing or proposed Base Rate Loan (in each case with respect to this </w:t>
      </w:r>
      <w:r>
        <w:rPr>
          <w:rFonts w:ascii="Arial" w:cs="Arial" w:eastAsia="Arial" w:hAnsi="Arial"/>
          <w:sz w:val="18"/>
          <w:szCs w:val="18"/>
          <w:u w:val="single" w:color="auto"/>
          <w:color w:val="auto"/>
        </w:rPr>
        <w:t>clause (i)</w:t>
      </w:r>
      <w:r>
        <w:rPr>
          <w:rFonts w:ascii="Arial" w:cs="Arial" w:eastAsia="Arial" w:hAnsi="Arial"/>
          <w:sz w:val="18"/>
          <w:szCs w:val="18"/>
          <w:color w:val="auto"/>
        </w:rPr>
        <w:t>, “</w:t>
      </w:r>
      <w:r>
        <w:rPr>
          <w:rFonts w:ascii="Arial" w:cs="Arial" w:eastAsia="Arial" w:hAnsi="Arial"/>
          <w:sz w:val="18"/>
          <w:szCs w:val="18"/>
          <w:u w:val="single" w:color="auto"/>
          <w:color w:val="auto"/>
        </w:rPr>
        <w:t>Impacted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or (ii) the Administrative Agent or the Required Lenders determine that for any reason the Eurocurrency Rate for any requested Interest Period with respect to a proposed Eurocurrency Rate Loan does not adequately and fairly reflect the cost to such Lenders of funding such Eurocurrency Rate Loan, the Administrative Agent will promptly so notify Toro and each Lender. Thereafter, (x) the obligation of the Lenders to make or maintain Eurocurrency Rate Loans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Toro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in the amount specified therein.</w:t>
      </w:r>
    </w:p>
    <w:p>
      <w:pPr>
        <w:spacing w:after="0" w:line="178" w:lineRule="exact"/>
        <w:rPr>
          <w:rFonts w:ascii="Arial" w:cs="Arial" w:eastAsia="Arial" w:hAnsi="Arial"/>
          <w:sz w:val="18"/>
          <w:szCs w:val="18"/>
          <w:color w:val="auto"/>
        </w:rPr>
      </w:pPr>
    </w:p>
    <w:p>
      <w:pPr>
        <w:jc w:val="both"/>
        <w:ind w:firstLine="872"/>
        <w:spacing w:after="0" w:line="255" w:lineRule="auto"/>
        <w:tabs>
          <w:tab w:leader="none" w:pos="174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the Administrative Agent has made the determination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3.03(a)</w:t>
      </w:r>
      <w:r>
        <w:rPr>
          <w:rFonts w:ascii="Arial" w:cs="Arial" w:eastAsia="Arial" w:hAnsi="Arial"/>
          <w:sz w:val="19"/>
          <w:szCs w:val="19"/>
          <w:color w:val="auto"/>
        </w:rPr>
        <w:t xml:space="preserve">, the Administrative Agent, in consultation with Toro,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3.03(a)</w:t>
      </w:r>
      <w:r>
        <w:rPr>
          <w:rFonts w:ascii="Arial" w:cs="Arial" w:eastAsia="Arial" w:hAnsi="Arial"/>
          <w:sz w:val="19"/>
          <w:szCs w:val="19"/>
          <w:color w:val="auto"/>
        </w:rPr>
        <w:t>, (ii) the Required Lenders notify the Administrative Agent and Toro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Toro written notice thereof. The Administrative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5" w:name="page86"/>
    <w:bookmarkEnd w:id="85"/>
    <w:p>
      <w:pPr>
        <w:spacing w:after="0" w:line="260" w:lineRule="auto"/>
        <w:rPr>
          <w:sz w:val="20"/>
          <w:szCs w:val="20"/>
          <w:color w:val="auto"/>
        </w:rPr>
      </w:pPr>
      <w:r>
        <w:rPr>
          <w:rFonts w:ascii="Arial" w:cs="Arial" w:eastAsia="Arial" w:hAnsi="Arial"/>
          <w:sz w:val="20"/>
          <w:szCs w:val="20"/>
          <w:color w:val="auto"/>
        </w:rPr>
        <w:t>Agent will promptly (in one or more notices) notify the Borrower and each Lender of the establishment of an alternative interest rate pursuant to this clause (b).</w:t>
      </w:r>
    </w:p>
    <w:p>
      <w:pPr>
        <w:spacing w:after="0" w:line="177" w:lineRule="exact"/>
        <w:rPr>
          <w:sz w:val="20"/>
          <w:szCs w:val="20"/>
          <w:color w:val="auto"/>
        </w:rPr>
      </w:pPr>
    </w:p>
    <w:p>
      <w:pPr>
        <w:ind w:firstLine="872"/>
        <w:spacing w:after="0" w:line="260" w:lineRule="auto"/>
        <w:tabs>
          <w:tab w:leader="none" w:pos="173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Documents, in connection with Eurocurrency Rate Loans denominated in Dollars:</w:t>
      </w:r>
    </w:p>
    <w:p>
      <w:pPr>
        <w:spacing w:after="0" w:line="176" w:lineRule="exact"/>
        <w:rPr>
          <w:rFonts w:ascii="Arial" w:cs="Arial" w:eastAsia="Arial" w:hAnsi="Arial"/>
          <w:sz w:val="20"/>
          <w:szCs w:val="20"/>
          <w:color w:val="auto"/>
        </w:rPr>
      </w:pPr>
    </w:p>
    <w:p>
      <w:pPr>
        <w:jc w:val="both"/>
        <w:ind w:left="880" w:firstLine="789"/>
        <w:spacing w:after="0" w:line="255" w:lineRule="auto"/>
        <w:tabs>
          <w:tab w:leader="none" w:pos="251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On March 5, 2021 the Financial Conduct Authority (“</w:t>
      </w:r>
      <w:r>
        <w:rPr>
          <w:rFonts w:ascii="Arial" w:cs="Arial" w:eastAsia="Arial" w:hAnsi="Arial"/>
          <w:sz w:val="19"/>
          <w:szCs w:val="19"/>
          <w:u w:val="single" w:color="auto"/>
          <w:color w:val="auto"/>
        </w:rPr>
        <w:t>FCA</w:t>
      </w:r>
      <w:r>
        <w:rPr>
          <w:rFonts w:ascii="Arial" w:cs="Arial" w:eastAsia="Arial" w:hAnsi="Arial"/>
          <w:sz w:val="19"/>
          <w:szCs w:val="19"/>
          <w:color w:val="auto"/>
        </w:rPr>
        <w:t>”), the regulatory supervisor of LIBOR’s administrator (“</w:t>
      </w:r>
      <w:r>
        <w:rPr>
          <w:rFonts w:ascii="Arial" w:cs="Arial" w:eastAsia="Arial" w:hAnsi="Arial"/>
          <w:sz w:val="19"/>
          <w:szCs w:val="19"/>
          <w:u w:val="single" w:color="auto"/>
          <w:color w:val="auto"/>
        </w:rPr>
        <w:t>IBA</w:t>
      </w:r>
      <w:r>
        <w:rPr>
          <w:rFonts w:ascii="Arial" w:cs="Arial" w:eastAsia="Arial" w:hAnsi="Arial"/>
          <w:sz w:val="19"/>
          <w:szCs w:val="19"/>
          <w:color w:val="auto"/>
        </w:rPr>
        <w:t>”), announced in a public statement the future cessation or loss of representativeness of overnight/Spot Next, 1-week, 1-month, 2-month, 3-month, 6-month and 12-month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189" w:lineRule="exact"/>
        <w:rPr>
          <w:rFonts w:ascii="Arial" w:cs="Arial" w:eastAsia="Arial" w:hAnsi="Arial"/>
          <w:sz w:val="19"/>
          <w:szCs w:val="19"/>
          <w:color w:val="auto"/>
        </w:rPr>
      </w:pPr>
    </w:p>
    <w:p>
      <w:pPr>
        <w:jc w:val="both"/>
        <w:ind w:left="1740" w:hanging="5"/>
        <w:spacing w:after="0" w:line="270" w:lineRule="auto"/>
        <w:tabs>
          <w:tab w:leader="none" w:pos="2629" w:val="left"/>
        </w:tabs>
        <w:numPr>
          <w:ilvl w:val="2"/>
          <w:numId w:val="108"/>
        </w:numPr>
        <w:rPr>
          <w:rFonts w:ascii="Arial" w:cs="Arial" w:eastAsia="Arial" w:hAnsi="Arial"/>
          <w:sz w:val="18"/>
          <w:szCs w:val="18"/>
          <w:color w:val="auto"/>
        </w:rPr>
      </w:pPr>
      <w:r>
        <w:rPr>
          <w:rFonts w:ascii="Arial" w:cs="Arial" w:eastAsia="Arial" w:hAnsi="Arial"/>
          <w:sz w:val="18"/>
          <w:szCs w:val="18"/>
          <w:color w:val="auto"/>
        </w:rPr>
        <w:t xml:space="preserve">(x) Upon (A) the occurrence of a Benchmark Transition Event or (B) a determination by the Administrative Agent that neither of the alternatives under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and Toro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solely in the event of the occurrence of a Benchmark Transition Event as contemplated by the preceding </w:t>
      </w:r>
      <w:r>
        <w:rPr>
          <w:rFonts w:ascii="Arial" w:cs="Arial" w:eastAsia="Arial" w:hAnsi="Arial"/>
          <w:sz w:val="18"/>
          <w:szCs w:val="18"/>
          <w:u w:val="single" w:color="auto"/>
          <w:color w:val="auto"/>
        </w:rPr>
        <w:t>subclause (x)(A)</w:t>
      </w:r>
      <w:r>
        <w:rPr>
          <w:rFonts w:ascii="Arial" w:cs="Arial" w:eastAsia="Arial" w:hAnsi="Arial"/>
          <w:sz w:val="18"/>
          <w:szCs w:val="18"/>
          <w:color w:val="auto"/>
        </w:rPr>
        <w:t xml:space="preserve"> that the then-current Benchmark at the time of such Benchmark Transition Event is not a SOFR-based rate, the Benchmark Replacement therefor shall be determined in accordance with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the definition of Benchmark Replacement unless the Administrative Agent determines that neither of such alternative rates is available.</w:t>
      </w:r>
    </w:p>
    <w:p>
      <w:pPr>
        <w:spacing w:after="0" w:line="172" w:lineRule="exact"/>
        <w:rPr>
          <w:rFonts w:ascii="Arial" w:cs="Arial" w:eastAsia="Arial" w:hAnsi="Arial"/>
          <w:sz w:val="18"/>
          <w:szCs w:val="18"/>
          <w:color w:val="auto"/>
        </w:rPr>
      </w:pPr>
    </w:p>
    <w:p>
      <w:pPr>
        <w:jc w:val="both"/>
        <w:ind w:left="1740" w:firstLine="726"/>
        <w:spacing w:after="0" w:line="244" w:lineRule="auto"/>
        <w:tabs>
          <w:tab w:leader="none" w:pos="3349" w:val="left"/>
        </w:tabs>
        <w:numPr>
          <w:ilvl w:val="3"/>
          <w:numId w:val="108"/>
        </w:numPr>
        <w:rPr>
          <w:rFonts w:ascii="Arial" w:cs="Arial" w:eastAsia="Arial" w:hAnsi="Arial"/>
          <w:sz w:val="20"/>
          <w:szCs w:val="20"/>
          <w:color w:val="auto"/>
        </w:rPr>
      </w:pPr>
      <w:r>
        <w:rPr>
          <w:rFonts w:ascii="Arial" w:cs="Arial" w:eastAsia="Arial" w:hAnsi="Arial"/>
          <w:sz w:val="20"/>
          <w:szCs w:val="20"/>
          <w:color w:val="auto"/>
        </w:rPr>
        <w:t>If the Administrative Agent and Toro select an Other Rate Early Opt-In, then, 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94" w:lineRule="exact"/>
        <w:rPr>
          <w:sz w:val="20"/>
          <w:szCs w:val="20"/>
          <w:color w:val="auto"/>
        </w:rPr>
      </w:pPr>
    </w:p>
    <w:p>
      <w:pPr>
        <w:jc w:val="both"/>
        <w:ind w:left="880" w:firstLine="789"/>
        <w:spacing w:after="0" w:line="260" w:lineRule="auto"/>
        <w:tabs>
          <w:tab w:leader="none" w:pos="262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Borrowers may revoke any request for a borrowing of, conversion to or continuation of Loans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6" w:name="page87"/>
    <w:bookmarkEnd w:id="86"/>
    <w:p>
      <w:pPr>
        <w:jc w:val="both"/>
        <w:ind w:left="880"/>
        <w:spacing w:after="0" w:line="244" w:lineRule="auto"/>
        <w:rPr>
          <w:sz w:val="20"/>
          <w:szCs w:val="20"/>
          <w:color w:val="auto"/>
        </w:rPr>
      </w:pPr>
      <w:r>
        <w:rPr>
          <w:rFonts w:ascii="Arial" w:cs="Arial" w:eastAsia="Arial" w:hAnsi="Arial"/>
          <w:sz w:val="20"/>
          <w:szCs w:val="20"/>
          <w:color w:val="auto"/>
        </w:rPr>
        <w:t>to be made, converted or continued that would bear interest by reference to such Benchmark until Toro’s receipt of notice from the Administrative Agent that a Benchmark Replacement has replaced such Benchmark, and, failing that, the Borrowers will be deemed to have converted any such request into a request for a borrowing of or conversion to Base Rate Loans. During the period referenced in the foregoing sentence, the component of Base Rate based upon the Benchmark will not be used in any determination of the Base Rate.</w:t>
      </w:r>
    </w:p>
    <w:p>
      <w:pPr>
        <w:spacing w:after="0" w:line="194" w:lineRule="exact"/>
        <w:rPr>
          <w:sz w:val="20"/>
          <w:szCs w:val="20"/>
          <w:color w:val="auto"/>
        </w:rPr>
      </w:pPr>
    </w:p>
    <w:p>
      <w:pPr>
        <w:jc w:val="both"/>
        <w:ind w:left="880" w:firstLine="789"/>
        <w:spacing w:after="0" w:line="282" w:lineRule="auto"/>
        <w:tabs>
          <w:tab w:leader="none" w:pos="26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61" w:lineRule="exact"/>
        <w:rPr>
          <w:rFonts w:ascii="Arial" w:cs="Arial" w:eastAsia="Arial" w:hAnsi="Arial"/>
          <w:sz w:val="18"/>
          <w:szCs w:val="18"/>
          <w:color w:val="auto"/>
        </w:rPr>
      </w:pPr>
    </w:p>
    <w:p>
      <w:pPr>
        <w:jc w:val="both"/>
        <w:ind w:left="880" w:firstLine="789"/>
        <w:spacing w:after="0" w:line="243" w:lineRule="auto"/>
        <w:tabs>
          <w:tab w:leader="none" w:pos="2556" w:val="left"/>
        </w:tabs>
        <w:numPr>
          <w:ilvl w:val="1"/>
          <w:numId w:val="110"/>
        </w:numPr>
        <w:rPr>
          <w:rFonts w:ascii="Arial" w:cs="Arial" w:eastAsia="Arial" w:hAnsi="Arial"/>
          <w:sz w:val="20"/>
          <w:szCs w:val="20"/>
          <w:color w:val="auto"/>
        </w:rPr>
      </w:pPr>
      <w:r>
        <w:rPr>
          <w:rFonts w:ascii="Arial" w:cs="Arial" w:eastAsia="Arial" w:hAnsi="Arial"/>
          <w:sz w:val="20"/>
          <w:szCs w:val="20"/>
          <w:color w:val="auto"/>
        </w:rPr>
        <w:t xml:space="preserve">The Administrative Agent will promptly notify Toro and the Lenders of (A) the implementation of any Benchmark Replacement and (B) the effectiveness of any Benchmark Replacement Conforming Changes. Any determination, decision or election that may be made by the Administrative Agent pursuant to this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3.03(c)</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left="880" w:firstLine="789"/>
        <w:spacing w:after="0" w:line="244" w:lineRule="auto"/>
        <w:tabs>
          <w:tab w:leader="none" w:pos="2611"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94" w:lineRule="exact"/>
        <w:rPr>
          <w:rFonts w:ascii="Arial" w:cs="Arial" w:eastAsia="Arial" w:hAnsi="Arial"/>
          <w:sz w:val="20"/>
          <w:szCs w:val="20"/>
          <w:color w:val="auto"/>
        </w:rPr>
      </w:pPr>
    </w:p>
    <w:p>
      <w:pPr>
        <w:jc w:val="both"/>
        <w:ind w:firstLine="872"/>
        <w:spacing w:after="0" w:line="272" w:lineRule="auto"/>
        <w:tabs>
          <w:tab w:leader="none" w:pos="174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If in connection with any request for an Alternative Currency Loan or a continuation of any of such Loans, as applicable, (i) the Administrative Agent determines (which determination shall be conclusive absent manifest error) that (A) no Successor Rate for the Relevant Rate for the applicable Alternative Currency has been determined in accordance with </w:t>
      </w:r>
      <w:r>
        <w:rPr>
          <w:rFonts w:ascii="Arial" w:cs="Arial" w:eastAsia="Arial" w:hAnsi="Arial"/>
          <w:sz w:val="18"/>
          <w:szCs w:val="18"/>
          <w:u w:val="single" w:color="auto"/>
          <w:color w:val="auto"/>
        </w:rPr>
        <w:t>Section 3.03(e)</w:t>
      </w:r>
      <w:r>
        <w:rPr>
          <w:rFonts w:ascii="Arial" w:cs="Arial" w:eastAsia="Arial" w:hAnsi="Arial"/>
          <w:sz w:val="18"/>
          <w:szCs w:val="18"/>
          <w:color w:val="auto"/>
        </w:rPr>
        <w:t xml:space="preserve"> and the circumstances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3.03(e)</w:t>
      </w:r>
      <w:r>
        <w:rPr>
          <w:rFonts w:ascii="Arial" w:cs="Arial" w:eastAsia="Arial" w:hAnsi="Arial"/>
          <w:sz w:val="18"/>
          <w:szCs w:val="18"/>
          <w:color w:val="auto"/>
        </w:rPr>
        <w:t xml:space="preserve"> or the Scheduled Unavailability Date has occurred with respect to such Relevant Rate (as applicable), or (B) adequate and reasonable means do not otherwise exist for determining the Relevant Rate for the applicable Alternative Currency for any determination date(s) or requested Interest Period, as applicable, with respect to an Alternative Currency Loan, or (ii) the Administrative Agent or the Required Lenders determine that for any reason the Relevant Rate with respect to a proposed Loan denominated in an Alternative Currency for any requested Interest Period or determination date(s) does not adequately and fairly reflect the cost to such Lenders of funding such Loan, the Administrative Agent will promptly so notify Toro and each Lender.</w:t>
      </w:r>
    </w:p>
    <w:p>
      <w:pPr>
        <w:spacing w:after="0" w:line="17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Thereafter, the obligation of the Lenders to make or maintain Loans in the affected currencies, as applicable, shall be suspended in each case to the extent of the affected Alternative Currency Loans or Interest Period or determination date(s), as applicable, until the Administrative Agent (or, in the case of a determination by the Required Lenders described in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3.03(d)</w:t>
      </w:r>
      <w:r>
        <w:rPr>
          <w:rFonts w:ascii="Arial" w:cs="Arial" w:eastAsia="Arial" w:hAnsi="Arial"/>
          <w:sz w:val="20"/>
          <w:szCs w:val="20"/>
          <w:color w:val="auto"/>
        </w:rPr>
        <w:t>, until the Required Lenders) revokes such notice.</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Upon receipt of such notice, (i) the Borrowers may revoke any pending request for a Borrowing of, or continuation of, Alternative Currency Loans to the extent of the affected Alternative Currency Loans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7" w:name="page88"/>
    <w:bookmarkEnd w:id="87"/>
    <w:p>
      <w:pPr>
        <w:jc w:val="both"/>
        <w:spacing w:after="0" w:line="255" w:lineRule="auto"/>
        <w:rPr>
          <w:sz w:val="20"/>
          <w:szCs w:val="20"/>
          <w:color w:val="auto"/>
        </w:rPr>
      </w:pPr>
      <w:r>
        <w:rPr>
          <w:rFonts w:ascii="Arial" w:cs="Arial" w:eastAsia="Arial" w:hAnsi="Arial"/>
          <w:sz w:val="19"/>
          <w:szCs w:val="19"/>
          <w:color w:val="auto"/>
        </w:rPr>
        <w:t xml:space="preserve">Interest Period or determination date(s), as applicable or, failing that, will be deemed to have converted such request into a request for a Borrowing of Base Rate Loans denominated in Dollars in the Dollar Equivalent of the amount specified therein and (ii) any outstanding affected Alternative Currency Loans, at Toro’s election, shall either (1) be converted into a Borrowing of Base Rate Loans denominated in Dollars in the Dollar Equivalent of the amount of such outstanding Alternative Currency Loan immediately upon such election (or deemed election pursuant to the proviso below), in the case of an Alternative Currency Daily Rate Loan, or at the end of the applicable Interest Period, in the case of an Alternative Currency Term Rate Loan, or (2) be prepaid in full immediately upon such election (or deemed election pursuant to the proviso below), in the case of an Alternative Currency Daily Rate Loan, or at the end of the applicable Interest Period, in the case of an Alternative Currency Term Rate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election is made by Toro (x) in the case of an Alternative Currency Daily Rate Loan, by the date that is three Business Days after receipt by Toro of such notice or (y) in the case of an Alternative Currency Term Rate Loan, by the last day of the current Interest Period for the applicable Alternative Currency Term Rate Loan, Toro shall be deemed to have elected </w:t>
      </w:r>
      <w:r>
        <w:rPr>
          <w:rFonts w:ascii="Arial" w:cs="Arial" w:eastAsia="Arial" w:hAnsi="Arial"/>
          <w:sz w:val="19"/>
          <w:szCs w:val="19"/>
          <w:u w:val="single" w:color="auto"/>
          <w:color w:val="auto"/>
        </w:rPr>
        <w:t>clause (1)</w:t>
      </w:r>
      <w:r>
        <w:rPr>
          <w:rFonts w:ascii="Arial" w:cs="Arial" w:eastAsia="Arial" w:hAnsi="Arial"/>
          <w:sz w:val="19"/>
          <w:szCs w:val="19"/>
          <w:color w:val="auto"/>
        </w:rPr>
        <w:t xml:space="preserve"> above.</w:t>
      </w:r>
    </w:p>
    <w:p>
      <w:pPr>
        <w:spacing w:after="0" w:line="187" w:lineRule="exact"/>
        <w:rPr>
          <w:sz w:val="20"/>
          <w:szCs w:val="20"/>
          <w:color w:val="auto"/>
        </w:rPr>
      </w:pPr>
    </w:p>
    <w:p>
      <w:pPr>
        <w:jc w:val="both"/>
        <w:ind w:firstLine="872"/>
        <w:spacing w:after="0" w:line="246" w:lineRule="auto"/>
        <w:tabs>
          <w:tab w:leader="none" w:pos="173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Documents, in connection with any Alternative Currency Loans, if the Administrative Agent determines (which determination shall be conclusive absent manifest error), or Toro or the Required Lenders notify the Administrative Agent (with, in the case of the Required Lenders, a copy to Toro) that Toro or the Required Lenders (as applicable) have determined, that:</w:t>
      </w:r>
    </w:p>
    <w:p>
      <w:pPr>
        <w:spacing w:after="0" w:line="191" w:lineRule="exact"/>
        <w:rPr>
          <w:rFonts w:ascii="Arial" w:cs="Arial" w:eastAsia="Arial" w:hAnsi="Arial"/>
          <w:sz w:val="20"/>
          <w:szCs w:val="20"/>
          <w:color w:val="auto"/>
        </w:rPr>
      </w:pPr>
    </w:p>
    <w:p>
      <w:pPr>
        <w:jc w:val="both"/>
        <w:ind w:left="880" w:firstLine="789"/>
        <w:spacing w:after="0" w:line="250" w:lineRule="auto"/>
        <w:tabs>
          <w:tab w:leader="none" w:pos="2512" w:val="left"/>
        </w:tabs>
        <w:numPr>
          <w:ilvl w:val="1"/>
          <w:numId w:val="112"/>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the Relevant Rate for an Alternative Currency because none of the tenors of such Relevant Rate (including any daily or forward-looking term rate thereof) is available or published on a current basis and such circumstances are unlikely to be temporary; or</w:t>
      </w:r>
    </w:p>
    <w:p>
      <w:pPr>
        <w:spacing w:after="0" w:line="185" w:lineRule="exact"/>
        <w:rPr>
          <w:rFonts w:ascii="Arial" w:cs="Arial" w:eastAsia="Arial" w:hAnsi="Arial"/>
          <w:sz w:val="20"/>
          <w:szCs w:val="20"/>
          <w:color w:val="auto"/>
        </w:rPr>
      </w:pPr>
    </w:p>
    <w:p>
      <w:pPr>
        <w:jc w:val="both"/>
        <w:ind w:left="880" w:firstLine="789"/>
        <w:spacing w:after="0" w:line="242" w:lineRule="auto"/>
        <w:tabs>
          <w:tab w:leader="none" w:pos="2007" w:val="left"/>
        </w:tabs>
        <w:numPr>
          <w:ilvl w:val="1"/>
          <w:numId w:val="112"/>
        </w:numPr>
        <w:rPr>
          <w:rFonts w:ascii="Arial" w:cs="Arial" w:eastAsia="Arial" w:hAnsi="Arial"/>
          <w:sz w:val="20"/>
          <w:szCs w:val="20"/>
          <w:color w:val="auto"/>
        </w:rPr>
      </w:pPr>
      <w:r>
        <w:rPr>
          <w:rFonts w:ascii="Arial" w:cs="Arial" w:eastAsia="Arial" w:hAnsi="Arial"/>
          <w:sz w:val="20"/>
          <w:szCs w:val="20"/>
          <w:color w:val="auto"/>
        </w:rPr>
        <w:t xml:space="preserve">the Applicable Authority has made a public statement identifying a specific date after which all tenors of the Relevant Rate for an Alternative Currency (including any daily or forward-looking term rate thereof) shall or will no longer be representative or made available, or used for determining the interest rate of loans denominated in such Alternative Currency, or shall or will otherwise cease,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daily or forward-looking term rate thereof) are no longer representative or available permanently or indefinitely, the “</w:t>
      </w:r>
      <w:r>
        <w:rPr>
          <w:rFonts w:ascii="Arial" w:cs="Arial" w:eastAsia="Arial" w:hAnsi="Arial"/>
          <w:sz w:val="20"/>
          <w:szCs w:val="20"/>
          <w:u w:val="single" w:color="auto"/>
          <w:color w:val="auto"/>
        </w:rPr>
        <w:t>Scheduled</w:t>
      </w:r>
      <w:r>
        <w:rPr>
          <w:rFonts w:ascii="Arial" w:cs="Arial" w:eastAsia="Arial" w:hAnsi="Arial"/>
          <w:sz w:val="20"/>
          <w:szCs w:val="20"/>
          <w:color w:val="auto"/>
        </w:rPr>
        <w:t xml:space="preserve"> </w:t>
      </w:r>
      <w:r>
        <w:rPr>
          <w:rFonts w:ascii="Arial" w:cs="Arial" w:eastAsia="Arial" w:hAnsi="Arial"/>
          <w:sz w:val="20"/>
          <w:szCs w:val="20"/>
          <w:u w:val="single" w:color="auto"/>
          <w:color w:val="auto"/>
        </w:rPr>
        <w:t>Unavailability Date</w:t>
      </w:r>
      <w:r>
        <w:rPr>
          <w:rFonts w:ascii="Arial" w:cs="Arial" w:eastAsia="Arial" w:hAnsi="Arial"/>
          <w:sz w:val="20"/>
          <w:szCs w:val="20"/>
          <w:color w:val="auto"/>
        </w:rPr>
        <w:t>”); or</w:t>
      </w:r>
    </w:p>
    <w:p>
      <w:pPr>
        <w:spacing w:after="0" w:line="196" w:lineRule="exact"/>
        <w:rPr>
          <w:rFonts w:ascii="Arial" w:cs="Arial" w:eastAsia="Arial" w:hAnsi="Arial"/>
          <w:sz w:val="20"/>
          <w:szCs w:val="20"/>
          <w:color w:val="auto"/>
        </w:rPr>
      </w:pPr>
    </w:p>
    <w:p>
      <w:pPr>
        <w:ind w:left="880" w:firstLine="789"/>
        <w:spacing w:after="0" w:line="316" w:lineRule="auto"/>
        <w:tabs>
          <w:tab w:leader="none" w:pos="262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syndicated loans currently being executed and agented in the U.S., are being executed or amended (as applicable) to incorporate or adopt a new benchmark interest rate to replace the Relevant Rate for an Alternative Currency;</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or if the events or circumstances of the type described in </w:t>
      </w:r>
      <w:r>
        <w:rPr>
          <w:rFonts w:ascii="Arial" w:cs="Arial" w:eastAsia="Arial" w:hAnsi="Arial"/>
          <w:sz w:val="19"/>
          <w:szCs w:val="19"/>
          <w:u w:val="single" w:color="auto"/>
          <w:color w:val="auto"/>
        </w:rPr>
        <w:t>Section 3.03(e)(i)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have occurred with respect to the Successor Rate then in effect, then, the Administrative Agent and Toro may amend this Agreement solely for the purpose of replacing the Relevant Rate for an Alternative Currency or any then-current Successor Rate for an Alternative Currency in accordance with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which adjustment or method for calculating such adjustment shall be published on an information service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8" w:name="page89"/>
    <w:bookmarkEnd w:id="88"/>
    <w:p>
      <w:pPr>
        <w:jc w:val="both"/>
        <w:spacing w:after="0" w:line="244" w:lineRule="auto"/>
        <w:rPr>
          <w:sz w:val="20"/>
          <w:szCs w:val="20"/>
          <w:color w:val="auto"/>
        </w:rPr>
      </w:pPr>
      <w:r>
        <w:rPr>
          <w:rFonts w:ascii="Arial" w:cs="Arial" w:eastAsia="Arial" w:hAnsi="Arial"/>
          <w:sz w:val="20"/>
          <w:szCs w:val="20"/>
          <w:color w:val="auto"/>
        </w:rPr>
        <w:t>as selected by the Administrative Agent from time to time in its reasonable discretion and may be periodically updated (and any such proposed rate, including for the avoidance of doubt, any adjustment thereto, a “</w:t>
      </w:r>
      <w:r>
        <w:rPr>
          <w:rFonts w:ascii="Arial" w:cs="Arial" w:eastAsia="Arial" w:hAnsi="Arial"/>
          <w:sz w:val="20"/>
          <w:szCs w:val="20"/>
          <w:u w:val="single" w:color="auto"/>
          <w:color w:val="auto"/>
        </w:rPr>
        <w:t>Successor Rate</w:t>
      </w:r>
      <w:r>
        <w:rPr>
          <w:rFonts w:ascii="Arial" w:cs="Arial" w:eastAsia="Arial" w:hAnsi="Arial"/>
          <w:sz w:val="20"/>
          <w:szCs w:val="20"/>
          <w:color w:val="auto"/>
        </w:rPr>
        <w:t>”), and any such amendment shall become effective at 5:00 p.m. on the fifth Business Day after the Administrative Agent shall have posted such proposed amendment to all Lenders and Toro unless, prior to such time, Lenders comprising the Required Lenders have delivered to the Administrative Agent written notice that such Required Lenders object to such amendment.</w:t>
      </w:r>
    </w:p>
    <w:p>
      <w:pPr>
        <w:spacing w:after="0" w:line="1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The Administrative Agent will promptly (in one or more notices) notify Toro and each Lender of the implementation of any Successor Rate.</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Any Successor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86" w:lineRule="exact"/>
        <w:rPr>
          <w:sz w:val="20"/>
          <w:szCs w:val="20"/>
          <w:color w:val="auto"/>
        </w:rPr>
      </w:pPr>
    </w:p>
    <w:p>
      <w:pPr>
        <w:jc w:val="both"/>
        <w:ind w:right="20" w:firstLine="864"/>
        <w:spacing w:after="0" w:line="316" w:lineRule="auto"/>
        <w:rPr>
          <w:sz w:val="20"/>
          <w:szCs w:val="20"/>
          <w:color w:val="auto"/>
        </w:rPr>
      </w:pPr>
      <w:r>
        <w:rPr>
          <w:rFonts w:ascii="Arial" w:cs="Arial" w:eastAsia="Arial" w:hAnsi="Arial"/>
          <w:sz w:val="18"/>
          <w:szCs w:val="18"/>
          <w:color w:val="auto"/>
        </w:rPr>
        <w:t>Notwithstanding anything else herein, if at any time any Successor Rate as so determined would otherwise be less than zero percent, the Successor Rate will be deemed to be zero percent for the purposes of this Agreement and the other Loan Documents.</w:t>
      </w:r>
    </w:p>
    <w:p>
      <w:pPr>
        <w:spacing w:after="0" w:line="13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In connection with the implementation of a Successor Rate,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such amendment effected, the Administrative Agent shall post each such amendment implementing such Benchmark Replacement Conforming Changes to Toro and the Lenders reasonably promptly after such amendment becomes effective.</w:t>
      </w:r>
    </w:p>
    <w:p>
      <w:pPr>
        <w:spacing w:after="0" w:line="19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3.04</w:t>
      </w:r>
      <w:r>
        <w:rPr>
          <w:sz w:val="20"/>
          <w:szCs w:val="20"/>
          <w:color w:val="auto"/>
        </w:rPr>
        <w:tab/>
      </w:r>
      <w:r>
        <w:rPr>
          <w:rFonts w:ascii="Arial" w:cs="Arial" w:eastAsia="Arial" w:hAnsi="Arial"/>
          <w:sz w:val="17"/>
          <w:szCs w:val="17"/>
          <w:b w:val="1"/>
          <w:bCs w:val="1"/>
          <w:color w:val="auto"/>
        </w:rPr>
        <w:t>Increased Costs; Reserves on Eurocurrency Rate Loans</w:t>
      </w:r>
      <w:r>
        <w:rPr>
          <w:rFonts w:ascii="Arial" w:cs="Arial" w:eastAsia="Arial" w:hAnsi="Arial"/>
          <w:sz w:val="18"/>
          <w:szCs w:val="18"/>
          <w:color w:val="auto"/>
        </w:rPr>
        <w:t>.</w:t>
      </w:r>
    </w:p>
    <w:p>
      <w:pPr>
        <w:spacing w:after="0" w:line="234" w:lineRule="exact"/>
        <w:rPr>
          <w:sz w:val="20"/>
          <w:szCs w:val="20"/>
          <w:color w:val="auto"/>
        </w:rPr>
      </w:pPr>
    </w:p>
    <w:p>
      <w:pPr>
        <w:ind w:left="1740" w:hanging="868"/>
        <w:spacing w:after="0"/>
        <w:tabs>
          <w:tab w:leader="none" w:pos="1740"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880" w:firstLine="789"/>
        <w:spacing w:after="0" w:line="250" w:lineRule="auto"/>
        <w:tabs>
          <w:tab w:leader="none" w:pos="2512" w:val="left"/>
        </w:tabs>
        <w:numPr>
          <w:ilvl w:val="1"/>
          <w:numId w:val="113"/>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0"/>
          <w:szCs w:val="20"/>
          <w:u w:val="single" w:color="auto"/>
          <w:color w:val="auto"/>
        </w:rPr>
        <w:t>Section 3.04(e)</w:t>
      </w:r>
      <w:r>
        <w:rPr>
          <w:rFonts w:ascii="Arial" w:cs="Arial" w:eastAsia="Arial" w:hAnsi="Arial"/>
          <w:sz w:val="20"/>
          <w:szCs w:val="20"/>
          <w:color w:val="auto"/>
        </w:rPr>
        <w:t>) or the L/C Issuer;</w:t>
      </w:r>
    </w:p>
    <w:p>
      <w:pPr>
        <w:spacing w:after="0" w:line="185" w:lineRule="exact"/>
        <w:rPr>
          <w:rFonts w:ascii="Arial" w:cs="Arial" w:eastAsia="Arial" w:hAnsi="Arial"/>
          <w:sz w:val="20"/>
          <w:szCs w:val="20"/>
          <w:color w:val="auto"/>
        </w:rPr>
      </w:pPr>
    </w:p>
    <w:p>
      <w:pPr>
        <w:jc w:val="both"/>
        <w:ind w:left="880" w:firstLine="789"/>
        <w:spacing w:after="0" w:line="269" w:lineRule="auto"/>
        <w:tabs>
          <w:tab w:leader="none" w:pos="2567"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subject any Recipient to any Taxes (other than (A) Indemnified Taxes, (B) Taxes described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69" w:lineRule="exact"/>
        <w:rPr>
          <w:rFonts w:ascii="Arial" w:cs="Arial" w:eastAsia="Arial" w:hAnsi="Arial"/>
          <w:sz w:val="19"/>
          <w:szCs w:val="19"/>
          <w:color w:val="auto"/>
        </w:rPr>
      </w:pPr>
    </w:p>
    <w:p>
      <w:pPr>
        <w:ind w:left="880" w:firstLine="789"/>
        <w:spacing w:after="0" w:line="385" w:lineRule="auto"/>
        <w:tabs>
          <w:tab w:leader="none" w:pos="262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impose on any Lender or the L/C Issuer or the London interbank market any other condition, cost or expense affecting this Agreement or Eurocurrency Rate Loans made by such Lender or any Letter of Credit or participation therein;</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Toro will pay (or cause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9" w:name="page90"/>
    <w:bookmarkEnd w:id="89"/>
    <w:p>
      <w:pPr>
        <w:spacing w:after="0" w:line="287" w:lineRule="auto"/>
        <w:rPr>
          <w:sz w:val="20"/>
          <w:szCs w:val="20"/>
          <w:color w:val="auto"/>
        </w:rPr>
      </w:pPr>
      <w:r>
        <w:rPr>
          <w:rFonts w:ascii="Arial" w:cs="Arial" w:eastAsia="Arial" w:hAnsi="Arial"/>
          <w:sz w:val="19"/>
          <w:szCs w:val="19"/>
          <w:color w:val="auto"/>
        </w:rPr>
        <w:t>applicable Subsidiary Borrower to pay) to such Lender or the L/C Issuer, as the case may be, such additional amount or amounts as will compensate such Lender or the L/C Issuer, as the case may be, for such additional costs incurred or reduction suffered.</w:t>
      </w:r>
    </w:p>
    <w:p>
      <w:pPr>
        <w:spacing w:after="0" w:line="152" w:lineRule="exact"/>
        <w:rPr>
          <w:sz w:val="20"/>
          <w:szCs w:val="20"/>
          <w:color w:val="auto"/>
        </w:rPr>
      </w:pPr>
    </w:p>
    <w:p>
      <w:pPr>
        <w:jc w:val="both"/>
        <w:ind w:firstLine="872"/>
        <w:spacing w:after="0" w:line="271" w:lineRule="auto"/>
        <w:tabs>
          <w:tab w:leader="none" w:pos="1742"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Toro will pay (or cause the applicable Subsidiary Borrower to pay) to such Lender or the L/C Issuer, as the case may be, such additional amount or amounts as will compensate such Lender or the L/C Issuer or such Lender’s or the L/C Issuer’s holding company for any such reduction suffered.</w:t>
      </w:r>
    </w:p>
    <w:p>
      <w:pPr>
        <w:spacing w:after="0" w:line="173" w:lineRule="exact"/>
        <w:rPr>
          <w:rFonts w:ascii="Arial" w:cs="Arial" w:eastAsia="Arial" w:hAnsi="Arial"/>
          <w:sz w:val="18"/>
          <w:szCs w:val="18"/>
          <w:color w:val="auto"/>
        </w:rPr>
      </w:pPr>
    </w:p>
    <w:p>
      <w:pPr>
        <w:jc w:val="both"/>
        <w:ind w:firstLine="872"/>
        <w:spacing w:after="0" w:line="244" w:lineRule="auto"/>
        <w:tabs>
          <w:tab w:leader="none" w:pos="1731" w:val="left"/>
        </w:tabs>
        <w:numPr>
          <w:ilvl w:val="1"/>
          <w:numId w:val="114"/>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xml:space="preserve">. A certificate of a Lender or the L/C Issuer setting forth the amount or amounts necessary to compensate such Lender or the L/C Issuer or its holding company as the case may be, and setting forth the basis for the determination thereof, as specified in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and delivered to Toro shall be conclusive absent manifest error. Toro shall pay (or cause the applicable Subsidiary Borrower to pay) such Lender or the L/C Issuer, as the case may be, the amount shown as due on any such certificate within 30 days after receipt thereof.</w:t>
      </w:r>
    </w:p>
    <w:p>
      <w:pPr>
        <w:spacing w:after="0" w:line="194" w:lineRule="exact"/>
        <w:rPr>
          <w:rFonts w:ascii="Arial" w:cs="Arial" w:eastAsia="Arial" w:hAnsi="Arial"/>
          <w:sz w:val="20"/>
          <w:szCs w:val="20"/>
          <w:color w:val="auto"/>
        </w:rPr>
      </w:pPr>
    </w:p>
    <w:p>
      <w:pPr>
        <w:jc w:val="both"/>
        <w:ind w:firstLine="872"/>
        <w:spacing w:after="0" w:line="274" w:lineRule="auto"/>
        <w:tabs>
          <w:tab w:leader="none" w:pos="1742"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the L/C Issuer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or the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Borrower shall be required to compensate a Lender or the L/C Issuer pursuant to the foregoing provisions of this Section for any increased costs incurred or reductions suffered more than nine months prior to the date that such Lender or the L/C Issuer, as the case may be, notifies Toro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68" w:lineRule="exact"/>
        <w:rPr>
          <w:rFonts w:ascii="Arial" w:cs="Arial" w:eastAsia="Arial" w:hAnsi="Arial"/>
          <w:sz w:val="18"/>
          <w:szCs w:val="18"/>
          <w:color w:val="auto"/>
        </w:rPr>
      </w:pPr>
    </w:p>
    <w:p>
      <w:pPr>
        <w:ind w:left="1740" w:hanging="868"/>
        <w:spacing w:after="0"/>
        <w:tabs>
          <w:tab w:leader="none" w:pos="174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Additional Reserve Requirements</w:t>
      </w:r>
      <w:r>
        <w:rPr>
          <w:rFonts w:ascii="Arial" w:cs="Arial" w:eastAsia="Arial" w:hAnsi="Arial"/>
          <w:sz w:val="18"/>
          <w:szCs w:val="18"/>
          <w:color w:val="auto"/>
        </w:rPr>
        <w:t>. Toro shall pay (or cause the applicable Subsidiary Borrower to pay) to each Lender,</w:t>
      </w:r>
    </w:p>
    <w:p>
      <w:pPr>
        <w:spacing w:after="0" w:line="38" w:lineRule="exact"/>
        <w:rPr>
          <w:rFonts w:ascii="Arial" w:cs="Arial" w:eastAsia="Arial" w:hAnsi="Arial"/>
          <w:sz w:val="18"/>
          <w:szCs w:val="18"/>
          <w:color w:val="auto"/>
        </w:rPr>
      </w:pPr>
    </w:p>
    <w:p>
      <w:pPr>
        <w:jc w:val="both"/>
        <w:ind w:firstLine="8"/>
        <w:spacing w:after="0" w:line="269" w:lineRule="auto"/>
        <w:tabs>
          <w:tab w:leader="none" w:pos="2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Toro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0" w:name="page91"/>
    <w:bookmarkEnd w:id="90"/>
    <w:p>
      <w:pPr>
        <w:jc w:val="both"/>
        <w:ind w:firstLine="872"/>
        <w:spacing w:after="0" w:line="246" w:lineRule="auto"/>
        <w:tabs>
          <w:tab w:leader="none" w:pos="1709"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Consistent Treatment</w:t>
      </w:r>
      <w:r>
        <w:rPr>
          <w:rFonts w:ascii="Arial" w:cs="Arial" w:eastAsia="Arial" w:hAnsi="Arial"/>
          <w:sz w:val="20"/>
          <w:szCs w:val="20"/>
          <w:color w:val="auto"/>
        </w:rPr>
        <w:t xml:space="preserve">. Notwithstanding anything in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to the contrary, no Lender shall receive compensation pursuant to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unless such Lender certifies that it is generally seeking compensation from other borrowers in the United States loan market with respect to similarly affected loans under agreements with such borrowers having provisions similar to this </w:t>
      </w:r>
      <w:r>
        <w:rPr>
          <w:rFonts w:ascii="Arial" w:cs="Arial" w:eastAsia="Arial" w:hAnsi="Arial"/>
          <w:sz w:val="20"/>
          <w:szCs w:val="20"/>
          <w:u w:val="single" w:color="auto"/>
          <w:color w:val="auto"/>
        </w:rPr>
        <w:t>Section 3.04</w:t>
      </w:r>
      <w:r>
        <w:rPr>
          <w:rFonts w:ascii="Arial" w:cs="Arial" w:eastAsia="Arial" w:hAnsi="Arial"/>
          <w:sz w:val="20"/>
          <w:szCs w:val="20"/>
          <w:color w:val="auto"/>
        </w:rPr>
        <w:t>.</w:t>
      </w:r>
    </w:p>
    <w:p>
      <w:pPr>
        <w:spacing w:after="0" w:line="18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3.05 Compensation for Losses. </w:t>
      </w:r>
      <w:r>
        <w:rPr>
          <w:rFonts w:ascii="Arial" w:cs="Arial" w:eastAsia="Arial" w:hAnsi="Arial"/>
          <w:sz w:val="20"/>
          <w:szCs w:val="20"/>
          <w:color w:val="auto"/>
        </w:rPr>
        <w:t>Upon demand of any Lender (with a copy to the Administrative Agent) from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time, Toro shall promptly compensate (or cause the applicable Subsidiary Borrower to compensate) such Lender for and hold such Lender harmless from any loss, cost or expense incurred by it as a result of:</w:t>
      </w:r>
    </w:p>
    <w:p>
      <w:pPr>
        <w:spacing w:after="0" w:line="183" w:lineRule="exact"/>
        <w:rPr>
          <w:sz w:val="20"/>
          <w:szCs w:val="20"/>
          <w:color w:val="auto"/>
        </w:rPr>
      </w:pPr>
    </w:p>
    <w:p>
      <w:pPr>
        <w:ind w:firstLine="872"/>
        <w:spacing w:after="0" w:line="316" w:lineRule="auto"/>
        <w:tabs>
          <w:tab w:leader="none" w:pos="17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29" w:lineRule="exact"/>
        <w:rPr>
          <w:rFonts w:ascii="Arial" w:cs="Arial" w:eastAsia="Arial" w:hAnsi="Arial"/>
          <w:sz w:val="18"/>
          <w:szCs w:val="18"/>
          <w:color w:val="auto"/>
        </w:rPr>
      </w:pPr>
    </w:p>
    <w:p>
      <w:pPr>
        <w:ind w:firstLine="872"/>
        <w:spacing w:after="0" w:line="260" w:lineRule="auto"/>
        <w:tabs>
          <w:tab w:leader="none" w:pos="174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any failure by any Borrower (for a reason other than the failure of such Lender to make a Loan) to prepay, borrow, continue or convert any Loan other than a Base Rate Loan on the date or in the amount notified by Toro;</w:t>
      </w:r>
    </w:p>
    <w:p>
      <w:pPr>
        <w:spacing w:after="0" w:line="176" w:lineRule="exact"/>
        <w:rPr>
          <w:rFonts w:ascii="Arial" w:cs="Arial" w:eastAsia="Arial" w:hAnsi="Arial"/>
          <w:sz w:val="20"/>
          <w:szCs w:val="20"/>
          <w:color w:val="auto"/>
        </w:rPr>
      </w:pPr>
    </w:p>
    <w:p>
      <w:pPr>
        <w:ind w:firstLine="872"/>
        <w:spacing w:after="0" w:line="287" w:lineRule="auto"/>
        <w:tabs>
          <w:tab w:leader="none" w:pos="173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152" w:lineRule="exact"/>
        <w:rPr>
          <w:rFonts w:ascii="Arial" w:cs="Arial" w:eastAsia="Arial" w:hAnsi="Arial"/>
          <w:sz w:val="19"/>
          <w:szCs w:val="19"/>
          <w:color w:val="auto"/>
        </w:rPr>
      </w:pPr>
    </w:p>
    <w:p>
      <w:pPr>
        <w:ind w:firstLine="872"/>
        <w:spacing w:after="0" w:line="260" w:lineRule="auto"/>
        <w:tabs>
          <w:tab w:leader="none" w:pos="174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any assignment of a Eurocurrency Rate Loan on a day other than the last day of the Interest Period therefor as a result of a request by Toro pursuant to </w:t>
      </w:r>
      <w:r>
        <w:rPr>
          <w:rFonts w:ascii="Arial" w:cs="Arial" w:eastAsia="Arial" w:hAnsi="Arial"/>
          <w:sz w:val="20"/>
          <w:szCs w:val="20"/>
          <w:u w:val="single" w:color="auto"/>
          <w:color w:val="auto"/>
        </w:rPr>
        <w:t>Section 11.13</w:t>
      </w:r>
      <w:r>
        <w:rPr>
          <w:rFonts w:ascii="Arial" w:cs="Arial" w:eastAsia="Arial" w:hAnsi="Arial"/>
          <w:sz w:val="20"/>
          <w:szCs w:val="20"/>
          <w:color w:val="auto"/>
        </w:rPr>
        <w:t>;</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Toro shall also pay (or cause the applicable Subsidiary Borrower to pay) any customary administrative fees charged by such Lender in connection with the foregoing.</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For purposes of calculating amounts payable by the Borrowers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Eurocurrency Rate Loan made by it at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85"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0"/>
          <w:szCs w:val="20"/>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p>
    <w:p>
      <w:pPr>
        <w:spacing w:after="0" w:line="222" w:lineRule="exact"/>
        <w:rPr>
          <w:sz w:val="20"/>
          <w:szCs w:val="20"/>
          <w:color w:val="auto"/>
        </w:rPr>
      </w:pPr>
    </w:p>
    <w:p>
      <w:pPr>
        <w:jc w:val="both"/>
        <w:ind w:firstLine="872"/>
        <w:spacing w:after="0" w:line="256" w:lineRule="auto"/>
        <w:tabs>
          <w:tab w:leader="none" w:pos="1731"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Each Lender may make any Credit Extension to a Borrower through any Lending Office,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exercise of this option shall not affect the obligation of such Borrower to repay the Credit Extension in accordance with the terms of this Agreement.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any Borrower is required to pay any Indemnified Taxes or additional amount to any Lender, the L/C Issuer or any Governmental Authority for the account of any Lender or the L/C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at the request of Toro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as the case may be, in the future, or eliminate the need for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1" w:name="page92"/>
    <w:bookmarkEnd w:id="91"/>
    <w:p>
      <w:pPr>
        <w:jc w:val="both"/>
        <w:spacing w:after="0" w:line="246" w:lineRule="auto"/>
        <w:rPr>
          <w:sz w:val="20"/>
          <w:szCs w:val="20"/>
          <w:color w:val="auto"/>
        </w:rPr>
      </w:pPr>
      <w:r>
        <w:rPr>
          <w:rFonts w:ascii="Arial" w:cs="Arial" w:eastAsia="Arial" w:hAnsi="Arial"/>
          <w:sz w:val="20"/>
          <w:szCs w:val="20"/>
          <w:color w:val="auto"/>
        </w:rPr>
        <w:t xml:space="preserve">notice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Toro hereby agrees to pay (or cause the applicable Borrower to pay) all reasonable costs and expenses incurred by any Lender or the L/C Issuer in connection with any such designation or assignment.</w:t>
      </w:r>
    </w:p>
    <w:p>
      <w:pPr>
        <w:spacing w:after="0" w:line="191" w:lineRule="exact"/>
        <w:rPr>
          <w:sz w:val="20"/>
          <w:szCs w:val="20"/>
          <w:color w:val="auto"/>
        </w:rPr>
      </w:pPr>
    </w:p>
    <w:p>
      <w:pPr>
        <w:jc w:val="both"/>
        <w:ind w:firstLine="872"/>
        <w:spacing w:after="0" w:line="246" w:lineRule="auto"/>
        <w:tabs>
          <w:tab w:leader="none" w:pos="1742"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any Borrower is required to pay any Indemnified Taxes or additional amount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in each case, such Lender has declined or is unable to designate a different lending office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3.06(a)</w:t>
      </w:r>
      <w:r>
        <w:rPr>
          <w:rFonts w:ascii="Arial" w:cs="Arial" w:eastAsia="Arial" w:hAnsi="Arial"/>
          <w:sz w:val="20"/>
          <w:szCs w:val="20"/>
          <w:color w:val="auto"/>
        </w:rPr>
        <w:t xml:space="preserve">, Toro may replace such Lender in accordance with </w:t>
      </w:r>
      <w:r>
        <w:rPr>
          <w:rFonts w:ascii="Arial" w:cs="Arial" w:eastAsia="Arial" w:hAnsi="Arial"/>
          <w:sz w:val="20"/>
          <w:szCs w:val="20"/>
          <w:u w:val="single" w:color="auto"/>
          <w:color w:val="auto"/>
        </w:rPr>
        <w:t>Section 11.13</w:t>
      </w:r>
      <w:r>
        <w:rPr>
          <w:rFonts w:ascii="Arial" w:cs="Arial" w:eastAsia="Arial" w:hAnsi="Arial"/>
          <w:sz w:val="20"/>
          <w:szCs w:val="20"/>
          <w:color w:val="auto"/>
        </w:rPr>
        <w:t>.</w:t>
      </w:r>
    </w:p>
    <w:p>
      <w:pPr>
        <w:spacing w:after="0" w:line="185"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b w:val="1"/>
          <w:bCs w:val="1"/>
          <w:color w:val="auto"/>
        </w:rPr>
        <w:t xml:space="preserve">3.07 Survival. </w:t>
      </w:r>
      <w:r>
        <w:rPr>
          <w:rFonts w:ascii="Arial" w:cs="Arial" w:eastAsia="Arial" w:hAnsi="Arial"/>
          <w:sz w:val="20"/>
          <w:szCs w:val="20"/>
          <w:color w:val="auto"/>
        </w:rPr>
        <w:t>All of the Borrowers’ obligations under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III</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termination of the Aggregate</w:t>
      </w:r>
      <w:r>
        <w:rPr>
          <w:rFonts w:ascii="Arial" w:cs="Arial" w:eastAsia="Arial" w:hAnsi="Arial"/>
          <w:sz w:val="20"/>
          <w:szCs w:val="20"/>
          <w:b w:val="1"/>
          <w:bCs w:val="1"/>
          <w:color w:val="auto"/>
        </w:rPr>
        <w:t xml:space="preserve"> </w:t>
      </w:r>
      <w:r>
        <w:rPr>
          <w:rFonts w:ascii="Arial" w:cs="Arial" w:eastAsia="Arial" w:hAnsi="Arial"/>
          <w:sz w:val="20"/>
          <w:szCs w:val="20"/>
          <w:color w:val="auto"/>
        </w:rPr>
        <w:t>Commitments, repayment of all other Obligations hereunder and resignation of the Administrative Agent.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 TO CREDIT EXTENSIONS</w:t>
      </w:r>
    </w:p>
    <w:p>
      <w:pPr>
        <w:spacing w:after="0" w:line="189" w:lineRule="exact"/>
        <w:rPr>
          <w:sz w:val="20"/>
          <w:szCs w:val="20"/>
          <w:color w:val="auto"/>
        </w:rPr>
      </w:pPr>
    </w:p>
    <w:p>
      <w:pPr>
        <w:ind w:firstLine="864"/>
        <w:spacing w:after="0" w:line="273" w:lineRule="auto"/>
        <w:rPr>
          <w:sz w:val="20"/>
          <w:szCs w:val="20"/>
          <w:color w:val="auto"/>
        </w:rPr>
      </w:pPr>
      <w:r>
        <w:rPr>
          <w:rFonts w:ascii="Arial" w:cs="Arial" w:eastAsia="Arial" w:hAnsi="Arial"/>
          <w:sz w:val="20"/>
          <w:szCs w:val="20"/>
          <w:b w:val="1"/>
          <w:bCs w:val="1"/>
          <w:color w:val="auto"/>
        </w:rPr>
        <w:t>4.01 Conditions of Initial Credit Extension</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obligation of the L/C Issuer and each Lender to make its initial Credit</w:t>
      </w:r>
      <w:r>
        <w:rPr>
          <w:rFonts w:ascii="Arial" w:cs="Arial" w:eastAsia="Arial" w:hAnsi="Arial"/>
          <w:sz w:val="20"/>
          <w:szCs w:val="20"/>
          <w:b w:val="1"/>
          <w:bCs w:val="1"/>
          <w:color w:val="auto"/>
        </w:rPr>
        <w:t xml:space="preserve"> </w:t>
      </w:r>
      <w:r>
        <w:rPr>
          <w:rFonts w:ascii="Arial" w:cs="Arial" w:eastAsia="Arial" w:hAnsi="Arial"/>
          <w:sz w:val="20"/>
          <w:szCs w:val="20"/>
          <w:color w:val="auto"/>
        </w:rPr>
        <w:t>Extension hereunder is subject to satisfaction of the following conditions precedent:</w:t>
      </w:r>
    </w:p>
    <w:p>
      <w:pPr>
        <w:spacing w:after="0" w:line="163" w:lineRule="exact"/>
        <w:rPr>
          <w:sz w:val="20"/>
          <w:szCs w:val="20"/>
          <w:color w:val="auto"/>
        </w:rPr>
      </w:pPr>
    </w:p>
    <w:p>
      <w:pPr>
        <w:jc w:val="both"/>
        <w:ind w:firstLine="872"/>
        <w:spacing w:after="0" w:line="263" w:lineRule="auto"/>
        <w:tabs>
          <w:tab w:leader="none" w:pos="173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Administrative Agent’s receipt of the following, each of which shall be originals, telecopies or copies sent by electronic transmission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76" w:lineRule="exact"/>
        <w:rPr>
          <w:rFonts w:ascii="Arial" w:cs="Arial" w:eastAsia="Arial" w:hAnsi="Arial"/>
          <w:sz w:val="19"/>
          <w:szCs w:val="19"/>
          <w:color w:val="auto"/>
        </w:rPr>
      </w:pPr>
    </w:p>
    <w:p>
      <w:pPr>
        <w:ind w:left="2500" w:hanging="831"/>
        <w:spacing w:after="0"/>
        <w:tabs>
          <w:tab w:leader="none" w:pos="250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executed counterparts of this Agreement;</w:t>
      </w:r>
    </w:p>
    <w:p>
      <w:pPr>
        <w:spacing w:after="0" w:line="215" w:lineRule="exact"/>
        <w:rPr>
          <w:rFonts w:ascii="Arial" w:cs="Arial" w:eastAsia="Arial" w:hAnsi="Arial"/>
          <w:sz w:val="20"/>
          <w:szCs w:val="20"/>
          <w:color w:val="auto"/>
        </w:rPr>
      </w:pPr>
    </w:p>
    <w:p>
      <w:pPr>
        <w:ind w:left="2560" w:hanging="891"/>
        <w:spacing w:after="0"/>
        <w:tabs>
          <w:tab w:leader="none" w:pos="256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Notes executed by the Borrowers in favor of each Lender requesting Notes;</w:t>
      </w:r>
    </w:p>
    <w:p>
      <w:pPr>
        <w:spacing w:after="0" w:line="215" w:lineRule="exact"/>
        <w:rPr>
          <w:rFonts w:ascii="Arial" w:cs="Arial" w:eastAsia="Arial" w:hAnsi="Arial"/>
          <w:sz w:val="20"/>
          <w:szCs w:val="20"/>
          <w:color w:val="auto"/>
        </w:rPr>
      </w:pPr>
    </w:p>
    <w:p>
      <w:pPr>
        <w:jc w:val="both"/>
        <w:ind w:left="880" w:firstLine="789"/>
        <w:spacing w:after="0" w:line="246" w:lineRule="auto"/>
        <w:tabs>
          <w:tab w:leader="none" w:pos="2622" w:val="left"/>
        </w:tabs>
        <w:numPr>
          <w:ilvl w:val="1"/>
          <w:numId w:val="120"/>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91" w:lineRule="exact"/>
        <w:rPr>
          <w:rFonts w:ascii="Arial" w:cs="Arial" w:eastAsia="Arial" w:hAnsi="Arial"/>
          <w:sz w:val="20"/>
          <w:szCs w:val="20"/>
          <w:color w:val="auto"/>
        </w:rPr>
      </w:pPr>
    </w:p>
    <w:p>
      <w:pPr>
        <w:jc w:val="both"/>
        <w:ind w:left="880" w:firstLine="789"/>
        <w:spacing w:after="0" w:line="328" w:lineRule="auto"/>
        <w:tabs>
          <w:tab w:leader="none" w:pos="2611" w:val="left"/>
        </w:tabs>
        <w:numPr>
          <w:ilvl w:val="1"/>
          <w:numId w:val="120"/>
        </w:numPr>
        <w:rPr>
          <w:rFonts w:ascii="Arial" w:cs="Arial" w:eastAsia="Arial" w:hAnsi="Arial"/>
          <w:sz w:val="16"/>
          <w:szCs w:val="16"/>
          <w:color w:val="auto"/>
        </w:rPr>
      </w:pPr>
      <w:r>
        <w:rPr>
          <w:rFonts w:ascii="Arial" w:cs="Arial" w:eastAsia="Arial" w:hAnsi="Arial"/>
          <w:sz w:val="16"/>
          <w:szCs w:val="16"/>
          <w:color w:val="auto"/>
        </w:rPr>
        <w:t>such documents and certifications as the Administrative Agent may reasonably require to evidence that each Loan Party is duly organized or formed, and that each of the Borrowers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28" w:lineRule="exact"/>
        <w:rPr>
          <w:rFonts w:ascii="Arial" w:cs="Arial" w:eastAsia="Arial" w:hAnsi="Arial"/>
          <w:sz w:val="16"/>
          <w:szCs w:val="16"/>
          <w:color w:val="auto"/>
        </w:rPr>
      </w:pPr>
    </w:p>
    <w:p>
      <w:pPr>
        <w:ind w:left="2540" w:hanging="871"/>
        <w:spacing w:after="0"/>
        <w:tabs>
          <w:tab w:leader="none" w:pos="25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such financial information relating to the Borrowers and their Subsidiaries as the Administrative Agent may</w:t>
      </w:r>
    </w:p>
    <w:p>
      <w:pPr>
        <w:spacing w:after="0" w:line="38"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20"/>
          <w:szCs w:val="20"/>
          <w:color w:val="auto"/>
        </w:rPr>
        <w:t>request;</w:t>
      </w:r>
    </w:p>
    <w:p>
      <w:pPr>
        <w:spacing w:after="0" w:line="199" w:lineRule="exact"/>
        <w:rPr>
          <w:rFonts w:ascii="Arial" w:cs="Arial" w:eastAsia="Arial" w:hAnsi="Arial"/>
          <w:sz w:val="18"/>
          <w:szCs w:val="18"/>
          <w:color w:val="auto"/>
        </w:rPr>
      </w:pPr>
    </w:p>
    <w:p>
      <w:pPr>
        <w:ind w:left="880" w:firstLine="789"/>
        <w:spacing w:after="0" w:line="260" w:lineRule="auto"/>
        <w:tabs>
          <w:tab w:leader="none" w:pos="2611"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 favorable opinion of Latham &amp; Watkins, LLP, counsel to the Loan Parties, and counsel to Toro Luxembourg, addressed to the Administrative Agent and each Lender, substantially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2" w:name="page93"/>
    <w:bookmarkEnd w:id="92"/>
    <w:p>
      <w:pPr>
        <w:ind w:left="880"/>
        <w:spacing w:after="0"/>
        <w:rPr>
          <w:sz w:val="20"/>
          <w:szCs w:val="20"/>
          <w:color w:val="auto"/>
        </w:rPr>
      </w:pPr>
      <w:r>
        <w:rPr>
          <w:rFonts w:ascii="Arial" w:cs="Arial" w:eastAsia="Arial" w:hAnsi="Arial"/>
          <w:sz w:val="20"/>
          <w:szCs w:val="20"/>
          <w:color w:val="auto"/>
        </w:rPr>
        <w:t xml:space="preserve">in the form attached at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or as otherwise reasonably satisfactory to the Administrative Agent;</w:t>
      </w:r>
    </w:p>
    <w:p>
      <w:pPr>
        <w:spacing w:after="0" w:line="216" w:lineRule="exact"/>
        <w:rPr>
          <w:sz w:val="20"/>
          <w:szCs w:val="20"/>
          <w:color w:val="auto"/>
        </w:rPr>
      </w:pPr>
    </w:p>
    <w:p>
      <w:pPr>
        <w:jc w:val="both"/>
        <w:ind w:left="880" w:firstLine="789"/>
        <w:spacing w:after="0" w:line="263" w:lineRule="auto"/>
        <w:tabs>
          <w:tab w:leader="none" w:pos="266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76" w:lineRule="exact"/>
        <w:rPr>
          <w:rFonts w:ascii="Arial" w:cs="Arial" w:eastAsia="Arial" w:hAnsi="Arial"/>
          <w:sz w:val="19"/>
          <w:szCs w:val="19"/>
          <w:color w:val="auto"/>
        </w:rPr>
      </w:pPr>
    </w:p>
    <w:p>
      <w:pPr>
        <w:jc w:val="both"/>
        <w:ind w:left="880" w:firstLine="789"/>
        <w:spacing w:after="0" w:line="257" w:lineRule="auto"/>
        <w:tabs>
          <w:tab w:leader="none" w:pos="272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a certificate signed by a Responsible Officer of Toro certifying (A) that the conditions specified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(B) that there has been no event or circumstance since the date of the Audited Financial Statements that has resulted or could reasonably be expected to result in, either individually or in the aggregate, a Material Adverse Effect; (C) there does not exist any pending or threatened action, suit, investigation or proceeding in any court or before any arbitrator or Governmental Authority that (x) would, if determined adversely to Toro or any Subsidiary, materially and adversely affect Toro or Toro and its Subsidiaries, taken as a whole, or (y) purports to affect any transaction contemplated under this Agreement or any Loan Document or the ability of any Borrower to perform its respective obligations under this Agreement or any Loan Document; and (D) the current Debt Ratings;</w:t>
      </w:r>
    </w:p>
    <w:p>
      <w:pPr>
        <w:spacing w:after="0" w:line="180" w:lineRule="exact"/>
        <w:rPr>
          <w:rFonts w:ascii="Arial" w:cs="Arial" w:eastAsia="Arial" w:hAnsi="Arial"/>
          <w:sz w:val="19"/>
          <w:szCs w:val="19"/>
          <w:color w:val="auto"/>
        </w:rPr>
      </w:pPr>
    </w:p>
    <w:p>
      <w:pPr>
        <w:ind w:left="2600" w:hanging="931"/>
        <w:spacing w:after="0"/>
        <w:tabs>
          <w:tab w:leader="none" w:pos="26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duly completed Compliance Certificate as of June 30, 2021, signed by a Responsible Officer of Toro;</w:t>
      </w:r>
    </w:p>
    <w:p>
      <w:pPr>
        <w:spacing w:after="0" w:line="227" w:lineRule="exact"/>
        <w:rPr>
          <w:rFonts w:ascii="Arial" w:cs="Arial" w:eastAsia="Arial" w:hAnsi="Arial"/>
          <w:sz w:val="19"/>
          <w:szCs w:val="19"/>
          <w:color w:val="auto"/>
        </w:rPr>
      </w:pPr>
    </w:p>
    <w:p>
      <w:pPr>
        <w:jc w:val="both"/>
        <w:ind w:left="880" w:firstLine="789"/>
        <w:spacing w:after="0" w:line="269" w:lineRule="auto"/>
        <w:tabs>
          <w:tab w:leader="none" w:pos="255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evidence that the Existing Term Loan Credit Agreement has been or concurrently with the Closing Date is being terminated, all indebtedness thereunder has been paid and satisfied in full and all Liens if any securing obligations under the Existing Term Loan Credit Agreement have been or concurrently with the Closing Date are being released;</w:t>
      </w:r>
    </w:p>
    <w:p>
      <w:pPr>
        <w:spacing w:after="0" w:line="170" w:lineRule="exact"/>
        <w:rPr>
          <w:sz w:val="20"/>
          <w:szCs w:val="20"/>
          <w:color w:val="auto"/>
        </w:rPr>
      </w:pPr>
    </w:p>
    <w:p>
      <w:pPr>
        <w:jc w:val="both"/>
        <w:ind w:left="1740"/>
        <w:spacing w:after="0" w:line="246" w:lineRule="auto"/>
        <w:rPr>
          <w:sz w:val="20"/>
          <w:szCs w:val="20"/>
          <w:color w:val="auto"/>
        </w:rPr>
      </w:pPr>
      <w:r>
        <w:rPr>
          <w:rFonts w:ascii="Arial" w:cs="Arial" w:eastAsia="Arial" w:hAnsi="Arial"/>
          <w:sz w:val="20"/>
          <w:szCs w:val="20"/>
          <w:color w:val="auto"/>
        </w:rPr>
        <w:t>(xi) (A) upon the reasonable request of any Lender made at least ten days prior to the Closing Date, the Borrowers shall have provided to such Lender the documentation and other information so requested in connection with applicable “know your customer” and anti-money-laundering rules and regulations, including the Act, in each case at least two days prior to the Closing Date; and</w:t>
      </w:r>
    </w:p>
    <w:p>
      <w:pPr>
        <w:spacing w:after="0" w:line="191" w:lineRule="exact"/>
        <w:rPr>
          <w:sz w:val="20"/>
          <w:szCs w:val="20"/>
          <w:color w:val="auto"/>
        </w:rPr>
      </w:pPr>
    </w:p>
    <w:p>
      <w:pPr>
        <w:jc w:val="both"/>
        <w:ind w:left="1740" w:firstLine="726"/>
        <w:spacing w:after="0" w:line="250" w:lineRule="auto"/>
        <w:tabs>
          <w:tab w:leader="none" w:pos="3383" w:val="left"/>
        </w:tabs>
        <w:numPr>
          <w:ilvl w:val="1"/>
          <w:numId w:val="122"/>
        </w:numPr>
        <w:rPr>
          <w:rFonts w:ascii="Arial" w:cs="Arial" w:eastAsia="Arial" w:hAnsi="Arial"/>
          <w:sz w:val="20"/>
          <w:szCs w:val="20"/>
          <w:color w:val="auto"/>
        </w:rPr>
      </w:pPr>
      <w:r>
        <w:rPr>
          <w:rFonts w:ascii="Arial" w:cs="Arial" w:eastAsia="Arial" w:hAnsi="Arial"/>
          <w:sz w:val="20"/>
          <w:szCs w:val="20"/>
          <w:color w:val="auto"/>
        </w:rPr>
        <w:t>at least five days prior to the Closing Date, any Borrower that qualifies as a “legal entity customer” under the Beneficial Ownership Regulation shall deliver a Beneficial Ownership Certification in relation to such Borrower; and</w:t>
      </w:r>
    </w:p>
    <w:p>
      <w:pPr>
        <w:spacing w:after="0" w:line="185" w:lineRule="exact"/>
        <w:rPr>
          <w:rFonts w:ascii="Arial" w:cs="Arial" w:eastAsia="Arial" w:hAnsi="Arial"/>
          <w:sz w:val="20"/>
          <w:szCs w:val="20"/>
          <w:color w:val="auto"/>
        </w:rPr>
      </w:pPr>
    </w:p>
    <w:p>
      <w:pPr>
        <w:ind w:left="880" w:firstLine="789"/>
        <w:spacing w:after="0" w:line="260" w:lineRule="auto"/>
        <w:tabs>
          <w:tab w:leader="none" w:pos="2666" w:val="left"/>
        </w:tabs>
        <w:numPr>
          <w:ilvl w:val="0"/>
          <w:numId w:val="123"/>
        </w:numPr>
        <w:rPr>
          <w:rFonts w:ascii="Arial" w:cs="Arial" w:eastAsia="Arial" w:hAnsi="Arial"/>
          <w:sz w:val="20"/>
          <w:szCs w:val="20"/>
          <w:color w:val="auto"/>
        </w:rPr>
      </w:pPr>
      <w:r>
        <w:rPr>
          <w:rFonts w:ascii="Arial" w:cs="Arial" w:eastAsia="Arial" w:hAnsi="Arial"/>
          <w:sz w:val="20"/>
          <w:szCs w:val="20"/>
          <w:color w:val="auto"/>
        </w:rPr>
        <w:t>such other assurances, certificates, documents, consents or opinions as the Administrative Agent, the L/C Issuer, the Swing Line Lender or the Required Lenders reasonably may require.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Notwithstanding the foregoing, with respect to Toro Luxembourg, the receipt of such items referred to above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w:t>
      </w:r>
    </w:p>
    <w:p>
      <w:pPr>
        <w:spacing w:after="0" w:line="39" w:lineRule="exact"/>
        <w:rPr>
          <w:sz w:val="20"/>
          <w:szCs w:val="20"/>
          <w:color w:val="auto"/>
        </w:rPr>
      </w:pPr>
    </w:p>
    <w:p>
      <w:pPr>
        <w:jc w:val="both"/>
        <w:ind w:firstLine="8"/>
        <w:spacing w:after="0" w:line="241" w:lineRule="auto"/>
        <w:tabs>
          <w:tab w:leader="none" w:pos="392" w:val="left"/>
        </w:tabs>
        <w:numPr>
          <w:ilvl w:val="0"/>
          <w:numId w:val="124"/>
        </w:numPr>
        <w:rPr>
          <w:rFonts w:ascii="Arial" w:cs="Arial" w:eastAsia="Arial" w:hAnsi="Arial"/>
          <w:sz w:val="20"/>
          <w:szCs w:val="20"/>
          <w:u w:val="single" w:color="auto"/>
          <w:color w:val="auto"/>
        </w:rPr>
      </w:pPr>
      <w:r>
        <w:rPr>
          <w:rFonts w:ascii="Arial" w:cs="Arial" w:eastAsia="Arial" w:hAnsi="Arial"/>
          <w:sz w:val="20"/>
          <w:szCs w:val="20"/>
          <w:color w:val="auto"/>
        </w:rPr>
        <w:t xml:space="preserve">are not required to be delivered on the Closing Date, but instead need only be delivered in advance of a request for a Borrowing by Toro Luxembourg under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(and, for the avoidance of doubt, Toro Luxembourg may not request a Borrowing until such items have been received by the Administrative Agent).</w:t>
      </w:r>
    </w:p>
    <w:p>
      <w:pPr>
        <w:spacing w:after="0" w:line="195" w:lineRule="exact"/>
        <w:rPr>
          <w:rFonts w:ascii="Arial" w:cs="Arial" w:eastAsia="Arial" w:hAnsi="Arial"/>
          <w:sz w:val="20"/>
          <w:szCs w:val="20"/>
          <w:u w:val="single" w:color="auto"/>
          <w:color w:val="auto"/>
        </w:rPr>
      </w:pPr>
    </w:p>
    <w:p>
      <w:pPr>
        <w:ind w:left="1760" w:hanging="888"/>
        <w:spacing w:after="0"/>
        <w:tabs>
          <w:tab w:leader="none" w:pos="176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Any fees required to be paid on or before the Closing Date shall have been paid.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3" w:name="page94"/>
    <w:bookmarkEnd w:id="93"/>
    <w:p>
      <w:pPr>
        <w:jc w:val="both"/>
        <w:ind w:firstLine="872"/>
        <w:spacing w:after="0" w:line="260" w:lineRule="auto"/>
        <w:tabs>
          <w:tab w:leader="none" w:pos="173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Unless waived by the Administrative Agent, Toro shall have paid all fees, charges and disbursements of counsel (directly to such counsel if requested by the Administrative Agent) to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estimate shall not thereafter preclude a final settling of accounts between Toro and the Administrative Agent).</w:t>
      </w:r>
    </w:p>
    <w:p>
      <w:pPr>
        <w:spacing w:after="0" w:line="18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4.02 Conditions to all Credit Extensions. </w:t>
      </w:r>
      <w:r>
        <w:rPr>
          <w:rFonts w:ascii="Arial" w:cs="Arial" w:eastAsia="Arial" w:hAnsi="Arial"/>
          <w:sz w:val="20"/>
          <w:szCs w:val="20"/>
          <w:color w:val="auto"/>
        </w:rPr>
        <w:t>The obligation of each Lender to honor any Request for Credit Extension</w:t>
      </w:r>
      <w:r>
        <w:rPr>
          <w:rFonts w:ascii="Arial" w:cs="Arial" w:eastAsia="Arial" w:hAnsi="Arial"/>
          <w:sz w:val="20"/>
          <w:szCs w:val="20"/>
          <w:b w:val="1"/>
          <w:bCs w:val="1"/>
          <w:color w:val="auto"/>
        </w:rPr>
        <w:t xml:space="preserve"> </w:t>
      </w:r>
      <w:r>
        <w:rPr>
          <w:rFonts w:ascii="Arial" w:cs="Arial" w:eastAsia="Arial" w:hAnsi="Arial"/>
          <w:sz w:val="20"/>
          <w:szCs w:val="20"/>
          <w:color w:val="auto"/>
        </w:rPr>
        <w:t>(other than a Loan Notice requesting only a conversion of Loans to the other Type, or a continuation of Eurocurrency Rate Loans) is subject to the following conditions precedent:</w:t>
      </w:r>
    </w:p>
    <w:p>
      <w:pPr>
        <w:spacing w:after="0" w:line="183" w:lineRule="exact"/>
        <w:rPr>
          <w:sz w:val="20"/>
          <w:szCs w:val="20"/>
          <w:color w:val="auto"/>
        </w:rPr>
      </w:pPr>
    </w:p>
    <w:p>
      <w:pPr>
        <w:jc w:val="both"/>
        <w:ind w:firstLine="872"/>
        <w:spacing w:after="0" w:line="257" w:lineRule="auto"/>
        <w:tabs>
          <w:tab w:leader="none" w:pos="173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(i) the Borrowers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(ii) each Loan Party contained in each other Loan Document or in any document furnished at any time under or in connection herewith or therewith, shall be true and correct in all material respects on and as of the date of such Credit Extension, except (w) if a qualifier relating to materiality, Material Adverse Effect or other similar concept applies, such representation or warranty is true and correct in all respects, (x) to the extent that such representations and warranties specifically refer to an earlier date, in which case they shall be true and correct as of such earlier date, and (y)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excluding, after the Closing Date, the representation and warranty set forth in </w:t>
      </w:r>
      <w:r>
        <w:rPr>
          <w:rFonts w:ascii="Arial" w:cs="Arial" w:eastAsia="Arial" w:hAnsi="Arial"/>
          <w:sz w:val="19"/>
          <w:szCs w:val="19"/>
          <w:u w:val="single" w:color="auto"/>
          <w:color w:val="auto"/>
        </w:rPr>
        <w:t>Section 5.22</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ind w:left="1760" w:hanging="888"/>
        <w:spacing w:after="0"/>
        <w:tabs>
          <w:tab w:leader="none" w:pos="17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the application of the proceeds thereof.</w:t>
      </w:r>
    </w:p>
    <w:p>
      <w:pPr>
        <w:spacing w:after="0" w:line="238" w:lineRule="exact"/>
        <w:rPr>
          <w:rFonts w:ascii="Arial" w:cs="Arial" w:eastAsia="Arial" w:hAnsi="Arial"/>
          <w:sz w:val="18"/>
          <w:szCs w:val="18"/>
          <w:color w:val="auto"/>
        </w:rPr>
      </w:pPr>
    </w:p>
    <w:p>
      <w:pPr>
        <w:ind w:firstLine="872"/>
        <w:spacing w:after="0" w:line="260" w:lineRule="auto"/>
        <w:tabs>
          <w:tab w:leader="none" w:pos="1731"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Administrative Agent and, if applicable, the L/C Issuer or the Swing Line Lender shall have received a Request for Credit Extension in accordance with the requirements hereof.</w:t>
      </w:r>
    </w:p>
    <w:p>
      <w:pPr>
        <w:spacing w:after="0" w:line="176" w:lineRule="exact"/>
        <w:rPr>
          <w:rFonts w:ascii="Arial" w:cs="Arial" w:eastAsia="Arial" w:hAnsi="Arial"/>
          <w:sz w:val="20"/>
          <w:szCs w:val="20"/>
          <w:color w:val="auto"/>
        </w:rPr>
      </w:pPr>
    </w:p>
    <w:p>
      <w:pPr>
        <w:jc w:val="both"/>
        <w:ind w:firstLine="872"/>
        <w:spacing w:after="0" w:line="260" w:lineRule="auto"/>
        <w:tabs>
          <w:tab w:leader="none" w:pos="174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8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Each Request for Credit Extension (other than a Loan Notice requesting only a conversion of Loans to the other Type or a continuation of Eurocurrency Rate Loans) submitted by Toro shall be deemed to be a representation and warranty that the conditions specified in </w:t>
      </w:r>
      <w:r>
        <w:rPr>
          <w:rFonts w:ascii="Arial" w:cs="Arial" w:eastAsia="Arial" w:hAnsi="Arial"/>
          <w:sz w:val="20"/>
          <w:szCs w:val="20"/>
          <w:u w:val="single" w:color="auto"/>
          <w:color w:val="auto"/>
        </w:rPr>
        <w:t>Sections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on and as of the date of the applicable Credit Extension.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b w:val="1"/>
          <w:bCs w:val="1"/>
          <w:color w:val="auto"/>
        </w:rPr>
        <w:t>ARTICLE V.</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Section 5.18</w:t>
      </w:r>
      <w:r>
        <w:rPr>
          <w:rFonts w:ascii="Arial" w:cs="Arial" w:eastAsia="Arial" w:hAnsi="Arial"/>
          <w:sz w:val="16"/>
          <w:szCs w:val="16"/>
          <w:color w:val="auto"/>
        </w:rPr>
        <w:t>, each Borrower represents and warrants to the Administrative Agent and the Lenders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that:</w:t>
      </w:r>
    </w:p>
    <w:p>
      <w:pPr>
        <w:spacing w:after="0" w:line="189"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b w:val="1"/>
          <w:bCs w:val="1"/>
          <w:color w:val="auto"/>
        </w:rPr>
        <w:t>5.01 Existence, Qualification and Power</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Each Loan Party and each Subsidiary thereof (a) is duly organized or formed,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validly existing and in good standing under the Laws of the jurisdiction of its incorporation or organization, (b) has all requisite power and authority and all requisite governmental licenses, authorizations, consents and approvals to (i) own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with respect to Subsidiaries other than a Loan Party or a Material Subsidiary, and </w:t>
      </w:r>
      <w:r>
        <w:rPr>
          <w:rFonts w:ascii="Arial" w:cs="Arial" w:eastAsia="Arial" w:hAnsi="Arial"/>
          <w:sz w:val="19"/>
          <w:szCs w:val="19"/>
          <w:u w:val="single" w:color="auto"/>
          <w:color w:val="auto"/>
        </w:rPr>
        <w:t>clause (b)(i)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to the extent that failure to do so could not reasonably be expected to have a Material Adverse Effect. No Borrower is an Affected Financial Institution.</w:t>
      </w:r>
    </w:p>
    <w:p>
      <w:pPr>
        <w:spacing w:after="0" w:line="179"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b w:val="1"/>
          <w:bCs w:val="1"/>
          <w:color w:val="auto"/>
        </w:rPr>
        <w:t xml:space="preserve">5.02 Authorization; No Contravention. </w:t>
      </w:r>
      <w:r>
        <w:rPr>
          <w:rFonts w:ascii="Arial" w:cs="Arial" w:eastAsia="Arial" w:hAnsi="Arial"/>
          <w:sz w:val="19"/>
          <w:szCs w:val="19"/>
          <w:color w:val="auto"/>
        </w:rPr>
        <w:t>The execution, delivery and performance by each Loan Party of each Loan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Each Loan Party and each Subsidiary thereof is in compliance with all Contractual Obligations referred to in </w:t>
      </w:r>
      <w:r>
        <w:rPr>
          <w:rFonts w:ascii="Arial" w:cs="Arial" w:eastAsia="Arial" w:hAnsi="Arial"/>
          <w:sz w:val="19"/>
          <w:szCs w:val="19"/>
          <w:u w:val="single" w:color="auto"/>
          <w:color w:val="auto"/>
        </w:rPr>
        <w:t>clause (b)(i)</w:t>
      </w:r>
      <w:r>
        <w:rPr>
          <w:rFonts w:ascii="Arial" w:cs="Arial" w:eastAsia="Arial" w:hAnsi="Arial"/>
          <w:sz w:val="19"/>
          <w:szCs w:val="19"/>
          <w:color w:val="auto"/>
        </w:rPr>
        <w:t>, except to the extent that failure to do so could not reasonably be expected to have a Material Adverse Effect.</w:t>
      </w:r>
    </w:p>
    <w:p>
      <w:pPr>
        <w:spacing w:after="0" w:line="17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5.03 Governmental Authorization; Other Consents. </w:t>
      </w:r>
      <w:r>
        <w:rPr>
          <w:rFonts w:ascii="Arial" w:cs="Arial" w:eastAsia="Arial" w:hAnsi="Arial"/>
          <w:sz w:val="19"/>
          <w:szCs w:val="19"/>
          <w:color w:val="auto"/>
        </w:rPr>
        <w:t>No approval, consent, exemption, authorization, or other action by,</w:t>
      </w:r>
      <w:r>
        <w:rPr>
          <w:rFonts w:ascii="Arial" w:cs="Arial" w:eastAsia="Arial" w:hAnsi="Arial"/>
          <w:sz w:val="19"/>
          <w:szCs w:val="19"/>
          <w:b w:val="1"/>
          <w:bCs w:val="1"/>
          <w:color w:val="auto"/>
        </w:rPr>
        <w:t xml:space="preserve"> </w:t>
      </w:r>
      <w:r>
        <w:rPr>
          <w:rFonts w:ascii="Arial" w:cs="Arial" w:eastAsia="Arial" w:hAnsi="Arial"/>
          <w:sz w:val="19"/>
          <w:szCs w:val="19"/>
          <w:color w:val="auto"/>
        </w:rPr>
        <w:t>or notice to, or filing with, any Governmental Authority or any other Person is necessary or required in connection with the execution, delivery or performance by, or enforcement against, any Loan Party of this Agreement or any other Loan Document.</w:t>
      </w:r>
    </w:p>
    <w:p>
      <w:pPr>
        <w:spacing w:after="0" w:line="16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5.04 Binding Effect. </w:t>
      </w:r>
      <w:r>
        <w:rPr>
          <w:rFonts w:ascii="Arial" w:cs="Arial" w:eastAsia="Arial" w:hAnsi="Arial"/>
          <w:sz w:val="20"/>
          <w:szCs w:val="20"/>
          <w:color w:val="auto"/>
        </w:rPr>
        <w:t>This Agreement has been, and each other Loan Document, when delivered hereunder, will have</w:t>
      </w:r>
      <w:r>
        <w:rPr>
          <w:rFonts w:ascii="Arial" w:cs="Arial" w:eastAsia="Arial" w:hAnsi="Arial"/>
          <w:sz w:val="20"/>
          <w:szCs w:val="20"/>
          <w:b w:val="1"/>
          <w:bCs w:val="1"/>
          <w:color w:val="auto"/>
        </w:rPr>
        <w:t xml:space="preserve"> </w:t>
      </w:r>
      <w:r>
        <w:rPr>
          <w:rFonts w:ascii="Arial" w:cs="Arial" w:eastAsia="Arial" w:hAnsi="Arial"/>
          <w:sz w:val="20"/>
          <w:szCs w:val="20"/>
          <w:color w:val="auto"/>
        </w:rPr>
        <w:t>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18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5.05</w:t>
      </w:r>
      <w:r>
        <w:rPr>
          <w:sz w:val="20"/>
          <w:szCs w:val="20"/>
          <w:color w:val="auto"/>
        </w:rPr>
        <w:tab/>
      </w:r>
      <w:r>
        <w:rPr>
          <w:rFonts w:ascii="Arial" w:cs="Arial" w:eastAsia="Arial" w:hAnsi="Arial"/>
          <w:sz w:val="18"/>
          <w:szCs w:val="18"/>
          <w:b w:val="1"/>
          <w:bCs w:val="1"/>
          <w:color w:val="auto"/>
        </w:rPr>
        <w:t>Financial Statements; No Material Adverse Effect</w:t>
      </w:r>
      <w:r>
        <w:rPr>
          <w:rFonts w:ascii="Arial" w:cs="Arial" w:eastAsia="Arial" w:hAnsi="Arial"/>
          <w:sz w:val="18"/>
          <w:szCs w:val="18"/>
          <w:color w:val="auto"/>
        </w:rPr>
        <w:t>.</w:t>
      </w:r>
    </w:p>
    <w:p>
      <w:pPr>
        <w:spacing w:after="0" w:line="222" w:lineRule="exact"/>
        <w:rPr>
          <w:sz w:val="20"/>
          <w:szCs w:val="20"/>
          <w:color w:val="auto"/>
        </w:rPr>
      </w:pPr>
    </w:p>
    <w:p>
      <w:pPr>
        <w:jc w:val="both"/>
        <w:ind w:firstLine="872"/>
        <w:spacing w:after="0" w:line="244" w:lineRule="auto"/>
        <w:tabs>
          <w:tab w:leader="none" w:pos="1731"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Audited Financial Statements (i) were prepared in accordance with GAAP consistently applied throughout the period covered thereby, except as otherwise expressly noted therein; (ii) fairly present the financial condition of Toro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Toro and its Subsidiaries as of the date thereof.</w:t>
      </w:r>
    </w:p>
    <w:p>
      <w:pPr>
        <w:spacing w:after="0" w:line="194" w:lineRule="exact"/>
        <w:rPr>
          <w:rFonts w:ascii="Arial" w:cs="Arial" w:eastAsia="Arial" w:hAnsi="Arial"/>
          <w:sz w:val="20"/>
          <w:szCs w:val="20"/>
          <w:color w:val="auto"/>
        </w:rPr>
      </w:pPr>
    </w:p>
    <w:p>
      <w:pPr>
        <w:jc w:val="both"/>
        <w:ind w:firstLine="872"/>
        <w:spacing w:after="0" w:line="250" w:lineRule="auto"/>
        <w:tabs>
          <w:tab w:leader="none" w:pos="1742"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unaudited consolidated balance sheet of Toro and its Subsidiaries dated July 30, 2021 (including the footnotes thereto), and the related consolidated statements of income or operations, shareholders’ equity and cash flows for the fiscal quarter ended on that date (i) were prepared in accordance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5" w:name="page96"/>
    <w:bookmarkEnd w:id="95"/>
    <w:p>
      <w:pPr>
        <w:spacing w:after="0" w:line="316" w:lineRule="auto"/>
        <w:rPr>
          <w:sz w:val="20"/>
          <w:szCs w:val="20"/>
          <w:color w:val="auto"/>
        </w:rPr>
      </w:pPr>
      <w:r>
        <w:rPr>
          <w:rFonts w:ascii="Arial" w:cs="Arial" w:eastAsia="Arial" w:hAnsi="Arial"/>
          <w:sz w:val="18"/>
          <w:szCs w:val="18"/>
          <w:color w:val="auto"/>
        </w:rPr>
        <w:t>with GAAP consistently applied throughout the period covered thereby, except as otherwise expressly noted therein, and (ii) fairly present the financial condition of Toro and its Subsidiaries as of the date thereof and their results of operations for the period covered thereby.</w:t>
      </w:r>
    </w:p>
    <w:p>
      <w:pPr>
        <w:spacing w:after="0" w:line="130" w:lineRule="exact"/>
        <w:rPr>
          <w:sz w:val="20"/>
          <w:szCs w:val="20"/>
          <w:color w:val="auto"/>
        </w:rPr>
      </w:pPr>
    </w:p>
    <w:p>
      <w:pPr>
        <w:ind w:firstLine="872"/>
        <w:spacing w:after="0" w:line="260" w:lineRule="auto"/>
        <w:tabs>
          <w:tab w:leader="none" w:pos="1731" w:val="left"/>
        </w:tabs>
        <w:numPr>
          <w:ilvl w:val="0"/>
          <w:numId w:val="128"/>
        </w:numPr>
        <w:rPr>
          <w:rFonts w:ascii="Arial" w:cs="Arial" w:eastAsia="Arial" w:hAnsi="Arial"/>
          <w:sz w:val="20"/>
          <w:szCs w:val="20"/>
          <w:color w:val="auto"/>
        </w:rPr>
      </w:pPr>
      <w:r>
        <w:rPr>
          <w:rFonts w:ascii="Arial" w:cs="Arial" w:eastAsia="Arial" w:hAnsi="Arial"/>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17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b w:val="1"/>
          <w:bCs w:val="1"/>
          <w:color w:val="auto"/>
        </w:rPr>
        <w:t xml:space="preserve">5.06 Litigation. </w:t>
      </w:r>
      <w:r>
        <w:rPr>
          <w:rFonts w:ascii="Arial" w:cs="Arial" w:eastAsia="Arial" w:hAnsi="Arial"/>
          <w:sz w:val="18"/>
          <w:szCs w:val="18"/>
          <w:color w:val="auto"/>
        </w:rPr>
        <w:t>There are no actions, suits, proceedings, claims or disputes pending or, to the best knowledge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Borrowers after due and diligent investigation, threatened or contemplated, at law, in equity, in arbitration or before any Governmental Authority, by or against the Borrowers or any of its Subsidiaries or against any of their properties or revenues that (a) purport to affect or pertain to this Agreement or any other Loan Document, or any of the transactions contemplated hereby, or (b) except as specifically disclosed in </w:t>
      </w:r>
      <w:r>
        <w:rPr>
          <w:rFonts w:ascii="Arial" w:cs="Arial" w:eastAsia="Arial" w:hAnsi="Arial"/>
          <w:sz w:val="18"/>
          <w:szCs w:val="18"/>
          <w:u w:val="single" w:color="auto"/>
          <w:color w:val="auto"/>
        </w:rPr>
        <w:t>Schedule 5.06</w:t>
      </w:r>
      <w:r>
        <w:rPr>
          <w:rFonts w:ascii="Arial" w:cs="Arial" w:eastAsia="Arial" w:hAnsi="Arial"/>
          <w:sz w:val="18"/>
          <w:szCs w:val="18"/>
          <w:color w:val="auto"/>
        </w:rPr>
        <w:t xml:space="preserve">, either individually or in the aggregate, if determined adversely, could reasonably be expected to have a Material Adverse Effect, and there has been no adverse change in the status, or financial effect on any Loan Party or any Subsidiary thereof, of the matters described on </w:t>
      </w:r>
      <w:r>
        <w:rPr>
          <w:rFonts w:ascii="Arial" w:cs="Arial" w:eastAsia="Arial" w:hAnsi="Arial"/>
          <w:sz w:val="18"/>
          <w:szCs w:val="18"/>
          <w:u w:val="single" w:color="auto"/>
          <w:color w:val="auto"/>
        </w:rPr>
        <w:t>Schedule 5.06</w:t>
      </w:r>
      <w:r>
        <w:rPr>
          <w:rFonts w:ascii="Arial" w:cs="Arial" w:eastAsia="Arial" w:hAnsi="Arial"/>
          <w:sz w:val="18"/>
          <w:szCs w:val="18"/>
          <w:color w:val="auto"/>
        </w:rPr>
        <w: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6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5.07 No Default. </w:t>
      </w:r>
      <w:r>
        <w:rPr>
          <w:rFonts w:ascii="Arial" w:cs="Arial" w:eastAsia="Arial" w:hAnsi="Arial"/>
          <w:sz w:val="20"/>
          <w:szCs w:val="20"/>
          <w:color w:val="auto"/>
        </w:rPr>
        <w:t>Neither any Borrower nor any Subsidiary thereof is in default under or with respect to any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8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5.08 Ownership of Property; Liens. </w:t>
      </w:r>
      <w:r>
        <w:rPr>
          <w:rFonts w:ascii="Arial" w:cs="Arial" w:eastAsia="Arial" w:hAnsi="Arial"/>
          <w:sz w:val="20"/>
          <w:szCs w:val="20"/>
          <w:color w:val="auto"/>
        </w:rPr>
        <w:t>Each Borrower and each Subsidiary has good record and marketable title in fee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simple to, or valid leasehold interests in, all real property necessary or used in the ordinary conduct of its business, except for such defects in title as could not, individually or in the aggregate, reasonably be expected to have a Material Adverse Effect. The property of the Borrowers and their Subsidiaries is subject to no Liens, other than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8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5.09 Environmental Compliance. </w:t>
      </w:r>
      <w:r>
        <w:rPr>
          <w:rFonts w:ascii="Arial" w:cs="Arial" w:eastAsia="Arial" w:hAnsi="Arial"/>
          <w:sz w:val="20"/>
          <w:szCs w:val="20"/>
          <w:color w:val="auto"/>
        </w:rPr>
        <w:t>Each Borrower and its Subsidiaries conduct in the ordinary course of business a</w:t>
      </w:r>
      <w:r>
        <w:rPr>
          <w:rFonts w:ascii="Arial" w:cs="Arial" w:eastAsia="Arial" w:hAnsi="Arial"/>
          <w:sz w:val="20"/>
          <w:szCs w:val="20"/>
          <w:b w:val="1"/>
          <w:bCs w:val="1"/>
          <w:color w:val="auto"/>
        </w:rPr>
        <w:t xml:space="preserve"> </w:t>
      </w:r>
      <w:r>
        <w:rPr>
          <w:rFonts w:ascii="Arial" w:cs="Arial" w:eastAsia="Arial" w:hAnsi="Arial"/>
          <w:sz w:val="20"/>
          <w:szCs w:val="20"/>
          <w:color w:val="auto"/>
        </w:rPr>
        <w:t>review of the effect of existing Environmental Laws and claims alleging potential liability or responsibility for violation of any Environmental Law on their respective businesses, operations and properties, and as a result thereof the Borrowers have reasonably concluded that</w:t>
      </w:r>
      <w:r>
        <w:rPr>
          <w:rFonts w:ascii="Arial" w:cs="Arial" w:eastAsia="Arial" w:hAnsi="Arial"/>
          <w:sz w:val="20"/>
          <w:szCs w:val="20"/>
          <w:b w:val="1"/>
          <w:bCs w:val="1"/>
          <w:color w:val="auto"/>
        </w:rPr>
        <w:t>,</w:t>
      </w:r>
      <w:r>
        <w:rPr>
          <w:rFonts w:ascii="Arial" w:cs="Arial" w:eastAsia="Arial" w:hAnsi="Arial"/>
          <w:sz w:val="20"/>
          <w:szCs w:val="20"/>
          <w:color w:val="auto"/>
        </w:rPr>
        <w:t xml:space="preserve"> except as specifically disclosed in </w:t>
      </w:r>
      <w:r>
        <w:rPr>
          <w:rFonts w:ascii="Arial" w:cs="Arial" w:eastAsia="Arial" w:hAnsi="Arial"/>
          <w:sz w:val="20"/>
          <w:szCs w:val="20"/>
          <w:u w:val="single" w:color="auto"/>
          <w:color w:val="auto"/>
        </w:rPr>
        <w:t>Schedule 5.09</w:t>
      </w:r>
      <w:r>
        <w:rPr>
          <w:rFonts w:ascii="Arial" w:cs="Arial" w:eastAsia="Arial" w:hAnsi="Arial"/>
          <w:sz w:val="20"/>
          <w:szCs w:val="20"/>
          <w:color w:val="auto"/>
        </w:rPr>
        <w:t>, such Environmental Laws and claims could not, individually or in the aggregate, reasonably be expected to have a Material Adverse Effect.</w:t>
      </w:r>
    </w:p>
    <w:p>
      <w:pPr>
        <w:spacing w:after="0" w:line="18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5.10 Insurance. </w:t>
      </w:r>
      <w:r>
        <w:rPr>
          <w:rFonts w:ascii="Arial" w:cs="Arial" w:eastAsia="Arial" w:hAnsi="Arial"/>
          <w:sz w:val="20"/>
          <w:szCs w:val="20"/>
          <w:color w:val="auto"/>
        </w:rPr>
        <w:t>Except as specifically disclosed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5.10</w:t>
      </w:r>
      <w:r>
        <w:rPr>
          <w:rFonts w:ascii="Arial" w:cs="Arial" w:eastAsia="Arial" w:hAnsi="Arial"/>
          <w:sz w:val="20"/>
          <w:szCs w:val="20"/>
          <w:color w:val="auto"/>
        </w:rPr>
        <w:t>, the properties of each Borrower and its Subsidiaries are</w:t>
      </w:r>
      <w:r>
        <w:rPr>
          <w:rFonts w:ascii="Arial" w:cs="Arial" w:eastAsia="Arial" w:hAnsi="Arial"/>
          <w:sz w:val="20"/>
          <w:szCs w:val="20"/>
          <w:b w:val="1"/>
          <w:bCs w:val="1"/>
          <w:color w:val="auto"/>
        </w:rPr>
        <w:t xml:space="preserve"> </w:t>
      </w:r>
      <w:r>
        <w:rPr>
          <w:rFonts w:ascii="Arial" w:cs="Arial" w:eastAsia="Arial" w:hAnsi="Arial"/>
          <w:sz w:val="20"/>
          <w:szCs w:val="20"/>
          <w:color w:val="auto"/>
        </w:rPr>
        <w:t>insured with financially sound and reputable insurance companies not Affiliates of Toro, in such amounts, with such deductibles and covering such risks as are customarily carried by companies engaged in similar businesses and owning similar properties in localities where such Borrower or the applicable Subsidiary operates.</w:t>
      </w:r>
    </w:p>
    <w:p>
      <w:pPr>
        <w:spacing w:after="0" w:line="183"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b w:val="1"/>
          <w:bCs w:val="1"/>
          <w:color w:val="auto"/>
        </w:rPr>
        <w:t xml:space="preserve">5.11 Taxes. </w:t>
      </w:r>
      <w:r>
        <w:rPr>
          <w:rFonts w:ascii="Arial" w:cs="Arial" w:eastAsia="Arial" w:hAnsi="Arial"/>
          <w:sz w:val="18"/>
          <w:szCs w:val="18"/>
          <w:color w:val="auto"/>
        </w:rPr>
        <w:t>Toro and its Subsidiaries have filed all Federal, state and other material tax returns and reports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6" w:name="page97"/>
    <w:bookmarkEnd w:id="96"/>
    <w:p>
      <w:pPr>
        <w:spacing w:after="0" w:line="260" w:lineRule="auto"/>
        <w:rPr>
          <w:sz w:val="20"/>
          <w:szCs w:val="20"/>
          <w:color w:val="auto"/>
        </w:rPr>
      </w:pPr>
      <w:r>
        <w:rPr>
          <w:rFonts w:ascii="Arial" w:cs="Arial" w:eastAsia="Arial" w:hAnsi="Arial"/>
          <w:sz w:val="20"/>
          <w:szCs w:val="20"/>
          <w:color w:val="auto"/>
        </w:rPr>
        <w:t>proposed tax assessment against any Borrower or any Subsidiary that would, if made, have a Material Adverse Effect. Neither any Borrower nor any Subsidiary thereof is party to any tax sharing agreement.</w:t>
      </w:r>
    </w:p>
    <w:p>
      <w:pPr>
        <w:spacing w:after="0" w:line="17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8"/>
          <w:szCs w:val="18"/>
          <w:b w:val="1"/>
          <w:bCs w:val="1"/>
          <w:color w:val="auto"/>
        </w:rPr>
        <w:t>ERISA Compliance</w:t>
      </w:r>
      <w:r>
        <w:rPr>
          <w:rFonts w:ascii="Arial" w:cs="Arial" w:eastAsia="Arial" w:hAnsi="Arial"/>
          <w:sz w:val="19"/>
          <w:szCs w:val="19"/>
          <w:color w:val="auto"/>
        </w:rPr>
        <w:t>.</w:t>
      </w:r>
    </w:p>
    <w:p>
      <w:pPr>
        <w:spacing w:after="0" w:line="234" w:lineRule="exact"/>
        <w:rPr>
          <w:sz w:val="20"/>
          <w:szCs w:val="20"/>
          <w:color w:val="auto"/>
        </w:rPr>
      </w:pPr>
    </w:p>
    <w:p>
      <w:pPr>
        <w:jc w:val="both"/>
        <w:ind w:firstLine="872"/>
        <w:spacing w:after="0" w:line="243" w:lineRule="auto"/>
        <w:tabs>
          <w:tab w:leader="none" w:pos="1731" w:val="left"/>
        </w:tabs>
        <w:numPr>
          <w:ilvl w:val="0"/>
          <w:numId w:val="129"/>
        </w:numPr>
        <w:rPr>
          <w:rFonts w:ascii="Arial" w:cs="Arial" w:eastAsia="Arial" w:hAnsi="Arial"/>
          <w:sz w:val="20"/>
          <w:szCs w:val="20"/>
          <w:color w:val="auto"/>
        </w:rPr>
      </w:pPr>
      <w:r>
        <w:rPr>
          <w:rFonts w:ascii="Arial" w:cs="Arial" w:eastAsia="Arial" w:hAnsi="Arial"/>
          <w:sz w:val="20"/>
          <w:szCs w:val="20"/>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Borrowers, nothing has occurred that would prevent or cause the loss of such tax-qualified status.</w:t>
      </w:r>
    </w:p>
    <w:p>
      <w:pPr>
        <w:spacing w:after="0" w:line="195" w:lineRule="exact"/>
        <w:rPr>
          <w:rFonts w:ascii="Arial" w:cs="Arial" w:eastAsia="Arial" w:hAnsi="Arial"/>
          <w:sz w:val="20"/>
          <w:szCs w:val="20"/>
          <w:color w:val="auto"/>
        </w:rPr>
      </w:pPr>
    </w:p>
    <w:p>
      <w:pPr>
        <w:jc w:val="both"/>
        <w:ind w:firstLine="872"/>
        <w:spacing w:after="0" w:line="246" w:lineRule="auto"/>
        <w:tabs>
          <w:tab w:leader="none" w:pos="174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There are no pending or, to the best knowledge of each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91" w:lineRule="exact"/>
        <w:rPr>
          <w:rFonts w:ascii="Arial" w:cs="Arial" w:eastAsia="Arial" w:hAnsi="Arial"/>
          <w:sz w:val="20"/>
          <w:szCs w:val="20"/>
          <w:color w:val="auto"/>
        </w:rPr>
      </w:pPr>
    </w:p>
    <w:p>
      <w:pPr>
        <w:jc w:val="both"/>
        <w:ind w:firstLine="872"/>
        <w:spacing w:after="0" w:line="255" w:lineRule="auto"/>
        <w:tabs>
          <w:tab w:leader="none" w:pos="1731"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 No ERISA Event has occurred, and neither any Borrower nor any ERISA Affiliate is aware of any fact, event or circumstance that could reasonably be expected to constitute or result in an ERISA Event with respect to any Pension Plan; (ii) each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any Borrower nor any ERISA Affiliate knows of any facts or circumstances that could reasonably be expected to cause the funding target attainment percentage for any such plan to drop below 60% as of the most recent valuation date; (iv) neither any Borrower nor any ERISA Affiliate has incurred any liability to the PBGC other than for the payment of premiums, and there are no premium payments which have become due that are unpaid; and (v) neither any Borrower nor any ERISA Affiliate has engaged in a transaction that could be subject to Section 4069 or Section 4212(c) of ERISA.</w:t>
      </w:r>
    </w:p>
    <w:p>
      <w:pPr>
        <w:spacing w:after="0" w:line="189" w:lineRule="exact"/>
        <w:rPr>
          <w:rFonts w:ascii="Arial" w:cs="Arial" w:eastAsia="Arial" w:hAnsi="Arial"/>
          <w:sz w:val="19"/>
          <w:szCs w:val="19"/>
          <w:color w:val="auto"/>
        </w:rPr>
      </w:pPr>
    </w:p>
    <w:p>
      <w:pPr>
        <w:jc w:val="both"/>
        <w:ind w:firstLine="872"/>
        <w:spacing w:after="0" w:line="243" w:lineRule="auto"/>
        <w:tabs>
          <w:tab w:leader="none" w:pos="174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Toro Luxembourg represents and warrants as of the Closing Date that it is not nor will not be using “plan assets” (within the meaning of 29 CFR § 2510.3-101, as modified by Section 3(42) of ERISA) of one or more Benefit Plans in connection with the Loans, the Letters of Credit or the Commitments. “</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(i) an “employee benefit plan” (as defined in ERISA) that is subject to Title I of ERISA, (ii) a “plan” as defined in Section 4975 of the Code or (iii) any Person whose assets include (for purposes of ERISA Section 3(42) or otherwise for purposes of Title I of ERISA or Section 4975 of the Code) the assets of any such “employee benefit plan” or “plan”.</w:t>
      </w:r>
    </w:p>
    <w:p>
      <w:pPr>
        <w:spacing w:after="0" w:line="18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b w:val="1"/>
          <w:bCs w:val="1"/>
          <w:color w:val="auto"/>
        </w:rPr>
        <w:t>5.13 Subsidiaries; Equity Interests</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Closing Date, the Borrowers have no Subsidiaries other than those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specifically disclosed in </w:t>
      </w:r>
      <w:r>
        <w:rPr>
          <w:rFonts w:ascii="Arial" w:cs="Arial" w:eastAsia="Arial" w:hAnsi="Arial"/>
          <w:sz w:val="19"/>
          <w:szCs w:val="19"/>
          <w:u w:val="single" w:color="auto"/>
          <w:color w:val="auto"/>
        </w:rPr>
        <w:t>Part (a)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and all of the outstanding Equity Interests in such Material Subsidiaries have been validly issued, are fully paid and nonassessable and are owned directly or indirectly by a Loan Party (other than directors’ qualifying shares required by law) in the amounts specified on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free and clear of all Liens. As of the Closing Date, Toro has no equity investments in any other corporation or entity other than those specifically disclosed in </w:t>
      </w:r>
      <w:r>
        <w:rPr>
          <w:rFonts w:ascii="Arial" w:cs="Arial" w:eastAsia="Arial" w:hAnsi="Arial"/>
          <w:sz w:val="19"/>
          <w:szCs w:val="19"/>
          <w:u w:val="single" w:color="auto"/>
          <w:color w:val="auto"/>
        </w:rPr>
        <w:t>Part (b)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5.13</w:t>
      </w:r>
      <w:r>
        <w:rPr>
          <w:rFonts w:ascii="Arial" w:cs="Arial" w:eastAsia="Arial" w:hAnsi="Arial"/>
          <w:sz w:val="19"/>
          <w:szCs w:val="19"/>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7" w:name="page98"/>
    <w:bookmarkEnd w:id="97"/>
    <w:p>
      <w:pPr>
        <w:ind w:left="880"/>
        <w:spacing w:after="0"/>
        <w:tabs>
          <w:tab w:leader="none" w:pos="1840" w:val="left"/>
        </w:tabs>
        <w:rPr>
          <w:sz w:val="20"/>
          <w:szCs w:val="20"/>
          <w:color w:val="auto"/>
        </w:rPr>
      </w:pPr>
      <w:r>
        <w:rPr>
          <w:rFonts w:ascii="Arial" w:cs="Arial" w:eastAsia="Arial" w:hAnsi="Arial"/>
          <w:sz w:val="20"/>
          <w:szCs w:val="20"/>
          <w:b w:val="1"/>
          <w:bCs w:val="1"/>
          <w:color w:val="auto"/>
        </w:rPr>
        <w:t>5.14</w:t>
      </w:r>
      <w:r>
        <w:rPr>
          <w:sz w:val="20"/>
          <w:szCs w:val="20"/>
          <w:color w:val="auto"/>
        </w:rPr>
        <w:tab/>
      </w:r>
      <w:r>
        <w:rPr>
          <w:rFonts w:ascii="Arial" w:cs="Arial" w:eastAsia="Arial" w:hAnsi="Arial"/>
          <w:sz w:val="18"/>
          <w:szCs w:val="18"/>
          <w:b w:val="1"/>
          <w:bCs w:val="1"/>
          <w:color w:val="auto"/>
        </w:rPr>
        <w:t>Margin Regulations; Investment Company Act</w:t>
      </w:r>
      <w:r>
        <w:rPr>
          <w:rFonts w:ascii="Arial" w:cs="Arial" w:eastAsia="Arial" w:hAnsi="Arial"/>
          <w:sz w:val="19"/>
          <w:szCs w:val="19"/>
          <w:color w:val="auto"/>
        </w:rPr>
        <w:t>.</w:t>
      </w:r>
    </w:p>
    <w:p>
      <w:pPr>
        <w:spacing w:after="0" w:line="234" w:lineRule="exact"/>
        <w:rPr>
          <w:sz w:val="20"/>
          <w:szCs w:val="20"/>
          <w:color w:val="auto"/>
        </w:rPr>
      </w:pPr>
    </w:p>
    <w:p>
      <w:pPr>
        <w:jc w:val="both"/>
        <w:ind w:firstLine="872"/>
        <w:spacing w:after="0" w:line="259" w:lineRule="auto"/>
        <w:tabs>
          <w:tab w:leader="none" w:pos="1731"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No Borrower is engaged or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applicable Borrower only or of Toro and its Subsidiaries on a consolidated basis) subject to the provisions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or subject to any restriction contained in any agreement or instrument between any Borrower and any Lender or any Affiliate of any Lender relating to Indebtedness will be margin stock.</w:t>
      </w:r>
    </w:p>
    <w:p>
      <w:pPr>
        <w:spacing w:after="0" w:line="178" w:lineRule="exact"/>
        <w:rPr>
          <w:rFonts w:ascii="Arial" w:cs="Arial" w:eastAsia="Arial" w:hAnsi="Arial"/>
          <w:sz w:val="19"/>
          <w:szCs w:val="19"/>
          <w:color w:val="auto"/>
        </w:rPr>
      </w:pPr>
    </w:p>
    <w:p>
      <w:pPr>
        <w:ind w:firstLine="872"/>
        <w:spacing w:after="0" w:line="260" w:lineRule="auto"/>
        <w:tabs>
          <w:tab w:leader="none" w:pos="174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None of the Borrowers, any Person Controlling any Borrower, or any Subsidiary is or is required to be registered as an “investment company” under the Investment Company Act of 1940.</w:t>
      </w:r>
    </w:p>
    <w:p>
      <w:pPr>
        <w:spacing w:after="0" w:line="16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b w:val="1"/>
          <w:bCs w:val="1"/>
          <w:color w:val="auto"/>
        </w:rPr>
        <w:t>5.15 Copyrights, Patents, Trademarks and Licenses, Etc</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Borrowers and their Subsidiaries own or are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or otherwise have the right to use all of the patents, trademarks, service marks, trade names, copyrights, contractual franchises, authorizations and other rights that are reasonably necessary in the best business judgment of the Borrowers for the operation of their respective businesses, without conflict with the rights of any other Person which could reasonably be expected to have a Material Adverse Effect. To the best knowledge of the Borrowers, as of the date hereof, no slogan or other advertising device, product, process, method, substance, part or other material now employed, or now contemplated to be employed, by the Borrowers or any Subsidiary infringes upon any rights held by any other Person and no claim or litigation regarding any of the foregoing is pending or threatened, and no patent, invention, device, application, principle or any statute, law, rule, regulation, standard or code is pending or, to the knowledge of the Borrowers, proposed, which, in any case, could reasonably be expected to have a Material Adverse Effect.</w:t>
      </w:r>
    </w:p>
    <w:p>
      <w:pPr>
        <w:spacing w:after="0" w:line="16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 xml:space="preserve">5.16 Disclosure. </w:t>
      </w:r>
      <w:r>
        <w:rPr>
          <w:rFonts w:ascii="Arial" w:cs="Arial" w:eastAsia="Arial" w:hAnsi="Arial"/>
          <w:sz w:val="19"/>
          <w:szCs w:val="19"/>
          <w:color w:val="auto"/>
        </w:rPr>
        <w:t>Each Borrower has disclosed to the Administrative Agent and the Lenders all agreements, instruments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(in writing)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Toro represents only that such information was prepared in good faith based upon assumptions believed to be reasonable at the time.</w:t>
      </w:r>
    </w:p>
    <w:p>
      <w:pPr>
        <w:spacing w:after="0" w:line="17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5.17 Compliance with Laws. </w:t>
      </w:r>
      <w:r>
        <w:rPr>
          <w:rFonts w:ascii="Arial" w:cs="Arial" w:eastAsia="Arial" w:hAnsi="Arial"/>
          <w:sz w:val="20"/>
          <w:szCs w:val="20"/>
          <w:color w:val="auto"/>
        </w:rPr>
        <w:t>Each of the Borrowers and each Subsidiary thereof is in compliance in all material respects</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5.18</w:t>
      </w:r>
      <w:r>
        <w:rPr>
          <w:sz w:val="20"/>
          <w:szCs w:val="20"/>
          <w:color w:val="auto"/>
        </w:rPr>
        <w:tab/>
      </w:r>
      <w:r>
        <w:rPr>
          <w:rFonts w:ascii="Arial" w:cs="Arial" w:eastAsia="Arial" w:hAnsi="Arial"/>
          <w:sz w:val="18"/>
          <w:szCs w:val="18"/>
          <w:b w:val="1"/>
          <w:bCs w:val="1"/>
          <w:color w:val="auto"/>
        </w:rPr>
        <w:t xml:space="preserve">Representations as to Foreign Obligors.  </w:t>
      </w:r>
      <w:r>
        <w:rPr>
          <w:rFonts w:ascii="Arial" w:cs="Arial" w:eastAsia="Arial" w:hAnsi="Arial"/>
          <w:sz w:val="18"/>
          <w:szCs w:val="18"/>
          <w:color w:val="auto"/>
        </w:rPr>
        <w:t>Each of Toro and each Foreign Obligor represents and warrants to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the Lenders that:</w:t>
      </w:r>
    </w:p>
    <w:p>
      <w:pPr>
        <w:spacing w:after="0" w:line="200" w:lineRule="exact"/>
        <w:rPr>
          <w:sz w:val="20"/>
          <w:szCs w:val="20"/>
          <w:color w:val="auto"/>
        </w:rPr>
      </w:pPr>
    </w:p>
    <w:p>
      <w:pPr>
        <w:ind w:firstLine="872"/>
        <w:spacing w:after="0" w:line="260" w:lineRule="auto"/>
        <w:tabs>
          <w:tab w:leader="none" w:pos="173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Such Foreign Obligor is subject to civil and commercial Laws with respect to its obligations under this Agreement and the other Loan Documents to which it is a party (collectively as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8" w:name="page99"/>
    <w:bookmarkEnd w:id="98"/>
    <w:p>
      <w:pPr>
        <w:jc w:val="both"/>
        <w:spacing w:after="0" w:line="243" w:lineRule="auto"/>
        <w:rPr>
          <w:sz w:val="20"/>
          <w:szCs w:val="20"/>
          <w:color w:val="auto"/>
        </w:rPr>
      </w:pPr>
      <w:r>
        <w:rPr>
          <w:rFonts w:ascii="Arial" w:cs="Arial" w:eastAsia="Arial" w:hAnsi="Arial"/>
          <w:sz w:val="20"/>
          <w:szCs w:val="20"/>
          <w:color w:val="auto"/>
        </w:rPr>
        <w:t>such Foreign Obligor, the “</w:t>
      </w:r>
      <w:r>
        <w:rPr>
          <w:rFonts w:ascii="Arial" w:cs="Arial" w:eastAsia="Arial" w:hAnsi="Arial"/>
          <w:sz w:val="20"/>
          <w:szCs w:val="20"/>
          <w:u w:val="single" w:color="auto"/>
          <w:color w:val="auto"/>
        </w:rPr>
        <w:t>Applicable Foreign Obligor Documents</w:t>
      </w:r>
      <w:r>
        <w:rPr>
          <w:rFonts w:ascii="Arial" w:cs="Arial" w:eastAsia="Arial" w:hAnsi="Arial"/>
          <w:sz w:val="20"/>
          <w:szCs w:val="20"/>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96" w:lineRule="exact"/>
        <w:rPr>
          <w:sz w:val="20"/>
          <w:szCs w:val="20"/>
          <w:color w:val="auto"/>
        </w:rPr>
      </w:pPr>
    </w:p>
    <w:p>
      <w:pPr>
        <w:jc w:val="both"/>
        <w:ind w:firstLine="872"/>
        <w:spacing w:after="0" w:line="270" w:lineRule="auto"/>
        <w:tabs>
          <w:tab w:leader="none" w:pos="174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(ii) any charge or tax as has been timely paid and (iii) with respect to the admissibility of documents in evidence in the Grand Duchy of Luxembourg, the registration of the Agreement with the </w:t>
      </w:r>
      <w:r>
        <w:rPr>
          <w:rFonts w:ascii="Arial" w:cs="Arial" w:eastAsia="Arial" w:hAnsi="Arial"/>
          <w:sz w:val="18"/>
          <w:szCs w:val="18"/>
          <w:i w:val="1"/>
          <w:iCs w:val="1"/>
          <w:color w:val="auto"/>
        </w:rPr>
        <w:t>Administration de l'Enregistrement et des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Domaines </w:t>
      </w:r>
      <w:r>
        <w:rPr>
          <w:rFonts w:ascii="Arial" w:cs="Arial" w:eastAsia="Arial" w:hAnsi="Arial"/>
          <w:sz w:val="18"/>
          <w:szCs w:val="18"/>
          <w:color w:val="auto"/>
        </w:rPr>
        <w:t>in the Grand Duchy of Luxembourg which might be required in the case of legal proceedings being brought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Luxembourg courts in order for the Applicable Foreign Obligor Documents to be admissible in evidence in the Grand Duchy of Luxembourg.</w:t>
      </w:r>
    </w:p>
    <w:p>
      <w:pPr>
        <w:spacing w:after="0" w:line="175" w:lineRule="exact"/>
        <w:rPr>
          <w:rFonts w:ascii="Arial" w:cs="Arial" w:eastAsia="Arial" w:hAnsi="Arial"/>
          <w:sz w:val="18"/>
          <w:szCs w:val="18"/>
          <w:color w:val="auto"/>
        </w:rPr>
      </w:pPr>
    </w:p>
    <w:p>
      <w:pPr>
        <w:jc w:val="both"/>
        <w:ind w:firstLine="872"/>
        <w:spacing w:after="0" w:line="311" w:lineRule="auto"/>
        <w:tabs>
          <w:tab w:leader="none" w:pos="173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(x) with respect to Toro Luxembourg, the registration of the Agreement with the </w:t>
      </w:r>
      <w:r>
        <w:rPr>
          <w:rFonts w:ascii="Arial" w:cs="Arial" w:eastAsia="Arial" w:hAnsi="Arial"/>
          <w:sz w:val="16"/>
          <w:szCs w:val="16"/>
          <w:i w:val="1"/>
          <w:iCs w:val="1"/>
          <w:color w:val="auto"/>
        </w:rPr>
        <w:t>Administration de l'Enregistrement et des Domaines</w:t>
      </w:r>
      <w:r>
        <w:rPr>
          <w:rFonts w:ascii="Arial" w:cs="Arial" w:eastAsia="Arial" w:hAnsi="Arial"/>
          <w:sz w:val="16"/>
          <w:szCs w:val="16"/>
          <w:color w:val="auto"/>
        </w:rPr>
        <w:t xml:space="preserve"> in the Grand Duchy of Luxembourg as may be required in the case of legal proceedings being brought before the Luxembourg courts or, in the case that the Agreement must be produced before an official Luxembourg authority or, in the case that the Agreement is referred to in a public deed, in which case either a nominal registration duty or an </w:t>
      </w:r>
      <w:r>
        <w:rPr>
          <w:rFonts w:ascii="Arial" w:cs="Arial" w:eastAsia="Arial" w:hAnsi="Arial"/>
          <w:sz w:val="16"/>
          <w:szCs w:val="16"/>
          <w:i w:val="1"/>
          <w:iCs w:val="1"/>
          <w:color w:val="auto"/>
        </w:rPr>
        <w:t>ad valorem</w:t>
      </w:r>
      <w:r>
        <w:rPr>
          <w:rFonts w:ascii="Arial" w:cs="Arial" w:eastAsia="Arial" w:hAnsi="Arial"/>
          <w:sz w:val="16"/>
          <w:szCs w:val="16"/>
          <w:color w:val="auto"/>
        </w:rPr>
        <w:t xml:space="preserve"> duty will be payable depending on the nature of the document to be registered, or (y) as has been disclosed to the Administrative Agent.</w:t>
      </w:r>
    </w:p>
    <w:p>
      <w:pPr>
        <w:spacing w:after="0" w:line="144" w:lineRule="exact"/>
        <w:rPr>
          <w:rFonts w:ascii="Arial" w:cs="Arial" w:eastAsia="Arial" w:hAnsi="Arial"/>
          <w:sz w:val="16"/>
          <w:szCs w:val="16"/>
          <w:color w:val="auto"/>
        </w:rPr>
      </w:pPr>
    </w:p>
    <w:p>
      <w:pPr>
        <w:jc w:val="both"/>
        <w:ind w:firstLine="872"/>
        <w:spacing w:after="0" w:line="244" w:lineRule="auto"/>
        <w:tabs>
          <w:tab w:leader="none" w:pos="174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notification or authorization described in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shall be made or obtained as soon as is reasonably practicable).</w:t>
      </w:r>
    </w:p>
    <w:p>
      <w:pPr>
        <w:spacing w:after="0" w:line="18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b w:val="1"/>
          <w:bCs w:val="1"/>
          <w:color w:val="auto"/>
        </w:rPr>
        <w:t>5.19 Taxpayer Identification Number; Other Identifying Information</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true and correct U.S. taxpayer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identification number of each Borrower that is not a Foreign Obligor is set forth on </w:t>
      </w:r>
      <w:r>
        <w:rPr>
          <w:rFonts w:ascii="Arial" w:cs="Arial" w:eastAsia="Arial" w:hAnsi="Arial"/>
          <w:sz w:val="20"/>
          <w:szCs w:val="20"/>
          <w:u w:val="single" w:color="auto"/>
          <w:color w:val="auto"/>
        </w:rPr>
        <w:t>Schedule 11.02</w:t>
      </w:r>
      <w:r>
        <w:rPr>
          <w:rFonts w:ascii="Arial" w:cs="Arial" w:eastAsia="Arial" w:hAnsi="Arial"/>
          <w:sz w:val="20"/>
          <w:szCs w:val="20"/>
          <w:color w:val="auto"/>
        </w:rPr>
        <w:t xml:space="preserve">. The true and correct unique identification number of each Foreign Obligor that is a party hereto on the Closing Date that has been issued by its jurisdiction of organization and the name of such jurisdiction are set forth on </w:t>
      </w:r>
      <w:r>
        <w:rPr>
          <w:rFonts w:ascii="Arial" w:cs="Arial" w:eastAsia="Arial" w:hAnsi="Arial"/>
          <w:sz w:val="20"/>
          <w:szCs w:val="20"/>
          <w:u w:val="single" w:color="auto"/>
          <w:color w:val="auto"/>
        </w:rPr>
        <w:t>Schedule 5.19</w:t>
      </w:r>
      <w:r>
        <w:rPr>
          <w:rFonts w:ascii="Arial" w:cs="Arial" w:eastAsia="Arial" w:hAnsi="Arial"/>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9" w:name="page100"/>
    <w:bookmarkEnd w:id="99"/>
    <w:p>
      <w:pPr>
        <w:jc w:val="both"/>
        <w:ind w:firstLine="864"/>
        <w:spacing w:after="0" w:line="253" w:lineRule="auto"/>
        <w:rPr>
          <w:sz w:val="20"/>
          <w:szCs w:val="20"/>
          <w:color w:val="auto"/>
        </w:rPr>
      </w:pPr>
      <w:r>
        <w:rPr>
          <w:rFonts w:ascii="Arial" w:cs="Arial" w:eastAsia="Arial" w:hAnsi="Arial"/>
          <w:sz w:val="20"/>
          <w:szCs w:val="20"/>
          <w:b w:val="1"/>
          <w:bCs w:val="1"/>
          <w:color w:val="auto"/>
        </w:rPr>
        <w:t>5.20 OFAC</w:t>
      </w:r>
      <w:r>
        <w:rPr>
          <w:rFonts w:ascii="Arial" w:cs="Arial" w:eastAsia="Arial" w:hAnsi="Arial"/>
          <w:sz w:val="20"/>
          <w:szCs w:val="20"/>
          <w:color w:val="auto"/>
        </w:rPr>
        <w:t>. Neither any Borrower, nor any of its Subsidiaries, nor, to the knowledge of any Borrower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any director, officer, employee, agent, affiliate or representative thereof, is an individual or entity currently the subject of any Sanctions, nor is any Borrower or any Subsidiary located, organized or resident in a Designated Jurisdiction.</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5.21 Anti-Corruption Laws. </w:t>
      </w:r>
      <w:r>
        <w:rPr>
          <w:rFonts w:ascii="Arial" w:cs="Arial" w:eastAsia="Arial" w:hAnsi="Arial"/>
          <w:sz w:val="20"/>
          <w:szCs w:val="20"/>
          <w:color w:val="auto"/>
        </w:rPr>
        <w:t>Each of the Borrowers and each Subsidiary, to the knowledge of any Borrower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have used reasonable efforts to conduct their businesses in compliance with applicable anti-corruption laws, and have instituted and maintained policies and procedures designed to promote and achieve compliance with such laws.</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5.22 Beneficial Ownership. </w:t>
      </w:r>
      <w:r>
        <w:rPr>
          <w:rFonts w:ascii="Arial" w:cs="Arial" w:eastAsia="Arial" w:hAnsi="Arial"/>
          <w:sz w:val="20"/>
          <w:szCs w:val="20"/>
          <w:color w:val="auto"/>
        </w:rPr>
        <w:t>The information included in the Beneficial Ownership Certification, if applicable, 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by each Borrower on or prior to the Closing Date, as updated from time to time in accordance with this Agreement, is true, complete and correct in all respects as of the Closing Date and as of the date any such update is delivered.</w:t>
      </w:r>
    </w:p>
    <w:p>
      <w:pPr>
        <w:spacing w:after="0" w:line="177"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0"/>
          <w:szCs w:val="20"/>
          <w:b w:val="1"/>
          <w:bCs w:val="1"/>
          <w:color w:val="auto"/>
        </w:rPr>
        <w:t>5.23</w:t>
      </w:r>
      <w:r>
        <w:rPr>
          <w:sz w:val="20"/>
          <w:szCs w:val="20"/>
          <w:color w:val="auto"/>
        </w:rPr>
        <w:tab/>
      </w:r>
      <w:r>
        <w:rPr>
          <w:rFonts w:ascii="Arial" w:cs="Arial" w:eastAsia="Arial" w:hAnsi="Arial"/>
          <w:sz w:val="18"/>
          <w:szCs w:val="18"/>
          <w:b w:val="1"/>
          <w:bCs w:val="1"/>
          <w:color w:val="auto"/>
        </w:rPr>
        <w:t xml:space="preserve">Covered Entity. </w:t>
      </w:r>
      <w:r>
        <w:rPr>
          <w:rFonts w:ascii="Arial" w:cs="Arial" w:eastAsia="Arial" w:hAnsi="Arial"/>
          <w:sz w:val="18"/>
          <w:szCs w:val="18"/>
          <w:color w:val="auto"/>
        </w:rPr>
        <w:t>No Borrower is a Covered Entity.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0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So long as any Lender shall have any Commitment hereunder, any Loan or other Obligation hereunder shall remain unpaid or unsatisfied, or any Letter of Credit shall remain outstanding, Toro shall, and shall (except in the case of the covenants set forth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6.03</w:t>
      </w:r>
      <w:r>
        <w:rPr>
          <w:rFonts w:ascii="Arial" w:cs="Arial" w:eastAsia="Arial" w:hAnsi="Arial"/>
          <w:sz w:val="20"/>
          <w:szCs w:val="20"/>
          <w:color w:val="auto"/>
        </w:rPr>
        <w:t>) cause each Subsidiary to:</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6.01</w:t>
      </w:r>
      <w:r>
        <w:rPr>
          <w:sz w:val="20"/>
          <w:szCs w:val="20"/>
          <w:color w:val="auto"/>
        </w:rPr>
        <w:tab/>
      </w: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Deliver to the Administrative Agent and each Lender, in form and detail satisfactory to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the Required Lenders:</w:t>
      </w:r>
    </w:p>
    <w:p>
      <w:pPr>
        <w:spacing w:after="0" w:line="20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(a) as soon as available, but in any event within 120 days after the end of each fiscal year of Toro, a consolidated balance sheet of Toro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6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(b) as soon as available, but in any event within 50 days after the end of each of the first three fiscal quarters of each fiscal year of Toro, a consolidated balance sheet of Toro and its Subsidiaries as at the end of such fiscal quarter, and the related consolidated statements of income or operations, stockholders’ equity and cash flows for such fiscal quarter and for the portion of Toro’s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a Responsible Officer of Toro as fairly presenting the financial condition, results of operations, stockholders’ equity and cash flows of Toro and its Subsidiaries in accordance with GAAP, subject only to normal year-end audit adjustments and the absence of footnotes.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As to any information contained in materials furnished pursuant to </w:t>
      </w:r>
      <w:r>
        <w:rPr>
          <w:rFonts w:ascii="Arial" w:cs="Arial" w:eastAsia="Arial" w:hAnsi="Arial"/>
          <w:sz w:val="20"/>
          <w:szCs w:val="20"/>
          <w:u w:val="single" w:color="auto"/>
          <w:color w:val="auto"/>
        </w:rPr>
        <w:t>Section 6.02(c)</w:t>
      </w:r>
      <w:r>
        <w:rPr>
          <w:rFonts w:ascii="Arial" w:cs="Arial" w:eastAsia="Arial" w:hAnsi="Arial"/>
          <w:sz w:val="20"/>
          <w:szCs w:val="20"/>
          <w:color w:val="auto"/>
        </w:rPr>
        <w:t xml:space="preserve">, Toro shall not be separately required to furnish such information under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but the foregoing shall not be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p>
      <w:pPr>
        <w:spacing w:after="0" w:line="260" w:lineRule="auto"/>
        <w:rPr>
          <w:sz w:val="20"/>
          <w:szCs w:val="20"/>
          <w:color w:val="auto"/>
        </w:rPr>
      </w:pPr>
      <w:r>
        <w:rPr>
          <w:rFonts w:ascii="Arial" w:cs="Arial" w:eastAsia="Arial" w:hAnsi="Arial"/>
          <w:sz w:val="20"/>
          <w:szCs w:val="20"/>
          <w:color w:val="auto"/>
        </w:rPr>
        <w:t xml:space="preserve">in derogation of the obligation of Toro to furnish the information and materials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at the times specified therein.</w:t>
      </w:r>
    </w:p>
    <w:p>
      <w:pPr>
        <w:spacing w:after="0" w:line="166" w:lineRule="exact"/>
        <w:rPr>
          <w:sz w:val="20"/>
          <w:szCs w:val="20"/>
          <w:color w:val="auto"/>
        </w:rPr>
      </w:pPr>
    </w:p>
    <w:p>
      <w:pPr>
        <w:ind w:firstLine="864"/>
        <w:spacing w:after="0" w:line="273" w:lineRule="auto"/>
        <w:rPr>
          <w:sz w:val="20"/>
          <w:szCs w:val="20"/>
          <w:color w:val="auto"/>
        </w:rPr>
      </w:pPr>
      <w:r>
        <w:rPr>
          <w:rFonts w:ascii="Arial" w:cs="Arial" w:eastAsia="Arial" w:hAnsi="Arial"/>
          <w:sz w:val="20"/>
          <w:szCs w:val="20"/>
          <w:b w:val="1"/>
          <w:bCs w:val="1"/>
          <w:color w:val="auto"/>
        </w:rPr>
        <w:t>6.02 Certificates; Other Information</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Deliver to the Administrative Agent and each Lender, in form and detail</w:t>
      </w:r>
      <w:r>
        <w:rPr>
          <w:rFonts w:ascii="Arial" w:cs="Arial" w:eastAsia="Arial" w:hAnsi="Arial"/>
          <w:sz w:val="20"/>
          <w:szCs w:val="20"/>
          <w:b w:val="1"/>
          <w:bCs w:val="1"/>
          <w:color w:val="auto"/>
        </w:rPr>
        <w:t xml:space="preserve"> </w:t>
      </w:r>
      <w:r>
        <w:rPr>
          <w:rFonts w:ascii="Arial" w:cs="Arial" w:eastAsia="Arial" w:hAnsi="Arial"/>
          <w:sz w:val="20"/>
          <w:szCs w:val="20"/>
          <w:color w:val="auto"/>
        </w:rPr>
        <w:t>satisfactory to the Administrative Agent and the Required Lenders:</w:t>
      </w:r>
    </w:p>
    <w:p>
      <w:pPr>
        <w:spacing w:after="0" w:line="163" w:lineRule="exact"/>
        <w:rPr>
          <w:sz w:val="20"/>
          <w:szCs w:val="20"/>
          <w:color w:val="auto"/>
        </w:rPr>
      </w:pPr>
    </w:p>
    <w:p>
      <w:pPr>
        <w:ind w:right="20" w:firstLine="872"/>
        <w:spacing w:after="0" w:line="260" w:lineRule="auto"/>
        <w:tabs>
          <w:tab w:leader="none" w:pos="1731"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 duly completed Compliance Certificate signed by a Responsible Officer of Toro;</w:t>
      </w:r>
    </w:p>
    <w:p>
      <w:pPr>
        <w:spacing w:after="0" w:line="176" w:lineRule="exact"/>
        <w:rPr>
          <w:rFonts w:ascii="Arial" w:cs="Arial" w:eastAsia="Arial" w:hAnsi="Arial"/>
          <w:sz w:val="20"/>
          <w:szCs w:val="20"/>
          <w:color w:val="auto"/>
        </w:rPr>
      </w:pPr>
    </w:p>
    <w:p>
      <w:pPr>
        <w:jc w:val="both"/>
        <w:ind w:firstLine="872"/>
        <w:spacing w:after="0" w:line="269" w:lineRule="auto"/>
        <w:tabs>
          <w:tab w:leader="none" w:pos="174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promptly after any request by the Administrative Agent or any Lender, copies of any detailed audit reports, management letters or recommendations submitted to the board of directors (or the audit committee of the board of directors) of Toro by independent accountants in connection with the accounts or books of Toro or any Subsidiary, or any audit of any of them;</w:t>
      </w:r>
    </w:p>
    <w:p>
      <w:pPr>
        <w:spacing w:after="0" w:line="169" w:lineRule="exact"/>
        <w:rPr>
          <w:rFonts w:ascii="Arial" w:cs="Arial" w:eastAsia="Arial" w:hAnsi="Arial"/>
          <w:sz w:val="19"/>
          <w:szCs w:val="19"/>
          <w:color w:val="auto"/>
        </w:rPr>
      </w:pPr>
    </w:p>
    <w:p>
      <w:pPr>
        <w:jc w:val="both"/>
        <w:ind w:firstLine="872"/>
        <w:spacing w:after="0" w:line="246" w:lineRule="auto"/>
        <w:tabs>
          <w:tab w:leader="none" w:pos="1731" w:val="left"/>
        </w:tabs>
        <w:numPr>
          <w:ilvl w:val="0"/>
          <w:numId w:val="133"/>
        </w:numPr>
        <w:rPr>
          <w:rFonts w:ascii="Arial" w:cs="Arial" w:eastAsia="Arial" w:hAnsi="Arial"/>
          <w:sz w:val="20"/>
          <w:szCs w:val="20"/>
          <w:color w:val="auto"/>
        </w:rPr>
      </w:pPr>
      <w:r>
        <w:rPr>
          <w:rFonts w:ascii="Arial" w:cs="Arial" w:eastAsia="Arial" w:hAnsi="Arial"/>
          <w:sz w:val="20"/>
          <w:szCs w:val="20"/>
          <w:color w:val="auto"/>
        </w:rPr>
        <w:t>promptly after the same are available, copies of each annual report, proxy or financial statement or other report or communication sent to the stockholders of Toro, and copies of all annual, regular, periodic and special reports and registration statements which Toro may file or be required to file with the SEC under Section 13 or 15(d) of the Exchange Act, and not otherwise required to be delivered to the Administrative Agent pursuant hereto;</w:t>
      </w:r>
    </w:p>
    <w:p>
      <w:pPr>
        <w:spacing w:after="0" w:line="191" w:lineRule="exact"/>
        <w:rPr>
          <w:rFonts w:ascii="Arial" w:cs="Arial" w:eastAsia="Arial" w:hAnsi="Arial"/>
          <w:sz w:val="20"/>
          <w:szCs w:val="20"/>
          <w:color w:val="auto"/>
        </w:rPr>
      </w:pPr>
    </w:p>
    <w:p>
      <w:pPr>
        <w:ind w:firstLine="872"/>
        <w:spacing w:after="0" w:line="260" w:lineRule="auto"/>
        <w:tabs>
          <w:tab w:leader="none" w:pos="174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concurrently with the closing of a Receivables Purchase Facility, a copy of the documentation related thereto certified by a Responsible Officer as being true, correct and complete;</w:t>
      </w:r>
    </w:p>
    <w:p>
      <w:pPr>
        <w:spacing w:after="0" w:line="176" w:lineRule="exact"/>
        <w:rPr>
          <w:rFonts w:ascii="Arial" w:cs="Arial" w:eastAsia="Arial" w:hAnsi="Arial"/>
          <w:sz w:val="20"/>
          <w:szCs w:val="20"/>
          <w:color w:val="auto"/>
        </w:rPr>
      </w:pPr>
    </w:p>
    <w:p>
      <w:pPr>
        <w:jc w:val="both"/>
        <w:ind w:firstLine="872"/>
        <w:spacing w:after="0" w:line="244" w:lineRule="auto"/>
        <w:tabs>
          <w:tab w:leader="none" w:pos="1731" w:val="left"/>
        </w:tabs>
        <w:numPr>
          <w:ilvl w:val="0"/>
          <w:numId w:val="133"/>
        </w:numPr>
        <w:rPr>
          <w:rFonts w:ascii="Arial" w:cs="Arial" w:eastAsia="Arial" w:hAnsi="Arial"/>
          <w:sz w:val="20"/>
          <w:szCs w:val="20"/>
          <w:color w:val="auto"/>
        </w:rPr>
      </w:pPr>
      <w:r>
        <w:rPr>
          <w:rFonts w:ascii="Arial" w:cs="Arial" w:eastAsia="Arial" w:hAnsi="Arial"/>
          <w:sz w:val="20"/>
          <w:szCs w:val="20"/>
          <w:color w:val="auto"/>
        </w:rPr>
        <w:t>so long as it is not precluded from doing so by the rules of the SEC or other comparable agency, promptly, and in any event within five Business Days after receipt thereof by any Loan Party or any Subsidiary thereof, copies of each notice or other correspondence, other than routine comments on filed documents, received from the SEC (or comparable agency in any applicable non-U.S. jurisdiction) concerning any investigation (whether formal or informal) by such agency regarding financial or other operational results of any Loan Party or any Subsidiary thereof;</w:t>
      </w:r>
    </w:p>
    <w:p>
      <w:pPr>
        <w:spacing w:after="0" w:line="194" w:lineRule="exact"/>
        <w:rPr>
          <w:rFonts w:ascii="Arial" w:cs="Arial" w:eastAsia="Arial" w:hAnsi="Arial"/>
          <w:sz w:val="20"/>
          <w:szCs w:val="20"/>
          <w:color w:val="auto"/>
        </w:rPr>
      </w:pPr>
    </w:p>
    <w:p>
      <w:pPr>
        <w:jc w:val="both"/>
        <w:ind w:firstLine="872"/>
        <w:spacing w:after="0" w:line="250" w:lineRule="auto"/>
        <w:tabs>
          <w:tab w:leader="none" w:pos="1709" w:val="left"/>
        </w:tabs>
        <w:numPr>
          <w:ilvl w:val="0"/>
          <w:numId w:val="133"/>
        </w:numPr>
        <w:rPr>
          <w:rFonts w:ascii="Arial" w:cs="Arial" w:eastAsia="Arial" w:hAnsi="Arial"/>
          <w:sz w:val="20"/>
          <w:szCs w:val="20"/>
          <w:color w:val="auto"/>
        </w:rPr>
      </w:pPr>
      <w:r>
        <w:rPr>
          <w:rFonts w:ascii="Arial" w:cs="Arial" w:eastAsia="Arial" w:hAnsi="Arial"/>
          <w:sz w:val="20"/>
          <w:szCs w:val="20"/>
          <w:color w:val="auto"/>
        </w:rPr>
        <w:t>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anti-money laundering laws; and</w:t>
      </w:r>
    </w:p>
    <w:p>
      <w:pPr>
        <w:spacing w:after="0" w:line="185" w:lineRule="exact"/>
        <w:rPr>
          <w:rFonts w:ascii="Arial" w:cs="Arial" w:eastAsia="Arial" w:hAnsi="Arial"/>
          <w:sz w:val="20"/>
          <w:szCs w:val="20"/>
          <w:color w:val="auto"/>
        </w:rPr>
      </w:pPr>
    </w:p>
    <w:p>
      <w:pPr>
        <w:ind w:firstLine="872"/>
        <w:spacing w:after="0" w:line="316" w:lineRule="auto"/>
        <w:tabs>
          <w:tab w:leader="none" w:pos="174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Toro or any Subsidiary, or compliance with the terms of the Loan Documents, as the Administrative Agent or any Lender may from time to time reasonably request.</w:t>
      </w:r>
    </w:p>
    <w:p>
      <w:pPr>
        <w:spacing w:after="0" w:line="13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Toro posts such documents, or provides a link thereto on Toro’s website on the Internet at the website address listed on </w:t>
      </w:r>
      <w:r>
        <w:rPr>
          <w:rFonts w:ascii="Arial" w:cs="Arial" w:eastAsia="Arial" w:hAnsi="Arial"/>
          <w:sz w:val="19"/>
          <w:szCs w:val="19"/>
          <w:u w:val="single" w:color="auto"/>
          <w:color w:val="auto"/>
        </w:rPr>
        <w:t>Schedule 11.02</w:t>
      </w:r>
      <w:r>
        <w:rPr>
          <w:rFonts w:ascii="Arial" w:cs="Arial" w:eastAsia="Arial" w:hAnsi="Arial"/>
          <w:sz w:val="19"/>
          <w:szCs w:val="19"/>
          <w:color w:val="auto"/>
        </w:rPr>
        <w:t xml:space="preserve">; or (ii) on which such documents are posted on Toro’s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Toro shall deliver paper copies of such documents to the Administrative Agent or any Lender that requests Toro to deliver such paper copies until a written request to cease delivering paper copies is given by the Administrative Agent or such Lender. The Administrative Agent shall have no obligation to request the delivery or to maintain copies of the documents referred to above, and in any event shall have no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1" w:name="page102"/>
    <w:bookmarkEnd w:id="101"/>
    <w:p>
      <w:pPr>
        <w:jc w:val="both"/>
        <w:spacing w:after="0" w:line="260" w:lineRule="auto"/>
        <w:rPr>
          <w:sz w:val="20"/>
          <w:szCs w:val="20"/>
          <w:color w:val="auto"/>
        </w:rPr>
      </w:pPr>
      <w:r>
        <w:rPr>
          <w:rFonts w:ascii="Arial" w:cs="Arial" w:eastAsia="Arial" w:hAnsi="Arial"/>
          <w:sz w:val="20"/>
          <w:szCs w:val="20"/>
          <w:color w:val="auto"/>
        </w:rPr>
        <w:t>responsibility to monitor compliance by Toro with any such request for delivery, and each Lender shall be solely responsible for requesting delivery to it or maintaining its copies of such documents.</w:t>
      </w:r>
    </w:p>
    <w:p>
      <w:pPr>
        <w:spacing w:after="0" w:line="17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Each Borrower hereby acknowledges that (a) the Administrative Agent and/or the Arrangers will make available to the Lenders and the L/C Issuer materials and/or information provided by or on behalf of the Borrowers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Syndtrak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 and the Lenders to treat such Borrower Materials as not containing any material non-public information with respect to such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7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6.03</w:t>
      </w:r>
      <w:r>
        <w:rPr>
          <w:sz w:val="20"/>
          <w:szCs w:val="20"/>
          <w:color w:val="auto"/>
        </w:rPr>
        <w:tab/>
      </w:r>
      <w:r>
        <w:rPr>
          <w:rFonts w:ascii="Arial" w:cs="Arial" w:eastAsia="Arial" w:hAnsi="Arial"/>
          <w:sz w:val="18"/>
          <w:szCs w:val="18"/>
          <w:b w:val="1"/>
          <w:bCs w:val="1"/>
          <w:color w:val="auto"/>
        </w:rPr>
        <w:t>Notices</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notify the Administrative Agent and each Lender:</w:t>
      </w:r>
    </w:p>
    <w:p>
      <w:pPr>
        <w:spacing w:after="0" w:line="240" w:lineRule="exact"/>
        <w:rPr>
          <w:sz w:val="20"/>
          <w:szCs w:val="20"/>
          <w:color w:val="auto"/>
        </w:rPr>
      </w:pPr>
    </w:p>
    <w:p>
      <w:pPr>
        <w:ind w:firstLine="872"/>
        <w:spacing w:after="0" w:line="260" w:lineRule="auto"/>
        <w:tabs>
          <w:tab w:leader="none" w:pos="173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of the occurrence of any Default or Event of Default, and of the occurrence or existence of any event or circumstance that foreseeably will become a Default or Event of Default;</w:t>
      </w:r>
    </w:p>
    <w:p>
      <w:pPr>
        <w:spacing w:after="0" w:line="176" w:lineRule="exact"/>
        <w:rPr>
          <w:rFonts w:ascii="Arial" w:cs="Arial" w:eastAsia="Arial" w:hAnsi="Arial"/>
          <w:sz w:val="20"/>
          <w:szCs w:val="20"/>
          <w:color w:val="auto"/>
        </w:rPr>
      </w:pPr>
    </w:p>
    <w:p>
      <w:pPr>
        <w:jc w:val="both"/>
        <w:ind w:firstLine="872"/>
        <w:spacing w:after="0" w:line="257" w:lineRule="auto"/>
        <w:tabs>
          <w:tab w:leader="none" w:pos="174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of any matter that has resulted or could reasonably be expected to result in a Material Adverse Effect, including (i) breach or non-performance of, or any default under, a Contractual Obligation of any Borrower or any Subsidiary; (ii) any dispute, litigation, investigation, proceeding or suspension between any Borrower or any Subsidiary and any Governmental Authority; or (iii) the commencement of, or any material development in, any litigation or proceeding affecting any Borrower or any Subsidiary, including pursuant to any applicable Environmental Laws in each case under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 which (A) is reasonably likely to create liability to any Borrower in excess of $75,000,000 in any individual circumstance or in excess of $125,000,000 in the aggregate for all such circumstances, or (B) is otherwise reasonably likely to have a Material Adverse Effect and (iv) other matter that has resulted or is reasonably likely to result in a Material Adverse Effect;</w:t>
      </w:r>
    </w:p>
    <w:p>
      <w:pPr>
        <w:spacing w:after="0" w:line="180" w:lineRule="exact"/>
        <w:rPr>
          <w:rFonts w:ascii="Arial" w:cs="Arial" w:eastAsia="Arial" w:hAnsi="Arial"/>
          <w:sz w:val="19"/>
          <w:szCs w:val="19"/>
          <w:color w:val="auto"/>
        </w:rPr>
      </w:pPr>
    </w:p>
    <w:p>
      <w:pPr>
        <w:jc w:val="both"/>
        <w:ind w:firstLine="872"/>
        <w:spacing w:after="0" w:line="246" w:lineRule="auto"/>
        <w:tabs>
          <w:tab w:leader="none" w:pos="173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of the occurrence of any of the following events affecting any Borrower or any ERISA Affiliate (but in no event more than 10 days after such event), and deliver to the Administrative Agent and each Lender a copy of any notice with respect to such event that is filed with a Governmental Authority and any notice delivered by a Governmental Authority to any of the Borrowers or any ERISA Affiliate with respect to such event:</w:t>
      </w:r>
    </w:p>
    <w:p>
      <w:pPr>
        <w:spacing w:after="0" w:line="191" w:lineRule="exact"/>
        <w:rPr>
          <w:rFonts w:ascii="Arial" w:cs="Arial" w:eastAsia="Arial" w:hAnsi="Arial"/>
          <w:sz w:val="20"/>
          <w:szCs w:val="20"/>
          <w:color w:val="auto"/>
        </w:rPr>
      </w:pPr>
    </w:p>
    <w:p>
      <w:pPr>
        <w:ind w:left="2500" w:hanging="831"/>
        <w:spacing w:after="0"/>
        <w:tabs>
          <w:tab w:leader="none" w:pos="250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an ERISA Event;</w:t>
      </w:r>
    </w:p>
    <w:p>
      <w:pPr>
        <w:spacing w:after="0" w:line="215" w:lineRule="exact"/>
        <w:rPr>
          <w:rFonts w:ascii="Arial" w:cs="Arial" w:eastAsia="Arial" w:hAnsi="Arial"/>
          <w:sz w:val="20"/>
          <w:szCs w:val="20"/>
          <w:color w:val="auto"/>
        </w:rPr>
      </w:pPr>
    </w:p>
    <w:p>
      <w:pPr>
        <w:ind w:left="2560" w:hanging="891"/>
        <w:spacing w:after="0"/>
        <w:tabs>
          <w:tab w:leader="none" w:pos="256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a material increase in the Unfunded Pension Liability of any Pension Plan;</w:t>
      </w:r>
    </w:p>
    <w:p>
      <w:pPr>
        <w:spacing w:after="0" w:line="215" w:lineRule="exact"/>
        <w:rPr>
          <w:rFonts w:ascii="Arial" w:cs="Arial" w:eastAsia="Arial" w:hAnsi="Arial"/>
          <w:sz w:val="20"/>
          <w:szCs w:val="20"/>
          <w:color w:val="auto"/>
        </w:rPr>
      </w:pPr>
    </w:p>
    <w:p>
      <w:pPr>
        <w:ind w:left="880" w:firstLine="789"/>
        <w:spacing w:after="0" w:line="260" w:lineRule="auto"/>
        <w:tabs>
          <w:tab w:leader="none" w:pos="2622"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adoption of, or the commencement of contributions to, any Plan subject to Section 412 of the Code by any Borrower or any ERISA Affiliate;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2" w:name="page103"/>
    <w:bookmarkEnd w:id="102"/>
    <w:p>
      <w:pPr>
        <w:ind w:left="880" w:firstLine="789"/>
        <w:spacing w:after="0" w:line="260" w:lineRule="auto"/>
        <w:tabs>
          <w:tab w:leader="none" w:pos="2611" w:val="left"/>
        </w:tabs>
        <w:numPr>
          <w:ilvl w:val="1"/>
          <w:numId w:val="135"/>
        </w:numPr>
        <w:rPr>
          <w:rFonts w:ascii="Arial" w:cs="Arial" w:eastAsia="Arial" w:hAnsi="Arial"/>
          <w:sz w:val="20"/>
          <w:szCs w:val="20"/>
          <w:color w:val="auto"/>
        </w:rPr>
      </w:pPr>
      <w:r>
        <w:rPr>
          <w:rFonts w:ascii="Arial" w:cs="Arial" w:eastAsia="Arial" w:hAnsi="Arial"/>
          <w:sz w:val="20"/>
          <w:szCs w:val="20"/>
          <w:color w:val="auto"/>
        </w:rPr>
        <w:t>the adoption of any amendment to a Plan subject to Section 412 of the Code, if such amendment results in a material increase in contributions or Unfunded Pension Liability;</w:t>
      </w:r>
    </w:p>
    <w:p>
      <w:pPr>
        <w:spacing w:after="0" w:line="176" w:lineRule="exact"/>
        <w:rPr>
          <w:rFonts w:ascii="Arial" w:cs="Arial" w:eastAsia="Arial" w:hAnsi="Arial"/>
          <w:sz w:val="20"/>
          <w:szCs w:val="20"/>
          <w:color w:val="auto"/>
        </w:rPr>
      </w:pPr>
    </w:p>
    <w:p>
      <w:pPr>
        <w:jc w:val="both"/>
        <w:ind w:firstLine="872"/>
        <w:spacing w:after="0" w:line="250" w:lineRule="auto"/>
        <w:tabs>
          <w:tab w:leader="none" w:pos="174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of any material change in accounting policies or financial reporting practices by the Borrowers or any of their consolidated Subsidiaries not reflected in periodic reports filed by Toro with the SEC, including any determination by the Borrowers referred to in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1740" w:hanging="868"/>
        <w:spacing w:after="0"/>
        <w:tabs>
          <w:tab w:leader="none" w:pos="17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of any announcement by Moody’s or S&amp;P of any change in a Debt Rating; and</w:t>
      </w:r>
    </w:p>
    <w:p>
      <w:pPr>
        <w:spacing w:after="0" w:line="215" w:lineRule="exact"/>
        <w:rPr>
          <w:rFonts w:ascii="Arial" w:cs="Arial" w:eastAsia="Arial" w:hAnsi="Arial"/>
          <w:sz w:val="20"/>
          <w:szCs w:val="20"/>
          <w:color w:val="auto"/>
        </w:rPr>
      </w:pPr>
    </w:p>
    <w:p>
      <w:pPr>
        <w:ind w:firstLine="872"/>
        <w:spacing w:after="0" w:line="260" w:lineRule="auto"/>
        <w:tabs>
          <w:tab w:leader="none" w:pos="1709" w:val="left"/>
        </w:tabs>
        <w:numPr>
          <w:ilvl w:val="0"/>
          <w:numId w:val="136"/>
        </w:numPr>
        <w:rPr>
          <w:rFonts w:ascii="Arial" w:cs="Arial" w:eastAsia="Arial" w:hAnsi="Arial"/>
          <w:sz w:val="20"/>
          <w:szCs w:val="20"/>
          <w:color w:val="auto"/>
        </w:rPr>
      </w:pPr>
      <w:r>
        <w:rPr>
          <w:rFonts w:ascii="Arial" w:cs="Arial" w:eastAsia="Arial" w:hAnsi="Arial"/>
          <w:sz w:val="20"/>
          <w:szCs w:val="20"/>
          <w:color w:val="auto"/>
        </w:rPr>
        <w:t>of any change in the information provided in the Beneficial Ownership Certification that would result in a change to the list of beneficial owners identified in such certification.</w:t>
      </w:r>
    </w:p>
    <w:p>
      <w:pPr>
        <w:spacing w:after="0" w:line="17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 xml:space="preserve">Each notice pursuant to this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6.03(e</w:t>
      </w:r>
      <w:r>
        <w:rPr>
          <w:rFonts w:ascii="Arial" w:cs="Arial" w:eastAsia="Arial" w:hAnsi="Arial"/>
          <w:sz w:val="19"/>
          <w:szCs w:val="19"/>
          <w:color w:val="auto"/>
        </w:rPr>
        <w:t xml:space="preserve">)) shall be accompanied by a statement of a Responsible Officer of Toro setting forth details of the occurrence referred to therein and stating what action the applicable Borrower has taken and proposes to take with respect thereto. Each notice pursuant to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shall describe with particularity any and all provisions of this Agreement and any other Loan Document that have been or foreseeably will be breached or violated.</w:t>
      </w:r>
    </w:p>
    <w:p>
      <w:pPr>
        <w:spacing w:after="0" w:line="16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b w:val="1"/>
          <w:bCs w:val="1"/>
          <w:color w:val="auto"/>
        </w:rPr>
        <w:t>6.04 Anti-Corruption Laws</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Sanctions. </w:t>
      </w:r>
      <w:r>
        <w:rPr>
          <w:rFonts w:ascii="Arial" w:cs="Arial" w:eastAsia="Arial" w:hAnsi="Arial"/>
          <w:sz w:val="20"/>
          <w:szCs w:val="20"/>
          <w:color w:val="auto"/>
        </w:rPr>
        <w:t>Use reasonable efforts to conduct its business in compliance with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8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b w:val="1"/>
          <w:bCs w:val="1"/>
          <w:color w:val="auto"/>
        </w:rPr>
        <w:t xml:space="preserve">6.05 Preservation of Existence, Etc. </w:t>
      </w:r>
      <w:r>
        <w:rPr>
          <w:rFonts w:ascii="Arial" w:cs="Arial" w:eastAsia="Arial" w:hAnsi="Arial"/>
          <w:sz w:val="18"/>
          <w:szCs w:val="18"/>
          <w:color w:val="auto"/>
        </w:rPr>
        <w:t>(a) Preserve, renew and maintain in full force and effect its legal existence and good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standing under the Laws of the jurisdiction of its organization except in a transaction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notwithstanding any of the foregoing, Toro shall be permitted to liquidate any Subsidiary into Toro or another Subsidiary in accordance with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thereafter dissolve such Subsidiary.</w:t>
      </w:r>
    </w:p>
    <w:p>
      <w:pPr>
        <w:spacing w:after="0" w:line="16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6.06 Maintenance of Properties. </w:t>
      </w:r>
      <w:r>
        <w:rPr>
          <w:rFonts w:ascii="Arial" w:cs="Arial" w:eastAsia="Arial" w:hAnsi="Arial"/>
          <w:sz w:val="20"/>
          <w:szCs w:val="20"/>
          <w:color w:val="auto"/>
        </w:rPr>
        <w:t>Exercise its best business judgment to maintain and preserve all its property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used or useful in its business in good working order and condition, ordinary wear and tear excepted;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nothing in this </w:t>
      </w:r>
      <w:r>
        <w:rPr>
          <w:rFonts w:ascii="Arial" w:cs="Arial" w:eastAsia="Arial" w:hAnsi="Arial"/>
          <w:sz w:val="20"/>
          <w:szCs w:val="20"/>
          <w:u w:val="single" w:color="auto"/>
          <w:color w:val="auto"/>
        </w:rPr>
        <w:t>Section 6.06</w:t>
      </w:r>
      <w:r>
        <w:rPr>
          <w:rFonts w:ascii="Arial" w:cs="Arial" w:eastAsia="Arial" w:hAnsi="Arial"/>
          <w:sz w:val="20"/>
          <w:szCs w:val="20"/>
          <w:color w:val="auto"/>
        </w:rPr>
        <w:t xml:space="preserve"> shall prevent any Borrower or Subsidiary from discontinuing the operation or maintenance of any such property if such discontinuance will not result in a Material Adverse Effect.</w:t>
      </w:r>
    </w:p>
    <w:p>
      <w:pPr>
        <w:spacing w:after="0" w:line="18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b w:val="1"/>
          <w:bCs w:val="1"/>
          <w:color w:val="auto"/>
        </w:rPr>
        <w:t xml:space="preserve">6.07 Maintenance of Insurance. </w:t>
      </w:r>
      <w:r>
        <w:rPr>
          <w:rFonts w:ascii="Arial" w:cs="Arial" w:eastAsia="Arial" w:hAnsi="Arial"/>
          <w:sz w:val="19"/>
          <w:szCs w:val="19"/>
          <w:color w:val="auto"/>
        </w:rPr>
        <w:t>Maintain with financially sound and reputable insurers, insurance with respect to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properties and business against loss or damage of the kinds customarily insured against by Persons engaged in the same or similar business, of such types and in such amounts as are customarily carried under similar circumstances by such other Persons;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shall be deemed to prevent the Borrowers or their Subsidiaries from self-insuring or insuring through a captive insurance subsidiary such risks as are customarily self-insured or insured through captive insurance subsidiaries by other corporations in the same business and similarly situated in accordance with sound business practices.</w:t>
      </w:r>
    </w:p>
    <w:p>
      <w:pPr>
        <w:spacing w:after="0" w:line="17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 xml:space="preserve">6.08 Compliance with Laws and Contractual Obligations. </w:t>
      </w:r>
      <w:r>
        <w:rPr>
          <w:rFonts w:ascii="Arial" w:cs="Arial" w:eastAsia="Arial" w:hAnsi="Arial"/>
          <w:sz w:val="20"/>
          <w:szCs w:val="20"/>
          <w:color w:val="auto"/>
        </w:rPr>
        <w:t>Comply, and cause each Subsidiary to comply,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Contractual Obligations and requirements of Law of any Governmental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3" w:name="page104"/>
    <w:bookmarkEnd w:id="103"/>
    <w:p>
      <w:pPr>
        <w:jc w:val="both"/>
        <w:spacing w:after="0" w:line="263" w:lineRule="auto"/>
        <w:rPr>
          <w:sz w:val="20"/>
          <w:szCs w:val="20"/>
          <w:color w:val="auto"/>
        </w:rPr>
      </w:pPr>
      <w:r>
        <w:rPr>
          <w:rFonts w:ascii="Arial" w:cs="Arial" w:eastAsia="Arial" w:hAnsi="Arial"/>
          <w:sz w:val="19"/>
          <w:szCs w:val="19"/>
          <w:color w:val="auto"/>
        </w:rPr>
        <w:t>Authority having jurisdiction over it or its business including, without limitation, all Environmental Laws except to the extent that the failure to so comply may not have a Material Adverse Effect and paying before the same become delinquent, all taxes, assessments and government charges imposed upon it or upon its property, income or assets, except those which are being contested in good faith by appropriate proceedings and for which adequate reserves have been provided in accordance with GAAP.</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6.09 Books and Records. </w:t>
      </w:r>
      <w:r>
        <w:rPr>
          <w:rFonts w:ascii="Arial" w:cs="Arial" w:eastAsia="Arial" w:hAnsi="Arial"/>
          <w:sz w:val="20"/>
          <w:szCs w:val="20"/>
          <w:color w:val="auto"/>
        </w:rPr>
        <w:t>Maintain proper books of record and account, in which full, true and correct entries in</w:t>
      </w:r>
      <w:r>
        <w:rPr>
          <w:rFonts w:ascii="Arial" w:cs="Arial" w:eastAsia="Arial" w:hAnsi="Arial"/>
          <w:sz w:val="20"/>
          <w:szCs w:val="20"/>
          <w:b w:val="1"/>
          <w:bCs w:val="1"/>
          <w:color w:val="auto"/>
        </w:rPr>
        <w:t xml:space="preserve"> </w:t>
      </w:r>
      <w:r>
        <w:rPr>
          <w:rFonts w:ascii="Arial" w:cs="Arial" w:eastAsia="Arial" w:hAnsi="Arial"/>
          <w:sz w:val="20"/>
          <w:szCs w:val="20"/>
          <w:color w:val="auto"/>
        </w:rPr>
        <w:t>conformity with GAAP consistently applied shall be made of all financial transactions and matters involving the assets and business of Toro or such Subsidiary, as the case may be.</w:t>
      </w:r>
    </w:p>
    <w:p>
      <w:pPr>
        <w:spacing w:after="0" w:line="17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b w:val="1"/>
          <w:bCs w:val="1"/>
          <w:color w:val="auto"/>
        </w:rPr>
        <w:t xml:space="preserve">6.10 Inspection Rights. </w:t>
      </w:r>
      <w:r>
        <w:rPr>
          <w:rFonts w:ascii="Arial" w:cs="Arial" w:eastAsia="Arial" w:hAnsi="Arial"/>
          <w:sz w:val="18"/>
          <w:szCs w:val="18"/>
          <w:color w:val="auto"/>
        </w:rPr>
        <w:t>Permit representatives and independent contractors of the Administrative Agent and each Lender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visit and inspect any of its properties, to examine its corporate, financial and operating records, and make copies thereof or abstracts therefrom (except to the extent any of such records are confidential or proprietary in nature), and to discuss its affairs, finances and accounts with its directors, officers, and independent public accountants, all at such reasonable times during normal business hours and as often as may be reasonably desired, upon reasonable advance notice to Toro;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16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6.11 Use of Proceeds. </w:t>
      </w:r>
      <w:r>
        <w:rPr>
          <w:rFonts w:ascii="Arial" w:cs="Arial" w:eastAsia="Arial" w:hAnsi="Arial"/>
          <w:sz w:val="18"/>
          <w:szCs w:val="18"/>
          <w:color w:val="auto"/>
        </w:rPr>
        <w:t>Each Borrower shall use the proceeds of the Credit Extensions for (a) general working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needs and capital expenditures (b) the replacement and refinancing of outstanding indebtedness under the Existing Term Loan Credit Agreement, (c) subject to the proviso below, the purchase or other acquisition by Toro of shares of its capital stock and related preferred stock purchase rights to the extent permitted by </w:t>
      </w:r>
      <w:r>
        <w:rPr>
          <w:rFonts w:ascii="Arial" w:cs="Arial" w:eastAsia="Arial" w:hAnsi="Arial"/>
          <w:sz w:val="18"/>
          <w:szCs w:val="18"/>
          <w:u w:val="single" w:color="auto"/>
          <w:color w:val="auto"/>
        </w:rPr>
        <w:t>Section 7.04(c)</w:t>
      </w:r>
      <w:r>
        <w:rPr>
          <w:rFonts w:ascii="Arial" w:cs="Arial" w:eastAsia="Arial" w:hAnsi="Arial"/>
          <w:sz w:val="18"/>
          <w:szCs w:val="18"/>
          <w:color w:val="auto"/>
        </w:rPr>
        <w:t>, and (d) other lawful corporate purposes (including Acquisitions) other than, directly or indirectly, (i) for purposes of undertaking an Acquisition or Joint Venture in contravention of any Law or of any Loan Document,</w:t>
      </w:r>
    </w:p>
    <w:p>
      <w:pPr>
        <w:spacing w:after="0" w:line="1" w:lineRule="exact"/>
        <w:rPr>
          <w:sz w:val="20"/>
          <w:szCs w:val="20"/>
          <w:color w:val="auto"/>
        </w:rPr>
      </w:pPr>
    </w:p>
    <w:p>
      <w:pPr>
        <w:jc w:val="both"/>
        <w:ind w:firstLine="8"/>
        <w:spacing w:after="0" w:line="254" w:lineRule="auto"/>
        <w:tabs>
          <w:tab w:leader="none" w:pos="30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to purchase or carry Margin Stock, (iii) to repay or otherwise refinance indebtedness of any Borrower or others incurred to purchase or carry Margin Stock, (iv) to extend credit for the purpose of purchasing or carrying any Margin Stock, or (v) to acquire any security in a transaction that is actively opposed by the board of directors (or similar governing body) of the selling Persons or the Persons whose securities are to be acquired;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above, Toro may use proceeds of Loans as described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so long as either (x) the Margin Stock so acquired is promptly retired following the purchase or other acquisition thereof or (y) at all times and after giving effect to each such purchase or acquisition, not more than twenty five percent (25%) of the consolidated total assets of the Borrowers and their Subsidiaries on a consolidated basis are represented by Margin Stock owned by the Borrowers and their Subsidiaries on a consolidated basis.</w:t>
      </w:r>
    </w:p>
    <w:p>
      <w:pPr>
        <w:spacing w:after="0" w:line="18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6.12 Approvals and Authorizations. </w:t>
      </w:r>
      <w:r>
        <w:rPr>
          <w:rFonts w:ascii="Arial" w:cs="Arial" w:eastAsia="Arial" w:hAnsi="Arial"/>
          <w:sz w:val="20"/>
          <w:szCs w:val="20"/>
          <w:color w:val="auto"/>
        </w:rPr>
        <w:t>Maintain all authorizations, consents, approvals and licenses from, exemptions of,</w:t>
      </w:r>
      <w:r>
        <w:rPr>
          <w:rFonts w:ascii="Arial" w:cs="Arial" w:eastAsia="Arial" w:hAnsi="Arial"/>
          <w:sz w:val="20"/>
          <w:szCs w:val="20"/>
          <w:b w:val="1"/>
          <w:bCs w:val="1"/>
          <w:color w:val="auto"/>
        </w:rPr>
        <w:t xml:space="preserve"> </w:t>
      </w:r>
      <w:r>
        <w:rPr>
          <w:rFonts w:ascii="Arial" w:cs="Arial" w:eastAsia="Arial" w:hAnsi="Arial"/>
          <w:sz w:val="20"/>
          <w:szCs w:val="20"/>
          <w:color w:val="auto"/>
        </w:rPr>
        <w:t>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200" w:lineRule="exact"/>
        <w:rPr>
          <w:sz w:val="20"/>
          <w:szCs w:val="20"/>
          <w:color w:val="auto"/>
        </w:rPr>
      </w:pPr>
    </w:p>
    <w:p>
      <w:pPr>
        <w:jc w:val="both"/>
        <w:ind w:right="20" w:firstLine="864"/>
        <w:spacing w:after="0" w:line="316" w:lineRule="auto"/>
        <w:rPr>
          <w:sz w:val="20"/>
          <w:szCs w:val="20"/>
          <w:color w:val="auto"/>
        </w:rPr>
      </w:pPr>
      <w:r>
        <w:rPr>
          <w:rFonts w:ascii="Arial" w:cs="Arial" w:eastAsia="Arial" w:hAnsi="Arial"/>
          <w:sz w:val="18"/>
          <w:szCs w:val="18"/>
          <w:color w:val="auto"/>
        </w:rPr>
        <w:t>So long as any Lender shall have any Commitment hereunder, or any Loan, Swing Line Loan or other Obligation shall remain unpaid or unsatisfied, or any Letter of Credit shall remain outstanding, unless the Required Lenders waive compliance in writing: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4" w:name="page105"/>
    <w:bookmarkEnd w:id="104"/>
    <w:p>
      <w:pPr>
        <w:jc w:val="both"/>
        <w:ind w:firstLine="864"/>
        <w:spacing w:after="0" w:line="253" w:lineRule="auto"/>
        <w:rPr>
          <w:sz w:val="20"/>
          <w:szCs w:val="20"/>
          <w:color w:val="auto"/>
        </w:rPr>
      </w:pPr>
      <w:r>
        <w:rPr>
          <w:rFonts w:ascii="Arial" w:cs="Arial" w:eastAsia="Arial" w:hAnsi="Arial"/>
          <w:sz w:val="20"/>
          <w:szCs w:val="20"/>
          <w:b w:val="1"/>
          <w:bCs w:val="1"/>
          <w:color w:val="auto"/>
        </w:rPr>
        <w:t>7.01 Limitation on Liens</w:t>
      </w:r>
      <w:r>
        <w:rPr>
          <w:rFonts w:ascii="Arial" w:cs="Arial" w:eastAsia="Arial" w:hAnsi="Arial"/>
          <w:sz w:val="20"/>
          <w:szCs w:val="20"/>
          <w:color w:val="auto"/>
        </w:rPr>
        <w:t>. None of the Borrowers shall, or permit any Subsidiary to, directly or indirectly, make, create,</w:t>
      </w:r>
      <w:r>
        <w:rPr>
          <w:rFonts w:ascii="Arial" w:cs="Arial" w:eastAsia="Arial" w:hAnsi="Arial"/>
          <w:sz w:val="20"/>
          <w:szCs w:val="20"/>
          <w:b w:val="1"/>
          <w:bCs w:val="1"/>
          <w:color w:val="auto"/>
        </w:rPr>
        <w:t xml:space="preserve"> </w:t>
      </w:r>
      <w:r>
        <w:rPr>
          <w:rFonts w:ascii="Arial" w:cs="Arial" w:eastAsia="Arial" w:hAnsi="Arial"/>
          <w:sz w:val="20"/>
          <w:szCs w:val="20"/>
          <w:color w:val="auto"/>
        </w:rPr>
        <w:t>incur, assume or suffer to exist any Lien upon or with respect to any part of their respective property, whether now owned or hereafter acquired, other than the following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97" w:lineRule="exact"/>
        <w:rPr>
          <w:sz w:val="20"/>
          <w:szCs w:val="20"/>
          <w:color w:val="auto"/>
        </w:rPr>
      </w:pPr>
    </w:p>
    <w:p>
      <w:pPr>
        <w:ind w:firstLine="872"/>
        <w:spacing w:after="0" w:line="238" w:lineRule="auto"/>
        <w:tabs>
          <w:tab w:leader="none" w:pos="1751" w:val="left"/>
        </w:tabs>
        <w:numPr>
          <w:ilvl w:val="0"/>
          <w:numId w:val="138"/>
        </w:numPr>
        <w:rPr>
          <w:rFonts w:ascii="Arial" w:cs="Arial" w:eastAsia="Arial" w:hAnsi="Arial"/>
          <w:sz w:val="22"/>
          <w:szCs w:val="22"/>
          <w:color w:val="auto"/>
        </w:rPr>
      </w:pPr>
      <w:r>
        <w:rPr>
          <w:rFonts w:ascii="Arial" w:cs="Arial" w:eastAsia="Arial" w:hAnsi="Arial"/>
          <w:sz w:val="20"/>
          <w:szCs w:val="20"/>
          <w:color w:val="auto"/>
        </w:rPr>
        <w:t xml:space="preserve">any Lien existing on property of any Borrower or any Subsidiary on the Closing Date and set forth in </w:t>
      </w:r>
      <w:r>
        <w:rPr>
          <w:rFonts w:ascii="Arial" w:cs="Arial" w:eastAsia="Arial" w:hAnsi="Arial"/>
          <w:sz w:val="20"/>
          <w:szCs w:val="20"/>
          <w:u w:val="single" w:color="auto"/>
          <w:color w:val="auto"/>
        </w:rPr>
        <w:t>Schedule 7.01</w:t>
      </w:r>
      <w:r>
        <w:rPr>
          <w:rFonts w:ascii="Arial" w:cs="Arial" w:eastAsia="Arial" w:hAnsi="Arial"/>
          <w:sz w:val="20"/>
          <w:szCs w:val="20"/>
          <w:color w:val="auto"/>
        </w:rPr>
        <w:t xml:space="preserve"> securing Indebtedness outstanding on such date (“</w:t>
      </w:r>
      <w:r>
        <w:rPr>
          <w:rFonts w:ascii="Arial" w:cs="Arial" w:eastAsia="Arial" w:hAnsi="Arial"/>
          <w:sz w:val="20"/>
          <w:szCs w:val="20"/>
          <w:u w:val="single" w:color="auto"/>
          <w:color w:val="auto"/>
        </w:rPr>
        <w:t>Existing Liens</w:t>
      </w:r>
      <w:r>
        <w:rPr>
          <w:rFonts w:ascii="Arial" w:cs="Arial" w:eastAsia="Arial" w:hAnsi="Arial"/>
          <w:sz w:val="20"/>
          <w:szCs w:val="20"/>
          <w:color w:val="auto"/>
        </w:rPr>
        <w:t>”);</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138"/>
        </w:numPr>
        <w:rPr>
          <w:rFonts w:ascii="Arial" w:cs="Arial" w:eastAsia="Arial" w:hAnsi="Arial"/>
          <w:sz w:val="22"/>
          <w:szCs w:val="22"/>
          <w:color w:val="auto"/>
        </w:rPr>
      </w:pPr>
      <w:r>
        <w:rPr>
          <w:rFonts w:ascii="Arial" w:cs="Arial" w:eastAsia="Arial" w:hAnsi="Arial"/>
          <w:sz w:val="20"/>
          <w:szCs w:val="20"/>
          <w:color w:val="auto"/>
        </w:rPr>
        <w:t>any Lien created under any Loan Document;</w:t>
      </w:r>
    </w:p>
    <w:p>
      <w:pPr>
        <w:spacing w:after="0" w:line="208" w:lineRule="exact"/>
        <w:rPr>
          <w:rFonts w:ascii="Arial" w:cs="Arial" w:eastAsia="Arial" w:hAnsi="Arial"/>
          <w:sz w:val="22"/>
          <w:szCs w:val="22"/>
          <w:color w:val="auto"/>
        </w:rPr>
      </w:pPr>
    </w:p>
    <w:p>
      <w:pPr>
        <w:ind w:firstLine="872"/>
        <w:spacing w:after="0" w:line="238" w:lineRule="auto"/>
        <w:tabs>
          <w:tab w:leader="none" w:pos="1751" w:val="left"/>
        </w:tabs>
        <w:numPr>
          <w:ilvl w:val="0"/>
          <w:numId w:val="138"/>
        </w:numPr>
        <w:rPr>
          <w:rFonts w:ascii="Arial" w:cs="Arial" w:eastAsia="Arial" w:hAnsi="Arial"/>
          <w:sz w:val="22"/>
          <w:szCs w:val="22"/>
          <w:color w:val="auto"/>
        </w:rPr>
      </w:pPr>
      <w:r>
        <w:rPr>
          <w:rFonts w:ascii="Arial" w:cs="Arial" w:eastAsia="Arial" w:hAnsi="Arial"/>
          <w:sz w:val="20"/>
          <w:szCs w:val="20"/>
          <w:color w:val="auto"/>
        </w:rPr>
        <w:t xml:space="preserve">Liens for taxes, fees, assessments or other governmental charges which are not delinquent or remain payable without penalty,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notice of lien has been filed or recorded under the Code;</w:t>
      </w:r>
    </w:p>
    <w:p>
      <w:pPr>
        <w:spacing w:after="0" w:line="209" w:lineRule="exact"/>
        <w:rPr>
          <w:rFonts w:ascii="Arial" w:cs="Arial" w:eastAsia="Arial" w:hAnsi="Arial"/>
          <w:sz w:val="22"/>
          <w:szCs w:val="22"/>
          <w:color w:val="auto"/>
        </w:rPr>
      </w:pPr>
    </w:p>
    <w:p>
      <w:pPr>
        <w:jc w:val="both"/>
        <w:ind w:firstLine="872"/>
        <w:spacing w:after="0" w:line="256" w:lineRule="auto"/>
        <w:tabs>
          <w:tab w:leader="none" w:pos="1763" w:val="left"/>
        </w:tabs>
        <w:numPr>
          <w:ilvl w:val="0"/>
          <w:numId w:val="138"/>
        </w:numPr>
        <w:rPr>
          <w:rFonts w:ascii="Arial" w:cs="Arial" w:eastAsia="Arial" w:hAnsi="Arial"/>
          <w:sz w:val="21"/>
          <w:szCs w:val="21"/>
          <w:color w:val="auto"/>
        </w:rPr>
      </w:pPr>
      <w:r>
        <w:rPr>
          <w:rFonts w:ascii="Arial" w:cs="Arial" w:eastAsia="Arial" w:hAnsi="Arial"/>
          <w:sz w:val="19"/>
          <w:szCs w:val="19"/>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194" w:lineRule="exact"/>
        <w:rPr>
          <w:rFonts w:ascii="Arial" w:cs="Arial" w:eastAsia="Arial" w:hAnsi="Arial"/>
          <w:sz w:val="21"/>
          <w:szCs w:val="21"/>
          <w:color w:val="auto"/>
        </w:rPr>
      </w:pPr>
    </w:p>
    <w:p>
      <w:pPr>
        <w:ind w:firstLine="872"/>
        <w:spacing w:after="0" w:line="238" w:lineRule="auto"/>
        <w:tabs>
          <w:tab w:leader="none" w:pos="1751" w:val="left"/>
        </w:tabs>
        <w:numPr>
          <w:ilvl w:val="0"/>
          <w:numId w:val="138"/>
        </w:numPr>
        <w:rPr>
          <w:rFonts w:ascii="Arial" w:cs="Arial" w:eastAsia="Arial" w:hAnsi="Arial"/>
          <w:sz w:val="22"/>
          <w:szCs w:val="22"/>
          <w:color w:val="auto"/>
        </w:rPr>
      </w:pPr>
      <w:r>
        <w:rPr>
          <w:rFonts w:ascii="Arial" w:cs="Arial" w:eastAsia="Arial" w:hAnsi="Arial"/>
          <w:sz w:val="20"/>
          <w:szCs w:val="20"/>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209" w:lineRule="exact"/>
        <w:rPr>
          <w:rFonts w:ascii="Arial" w:cs="Arial" w:eastAsia="Arial" w:hAnsi="Arial"/>
          <w:sz w:val="22"/>
          <w:szCs w:val="22"/>
          <w:color w:val="auto"/>
        </w:rPr>
      </w:pPr>
    </w:p>
    <w:p>
      <w:pPr>
        <w:jc w:val="both"/>
        <w:ind w:firstLine="872"/>
        <w:spacing w:after="0" w:line="236" w:lineRule="exact"/>
        <w:tabs>
          <w:tab w:leader="none" w:pos="1727" w:val="left"/>
        </w:tabs>
        <w:numPr>
          <w:ilvl w:val="0"/>
          <w:numId w:val="138"/>
        </w:numPr>
        <w:rPr>
          <w:rFonts w:ascii="Arial" w:cs="Arial" w:eastAsia="Arial" w:hAnsi="Arial"/>
          <w:sz w:val="21"/>
          <w:szCs w:val="21"/>
          <w:color w:val="auto"/>
        </w:rPr>
      </w:pPr>
      <w:r>
        <w:rPr>
          <w:rFonts w:ascii="Arial" w:cs="Arial" w:eastAsia="Arial" w:hAnsi="Arial"/>
          <w:sz w:val="19"/>
          <w:szCs w:val="19"/>
          <w:color w:val="auto"/>
        </w:rPr>
        <w:t>Liens on the property of any Borrower or any of its Subsidiaries securing (i) the non-delinquent performance of bids, trade contracts (other than for borrowed money), leases, statutory obligations, (ii) contingent obligations on surety and appeal bonds, and (iii) other non</w:t>
      </w:r>
      <w:r>
        <w:rPr>
          <w:rFonts w:ascii="MS PGothic" w:cs="MS PGothic" w:eastAsia="MS PGothic" w:hAnsi="MS PGothic"/>
          <w:sz w:val="19"/>
          <w:szCs w:val="19"/>
          <w:color w:val="auto"/>
        </w:rPr>
        <w:t>‑</w:t>
      </w:r>
      <w:r>
        <w:rPr>
          <w:rFonts w:ascii="Arial" w:cs="Arial" w:eastAsia="Arial" w:hAnsi="Arial"/>
          <w:sz w:val="19"/>
          <w:szCs w:val="19"/>
          <w:color w:val="auto"/>
        </w:rPr>
        <w:t>delinquent obligations of a like nature; in each case, incurred in the ordinary course of business;</w:t>
      </w:r>
    </w:p>
    <w:p>
      <w:pPr>
        <w:spacing w:after="0" w:line="211" w:lineRule="exact"/>
        <w:rPr>
          <w:rFonts w:ascii="Arial" w:cs="Arial" w:eastAsia="Arial" w:hAnsi="Arial"/>
          <w:sz w:val="21"/>
          <w:szCs w:val="21"/>
          <w:color w:val="auto"/>
        </w:rPr>
      </w:pPr>
    </w:p>
    <w:p>
      <w:pPr>
        <w:jc w:val="both"/>
        <w:ind w:firstLine="872"/>
        <w:spacing w:after="0" w:line="236" w:lineRule="exact"/>
        <w:tabs>
          <w:tab w:leader="none" w:pos="1763" w:val="left"/>
        </w:tabs>
        <w:numPr>
          <w:ilvl w:val="0"/>
          <w:numId w:val="138"/>
        </w:numPr>
        <w:rPr>
          <w:rFonts w:ascii="Arial" w:cs="Arial" w:eastAsia="Arial" w:hAnsi="Arial"/>
          <w:sz w:val="22"/>
          <w:szCs w:val="22"/>
          <w:color w:val="auto"/>
        </w:rPr>
      </w:pPr>
      <w:r>
        <w:rPr>
          <w:rFonts w:ascii="Arial" w:cs="Arial" w:eastAsia="Arial" w:hAnsi="Arial"/>
          <w:sz w:val="20"/>
          <w:szCs w:val="20"/>
          <w:color w:val="auto"/>
        </w:rPr>
        <w:t>easements, rights</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Borrowers and their Subsidiaries;</w:t>
      </w:r>
    </w:p>
    <w:p>
      <w:pPr>
        <w:spacing w:after="0" w:line="208" w:lineRule="exact"/>
        <w:rPr>
          <w:rFonts w:ascii="Arial" w:cs="Arial" w:eastAsia="Arial" w:hAnsi="Arial"/>
          <w:sz w:val="22"/>
          <w:szCs w:val="22"/>
          <w:color w:val="auto"/>
        </w:rPr>
      </w:pPr>
    </w:p>
    <w:p>
      <w:pPr>
        <w:ind w:left="1780" w:hanging="908"/>
        <w:spacing w:after="0"/>
        <w:tabs>
          <w:tab w:leader="none" w:pos="1780" w:val="left"/>
        </w:tabs>
        <w:numPr>
          <w:ilvl w:val="0"/>
          <w:numId w:val="138"/>
        </w:numPr>
        <w:rPr>
          <w:rFonts w:ascii="Arial" w:cs="Arial" w:eastAsia="Arial" w:hAnsi="Arial"/>
          <w:sz w:val="22"/>
          <w:szCs w:val="22"/>
          <w:color w:val="auto"/>
        </w:rPr>
      </w:pPr>
      <w:r>
        <w:rPr>
          <w:rFonts w:ascii="Arial" w:cs="Arial" w:eastAsia="Arial" w:hAnsi="Arial"/>
          <w:sz w:val="20"/>
          <w:szCs w:val="20"/>
          <w:color w:val="auto"/>
        </w:rPr>
        <w:t>Liens on property of a Person subject to an Acquisition existing at the time of such Acquisition;</w:t>
      </w:r>
    </w:p>
    <w:p>
      <w:pPr>
        <w:spacing w:after="0" w:line="195"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Liens existing on the Closing Date on property of one or more Subsidiaries securing Indebtedness of such Subsidiaries;</w:t>
      </w:r>
    </w:p>
    <w:p>
      <w:pPr>
        <w:spacing w:after="0" w:line="239" w:lineRule="exact"/>
        <w:rPr>
          <w:sz w:val="20"/>
          <w:szCs w:val="20"/>
          <w:color w:val="auto"/>
        </w:rPr>
      </w:pPr>
    </w:p>
    <w:p>
      <w:pPr>
        <w:jc w:val="both"/>
        <w:ind w:firstLine="872"/>
        <w:spacing w:after="0" w:line="250" w:lineRule="auto"/>
        <w:tabs>
          <w:tab w:leader="none" w:pos="1698"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Liens on Receivables, lease receivables and other obligations owing to any of the Borrowers or any domestic Wholly-Owned Subsidiary to the extent such Receivables, lease receivables and other obligations have been sold under a Receivables Purchase Facility permitted under </w:t>
      </w:r>
      <w:r>
        <w:rPr>
          <w:rFonts w:ascii="Arial" w:cs="Arial" w:eastAsia="Arial" w:hAnsi="Arial"/>
          <w:sz w:val="20"/>
          <w:szCs w:val="20"/>
          <w:u w:val="single" w:color="auto"/>
          <w:color w:val="auto"/>
        </w:rPr>
        <w:t>Section 7.02(d)</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872"/>
        <w:spacing w:after="0" w:line="244" w:lineRule="auto"/>
        <w:tabs>
          <w:tab w:leader="none" w:pos="1742"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deposit account is not a dedicated cash collateral account and is not subject to restrictions against access by the applicable Borrower in excess of those set forth by regulations promulgated by the FRB, and (ii) such deposit account is not intended by any Borrower or any Subsidiary to provide collateral to the depository institution;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5" w:name="page106"/>
    <w:bookmarkEnd w:id="105"/>
    <w:p>
      <w:pPr>
        <w:jc w:val="both"/>
        <w:ind w:firstLine="872"/>
        <w:spacing w:after="0" w:line="263" w:lineRule="auto"/>
        <w:tabs>
          <w:tab w:leader="none" w:pos="169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Liens not otherwise permitted hereunder on any property securing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Indebtedness so secured together with Indebtedness permitted to be secured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above shall not exceed in the aggregate at any time outstanding 10% of the consolidated total tangible assets (balance sheet total assets less goodwill and intangibles) of Toro and its Subsidiaries determined as of the end of the most recently ended fiscal quarter of Toro.</w:t>
      </w:r>
    </w:p>
    <w:p>
      <w:pPr>
        <w:spacing w:after="0" w:line="172"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b w:val="1"/>
          <w:bCs w:val="1"/>
          <w:color w:val="auto"/>
        </w:rPr>
        <w:t>7.02 Disposition of Assets</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None of the Borrowers shall, nor shall suffer or permit any Subsidiary to, directly or</w:t>
      </w:r>
      <w:r>
        <w:rPr>
          <w:rFonts w:ascii="Arial" w:cs="Arial" w:eastAsia="Arial" w:hAnsi="Arial"/>
          <w:sz w:val="20"/>
          <w:szCs w:val="20"/>
          <w:b w:val="1"/>
          <w:bCs w:val="1"/>
          <w:color w:val="auto"/>
        </w:rPr>
        <w:t xml:space="preserve"> </w:t>
      </w:r>
      <w:r>
        <w:rPr>
          <w:rFonts w:ascii="Arial" w:cs="Arial" w:eastAsia="Arial" w:hAnsi="Arial"/>
          <w:sz w:val="20"/>
          <w:szCs w:val="20"/>
          <w:color w:val="auto"/>
        </w:rPr>
        <w:t>indirectly, make any Disposition or enter into any agreement to make any Disposition, except:</w:t>
      </w:r>
    </w:p>
    <w:p>
      <w:pPr>
        <w:spacing w:after="0" w:line="169" w:lineRule="exact"/>
        <w:rPr>
          <w:sz w:val="20"/>
          <w:szCs w:val="20"/>
          <w:color w:val="auto"/>
        </w:rPr>
      </w:pPr>
    </w:p>
    <w:p>
      <w:pPr>
        <w:ind w:left="1740" w:hanging="868"/>
        <w:spacing w:after="0" w:line="230" w:lineRule="exact"/>
        <w:tabs>
          <w:tab w:leader="none" w:pos="174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Dispositions of inventory, or used, worn</w:t>
      </w:r>
      <w:r>
        <w:rPr>
          <w:rFonts w:ascii="MS PGothic" w:cs="MS PGothic" w:eastAsia="MS PGothic" w:hAnsi="MS PGothic"/>
          <w:sz w:val="20"/>
          <w:szCs w:val="20"/>
          <w:color w:val="auto"/>
        </w:rPr>
        <w:t>‑</w:t>
      </w:r>
      <w:r>
        <w:rPr>
          <w:rFonts w:ascii="Arial" w:cs="Arial" w:eastAsia="Arial" w:hAnsi="Arial"/>
          <w:sz w:val="20"/>
          <w:szCs w:val="20"/>
          <w:color w:val="auto"/>
        </w:rPr>
        <w:t>out or surplus property, all in the ordinary course of business;</w:t>
      </w:r>
    </w:p>
    <w:p>
      <w:pPr>
        <w:spacing w:after="0" w:line="215" w:lineRule="exact"/>
        <w:rPr>
          <w:rFonts w:ascii="Arial" w:cs="Arial" w:eastAsia="Arial" w:hAnsi="Arial"/>
          <w:sz w:val="20"/>
          <w:szCs w:val="20"/>
          <w:color w:val="auto"/>
        </w:rPr>
      </w:pPr>
    </w:p>
    <w:p>
      <w:pPr>
        <w:ind w:firstLine="872"/>
        <w:spacing w:after="0" w:line="316" w:lineRule="auto"/>
        <w:tabs>
          <w:tab w:leader="none" w:pos="174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129" w:lineRule="exact"/>
        <w:rPr>
          <w:rFonts w:ascii="Arial" w:cs="Arial" w:eastAsia="Arial" w:hAnsi="Arial"/>
          <w:sz w:val="18"/>
          <w:szCs w:val="18"/>
          <w:color w:val="auto"/>
        </w:rPr>
      </w:pPr>
    </w:p>
    <w:p>
      <w:pPr>
        <w:ind w:firstLine="872"/>
        <w:spacing w:after="0" w:line="260" w:lineRule="auto"/>
        <w:tabs>
          <w:tab w:leader="none" w:pos="1731"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Dispositions of Receivables of Toro or any Subsidiaries to Red Iron and, to the extent TCC has become a Borrower hereunder pursuant to </w:t>
      </w:r>
      <w:r>
        <w:rPr>
          <w:rFonts w:ascii="Arial" w:cs="Arial" w:eastAsia="Arial" w:hAnsi="Arial"/>
          <w:sz w:val="20"/>
          <w:szCs w:val="20"/>
          <w:u w:val="single" w:color="auto"/>
          <w:color w:val="auto"/>
        </w:rPr>
        <w:t>Section 2.17</w:t>
      </w:r>
      <w:r>
        <w:rPr>
          <w:rFonts w:ascii="Arial" w:cs="Arial" w:eastAsia="Arial" w:hAnsi="Arial"/>
          <w:sz w:val="20"/>
          <w:szCs w:val="20"/>
          <w:color w:val="auto"/>
        </w:rPr>
        <w:t>, TCC;</w:t>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(d)</w:t>
            </w:r>
          </w:p>
        </w:tc>
        <w:tc>
          <w:tcPr>
            <w:tcW w:w="10660" w:type="dxa"/>
            <w:vAlign w:val="bottom"/>
            <w:gridSpan w:val="4"/>
          </w:tcPr>
          <w:p>
            <w:pPr>
              <w:ind w:left="1080"/>
              <w:spacing w:after="0"/>
              <w:rPr>
                <w:sz w:val="20"/>
                <w:szCs w:val="20"/>
                <w:color w:val="auto"/>
              </w:rPr>
            </w:pPr>
            <w:r>
              <w:rPr>
                <w:rFonts w:ascii="Arial" w:cs="Arial" w:eastAsia="Arial" w:hAnsi="Arial"/>
                <w:sz w:val="20"/>
                <w:szCs w:val="20"/>
                <w:color w:val="auto"/>
                <w:w w:val="95"/>
              </w:rPr>
              <w:t>Dispositions by any Originator of Receivables pursuant to Receivables Purchase Facilities or other Disposition of</w:t>
            </w:r>
          </w:p>
        </w:tc>
      </w:tr>
      <w:tr>
        <w:trPr>
          <w:trHeight w:val="229"/>
        </w:trPr>
        <w:tc>
          <w:tcPr>
            <w:tcW w:w="500" w:type="dxa"/>
            <w:vAlign w:val="bottom"/>
          </w:tcPr>
          <w:p>
            <w:pPr>
              <w:spacing w:after="0"/>
              <w:rPr>
                <w:sz w:val="19"/>
                <w:szCs w:val="19"/>
                <w:color w:val="auto"/>
              </w:rPr>
            </w:pPr>
          </w:p>
        </w:tc>
        <w:tc>
          <w:tcPr>
            <w:tcW w:w="10660" w:type="dxa"/>
            <w:vAlign w:val="bottom"/>
            <w:gridSpan w:val="4"/>
          </w:tcPr>
          <w:p>
            <w:pPr>
              <w:ind w:left="280"/>
              <w:spacing w:after="0"/>
              <w:rPr>
                <w:sz w:val="20"/>
                <w:szCs w:val="20"/>
                <w:color w:val="auto"/>
              </w:rPr>
            </w:pPr>
            <w:r>
              <w:rPr>
                <w:rFonts w:ascii="Arial" w:cs="Arial" w:eastAsia="Arial" w:hAnsi="Arial"/>
                <w:sz w:val="20"/>
                <w:szCs w:val="20"/>
                <w:color w:val="auto"/>
                <w:w w:val="91"/>
              </w:rPr>
              <w:t>Receivables at any time of Toro or its Subsidiaries, whether pursuant to a securitization facility, a factoring arrangement or other</w:t>
            </w:r>
          </w:p>
        </w:tc>
      </w:tr>
      <w:tr>
        <w:trPr>
          <w:trHeight w:val="206"/>
        </w:trPr>
        <w:tc>
          <w:tcPr>
            <w:tcW w:w="500" w:type="dxa"/>
            <w:vAlign w:val="bottom"/>
          </w:tcPr>
          <w:p>
            <w:pPr>
              <w:spacing w:after="0"/>
              <w:rPr>
                <w:sz w:val="17"/>
                <w:szCs w:val="17"/>
                <w:color w:val="auto"/>
              </w:rPr>
            </w:pPr>
          </w:p>
        </w:tc>
        <w:tc>
          <w:tcPr>
            <w:tcW w:w="10660" w:type="dxa"/>
            <w:vAlign w:val="bottom"/>
            <w:gridSpan w:val="4"/>
          </w:tcPr>
          <w:p>
            <w:pPr>
              <w:ind w:left="280"/>
              <w:spacing w:after="0" w:line="206" w:lineRule="exact"/>
              <w:rPr>
                <w:sz w:val="20"/>
                <w:szCs w:val="20"/>
                <w:color w:val="auto"/>
              </w:rPr>
            </w:pPr>
            <w:r>
              <w:rPr>
                <w:rFonts w:ascii="Arial" w:cs="Arial" w:eastAsia="Arial" w:hAnsi="Arial"/>
                <w:sz w:val="20"/>
                <w:szCs w:val="20"/>
                <w:color w:val="auto"/>
                <w:w w:val="89"/>
              </w:rPr>
              <w:t>manner of monetization thereof provided that the outstanding unpaid amount of all such Receivables so sold in the aggregate shall</w:t>
            </w:r>
          </w:p>
        </w:tc>
      </w:tr>
      <w:tr>
        <w:trPr>
          <w:trHeight w:val="20"/>
        </w:trPr>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0660" w:type="dxa"/>
            <w:vAlign w:val="bottom"/>
            <w:gridSpan w:val="4"/>
          </w:tcPr>
          <w:p>
            <w:pPr>
              <w:ind w:left="280"/>
              <w:spacing w:after="0" w:line="209" w:lineRule="exact"/>
              <w:rPr>
                <w:sz w:val="20"/>
                <w:szCs w:val="20"/>
                <w:color w:val="auto"/>
              </w:rPr>
            </w:pPr>
            <w:r>
              <w:rPr>
                <w:rFonts w:ascii="Arial" w:cs="Arial" w:eastAsia="Arial" w:hAnsi="Arial"/>
                <w:sz w:val="20"/>
                <w:szCs w:val="20"/>
                <w:color w:val="auto"/>
                <w:w w:val="95"/>
              </w:rPr>
              <w:t>not at any time exceed $200,000,000; provided further that Dispositions made in connection with any Floor Plan Financing</w:t>
            </w:r>
          </w:p>
        </w:tc>
      </w:tr>
      <w:tr>
        <w:trPr>
          <w:trHeight w:val="20"/>
        </w:trPr>
        <w:tc>
          <w:tcPr>
            <w:tcW w:w="500" w:type="dxa"/>
            <w:vAlign w:val="bottom"/>
          </w:tcPr>
          <w:p>
            <w:pPr>
              <w:spacing w:after="0" w:line="20" w:lineRule="exact"/>
              <w:rPr>
                <w:sz w:val="1"/>
                <w:szCs w:val="1"/>
                <w:color w:val="auto"/>
              </w:rPr>
            </w:pPr>
          </w:p>
        </w:tc>
        <w:tc>
          <w:tcPr>
            <w:tcW w:w="354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54"/>
        </w:trPr>
        <w:tc>
          <w:tcPr>
            <w:tcW w:w="500" w:type="dxa"/>
            <w:vAlign w:val="bottom"/>
          </w:tcPr>
          <w:p>
            <w:pPr>
              <w:spacing w:after="0"/>
              <w:rPr>
                <w:sz w:val="22"/>
                <w:szCs w:val="22"/>
                <w:color w:val="auto"/>
              </w:rPr>
            </w:pPr>
          </w:p>
        </w:tc>
        <w:tc>
          <w:tcPr>
            <w:tcW w:w="10660" w:type="dxa"/>
            <w:vAlign w:val="bottom"/>
            <w:gridSpan w:val="4"/>
          </w:tcPr>
          <w:p>
            <w:pPr>
              <w:ind w:left="280"/>
              <w:spacing w:after="0"/>
              <w:rPr>
                <w:sz w:val="20"/>
                <w:szCs w:val="20"/>
                <w:color w:val="auto"/>
              </w:rPr>
            </w:pPr>
            <w:r>
              <w:rPr>
                <w:rFonts w:ascii="Arial" w:cs="Arial" w:eastAsia="Arial" w:hAnsi="Arial"/>
                <w:sz w:val="20"/>
                <w:szCs w:val="20"/>
                <w:color w:val="auto"/>
              </w:rPr>
              <w:t>Arrangements shall not be subject to the proviso of this clause (d);</w:t>
            </w:r>
          </w:p>
        </w:tc>
      </w:tr>
    </w:tbl>
    <w:p>
      <w:pPr>
        <w:spacing w:after="0" w:line="195" w:lineRule="exact"/>
        <w:rPr>
          <w:sz w:val="20"/>
          <w:szCs w:val="20"/>
          <w:color w:val="auto"/>
        </w:rPr>
      </w:pPr>
    </w:p>
    <w:p>
      <w:pPr>
        <w:jc w:val="both"/>
        <w:ind w:firstLine="872"/>
        <w:spacing w:after="0" w:line="304" w:lineRule="auto"/>
        <w:tabs>
          <w:tab w:leader="none" w:pos="173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(i) Dispositions made in accordance with Toro’s investment policy, (ii) Dispositions made in connection with Acquisitions, (iii) Dispositions of interests in Joint Ventures; (iv) Dispositions made in connection with Swap Contracts, (v) permitted Dispositions of Subsidiaries, (vi) Dispositions in connection with purchases by Toro of shares of its capital stock and associated rights to purchase shares of Toro’s preferred stock pursuant to Toro’s shareholder rights plan to the extent permitted by </w:t>
      </w:r>
      <w:r>
        <w:rPr>
          <w:rFonts w:ascii="Arial" w:cs="Arial" w:eastAsia="Arial" w:hAnsi="Arial"/>
          <w:sz w:val="16"/>
          <w:szCs w:val="16"/>
          <w:u w:val="single" w:color="auto"/>
          <w:color w:val="auto"/>
        </w:rPr>
        <w:t>Sections 6.11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7.04(c)</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400" w:hanging="392"/>
        <w:spacing w:after="0"/>
        <w:tabs>
          <w:tab w:leader="none" w:pos="4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Dispositions of Equity Interests in Red Iron;</w:t>
      </w:r>
    </w:p>
    <w:p>
      <w:pPr>
        <w:spacing w:after="0" w:line="199" w:lineRule="exact"/>
        <w:rPr>
          <w:rFonts w:ascii="Arial" w:cs="Arial" w:eastAsia="Arial" w:hAnsi="Arial"/>
          <w:sz w:val="20"/>
          <w:szCs w:val="20"/>
          <w:color w:val="auto"/>
        </w:rPr>
      </w:pPr>
    </w:p>
    <w:p>
      <w:pPr>
        <w:jc w:val="both"/>
        <w:ind w:firstLine="872"/>
        <w:spacing w:after="0" w:line="246" w:lineRule="auto"/>
        <w:tabs>
          <w:tab w:leader="none" w:pos="1709" w:val="left"/>
        </w:tabs>
        <w:numPr>
          <w:ilvl w:val="1"/>
          <w:numId w:val="143"/>
        </w:numPr>
        <w:rPr>
          <w:rFonts w:ascii="Arial" w:cs="Arial" w:eastAsia="Arial" w:hAnsi="Arial"/>
          <w:sz w:val="20"/>
          <w:szCs w:val="20"/>
          <w:color w:val="auto"/>
        </w:rPr>
      </w:pPr>
      <w:r>
        <w:rPr>
          <w:rFonts w:ascii="Arial" w:cs="Arial" w:eastAsia="Arial" w:hAnsi="Arial"/>
          <w:sz w:val="20"/>
          <w:szCs w:val="20"/>
          <w:color w:val="auto"/>
        </w:rPr>
        <w:t xml:space="preserve">Dispositions not otherwise permitted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that (i) at the time of any such Disposition, no Event of Default shall exist or shall result from such Disposition and (ii) the aggregate value of all assets so sold by Toro and its Subsidiaries shall not exceed in any fiscal year 15% of the consolidated total assets of Toro and its Subsidiaries determined as of the end of the most recently ended fiscal quarter of Toro;</w:t>
      </w:r>
    </w:p>
    <w:p>
      <w:pPr>
        <w:spacing w:after="0" w:line="204" w:lineRule="exact"/>
        <w:rPr>
          <w:rFonts w:ascii="Arial" w:cs="Arial" w:eastAsia="Arial" w:hAnsi="Arial"/>
          <w:sz w:val="20"/>
          <w:szCs w:val="20"/>
          <w:color w:val="auto"/>
        </w:rPr>
      </w:pPr>
    </w:p>
    <w:p>
      <w:pPr>
        <w:jc w:val="both"/>
        <w:ind w:right="20" w:firstLine="872"/>
        <w:spacing w:after="0" w:line="250" w:lineRule="auto"/>
        <w:tabs>
          <w:tab w:leader="none" w:pos="1742"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Toro or any Subsidiary, including any Subsidiary Borrower, may sell, assign, lease, convey, transfer or otherwise dispose of assets to one of the Borrowers or another Wholly-Owned Subsidiary or in connection with the discontinuance of any line of business if the discontinuance of such line of business will not result in a Material Adverse Effect;</w:t>
      </w:r>
    </w:p>
    <w:p>
      <w:pPr>
        <w:spacing w:after="0" w:line="185" w:lineRule="exact"/>
        <w:rPr>
          <w:rFonts w:ascii="Arial" w:cs="Arial" w:eastAsia="Arial" w:hAnsi="Arial"/>
          <w:sz w:val="20"/>
          <w:szCs w:val="20"/>
          <w:color w:val="auto"/>
        </w:rPr>
      </w:pPr>
    </w:p>
    <w:p>
      <w:pPr>
        <w:jc w:val="both"/>
        <w:ind w:firstLine="872"/>
        <w:spacing w:after="0" w:line="260" w:lineRule="auto"/>
        <w:tabs>
          <w:tab w:leader="none" w:pos="1805" w:val="left"/>
        </w:tabs>
        <w:numPr>
          <w:ilvl w:val="1"/>
          <w:numId w:val="143"/>
        </w:numPr>
        <w:rPr>
          <w:rFonts w:ascii="Arial" w:cs="Arial" w:eastAsia="Arial" w:hAnsi="Arial"/>
          <w:sz w:val="19"/>
          <w:szCs w:val="19"/>
          <w:color w:val="auto"/>
        </w:rPr>
      </w:pPr>
      <w:r>
        <w:rPr>
          <w:rFonts w:ascii="Arial" w:cs="Arial" w:eastAsia="Arial" w:hAnsi="Arial"/>
          <w:sz w:val="19"/>
          <w:szCs w:val="19"/>
          <w:color w:val="auto"/>
        </w:rPr>
        <w:t>Dispositions or transfers of cash or other property including capital stock (i) in payment for goods or services in the ordinary course of business to the extent not otherwise prohibited hereunder and (ii) in connection with investments, including (A) investments in accordance with Toro’s investment policy as adopted from time to time, (B) extensions of credit in the nature of accounts receivable or notes receivable arising from the sale or lease of goods or services in the ordinary course of business or extensions of credit by any Borrower to any of Toro’s Wholly-Owned Subsidiaries or by any of Toro’s Wholly-Owned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6" w:name="page107"/>
    <w:bookmarkEnd w:id="106"/>
    <w:p>
      <w:pPr>
        <w:jc w:val="both"/>
        <w:spacing w:after="0" w:line="246" w:lineRule="auto"/>
        <w:rPr>
          <w:sz w:val="20"/>
          <w:szCs w:val="20"/>
          <w:color w:val="auto"/>
        </w:rPr>
      </w:pPr>
      <w:r>
        <w:rPr>
          <w:rFonts w:ascii="Arial" w:cs="Arial" w:eastAsia="Arial" w:hAnsi="Arial"/>
          <w:sz w:val="20"/>
          <w:szCs w:val="20"/>
          <w:color w:val="auto"/>
        </w:rPr>
        <w:t>Subsidiaries to any Borrower or to another of Toro’s Wholly-Owned Subsidiaries or extensions of credit made in the ordinary course of its business consistent with past practices to distributors or dealers of Toro’s and its Subsidiaries’ products, (C) investments incurred in order to consummate Acquisitions, (D) investments in Joint Ventures, (E) investments under Swap Contracts, (F) investments made in Subsidiaries, and (G) investments in Red Iron;</w:t>
      </w:r>
    </w:p>
    <w:p>
      <w:pPr>
        <w:spacing w:after="0" w:line="191" w:lineRule="exact"/>
        <w:rPr>
          <w:sz w:val="20"/>
          <w:szCs w:val="20"/>
          <w:color w:val="auto"/>
        </w:rPr>
      </w:pPr>
    </w:p>
    <w:p>
      <w:pPr>
        <w:ind w:left="1740" w:hanging="844"/>
        <w:spacing w:after="0"/>
        <w:tabs>
          <w:tab w:leader="none" w:pos="17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Dispositions resulting from any casualty or condemnation;</w:t>
      </w:r>
    </w:p>
    <w:p>
      <w:pPr>
        <w:spacing w:after="0" w:line="215" w:lineRule="exact"/>
        <w:rPr>
          <w:rFonts w:ascii="Arial" w:cs="Arial" w:eastAsia="Arial" w:hAnsi="Arial"/>
          <w:sz w:val="20"/>
          <w:szCs w:val="20"/>
          <w:color w:val="auto"/>
        </w:rPr>
      </w:pPr>
    </w:p>
    <w:p>
      <w:pPr>
        <w:ind w:left="1740" w:hanging="844"/>
        <w:spacing w:after="0"/>
        <w:tabs>
          <w:tab w:leader="none" w:pos="17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Dispositions in connection with Restricted Payments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80" w:hanging="884"/>
        <w:spacing w:after="0"/>
        <w:tabs>
          <w:tab w:leader="none" w:pos="178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Dispositions in connection with the granting of Permitted Liens; and</w:t>
      </w:r>
    </w:p>
    <w:p>
      <w:pPr>
        <w:spacing w:after="0" w:line="215" w:lineRule="exact"/>
        <w:rPr>
          <w:rFonts w:ascii="Arial" w:cs="Arial" w:eastAsia="Arial" w:hAnsi="Arial"/>
          <w:sz w:val="20"/>
          <w:szCs w:val="20"/>
          <w:color w:val="auto"/>
        </w:rPr>
      </w:pPr>
    </w:p>
    <w:p>
      <w:pPr>
        <w:ind w:left="1740" w:hanging="844"/>
        <w:spacing w:after="0"/>
        <w:tabs>
          <w:tab w:leader="none" w:pos="174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Dispositions in connection with the payment of Contingent Obligations or Indebtedness not otherwise prohibited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hereunder.</w:t>
      </w:r>
    </w:p>
    <w:p>
      <w:pPr>
        <w:spacing w:after="0" w:line="18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0"/>
          <w:szCs w:val="20"/>
          <w:b w:val="1"/>
          <w:bCs w:val="1"/>
          <w:color w:val="auto"/>
        </w:rPr>
        <w:t>7.03 Consolidations and Mergers</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None of the Borrowers shall, or permit any Subsidiary to, merge, consolidate with or</w:t>
      </w:r>
      <w:r>
        <w:rPr>
          <w:rFonts w:ascii="Arial" w:cs="Arial" w:eastAsia="Arial" w:hAnsi="Arial"/>
          <w:sz w:val="20"/>
          <w:szCs w:val="20"/>
          <w:b w:val="1"/>
          <w:bCs w:val="1"/>
          <w:color w:val="auto"/>
        </w:rPr>
        <w:t xml:space="preserve"> </w:t>
      </w:r>
      <w:r>
        <w:rPr>
          <w:rFonts w:ascii="Arial" w:cs="Arial" w:eastAsia="Arial" w:hAnsi="Arial"/>
          <w:sz w:val="20"/>
          <w:szCs w:val="20"/>
          <w:color w:val="auto"/>
        </w:rPr>
        <w:t>into, or convey, transfer, lease or otherwise dispose of (whether in one transaction or in a series of transactions) all or substantially all of its assets (whether now owned or hereafter acquired) to or in favor of any Person, except:</w:t>
      </w:r>
    </w:p>
    <w:p>
      <w:pPr>
        <w:spacing w:after="0" w:line="180" w:lineRule="exact"/>
        <w:rPr>
          <w:sz w:val="20"/>
          <w:szCs w:val="20"/>
          <w:color w:val="auto"/>
        </w:rPr>
      </w:pPr>
    </w:p>
    <w:p>
      <w:pPr>
        <w:jc w:val="both"/>
        <w:ind w:firstLine="872"/>
        <w:spacing w:after="0" w:line="244" w:lineRule="auto"/>
        <w:tabs>
          <w:tab w:leader="none" w:pos="1731"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any Subsidiary (other than TCC, to the extent TCC becomes a Borrower pursuant to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including any Subsidiary Borrower, may merge with one of the Borrowers, or with any one or more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transaction shall be between a Subsidiary and a Wholly-Owned Subsidiary, the surviving Person shall be a Wholly-Owned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any such transaction shall be between a Subsidiary and a Subsidiary Borrower, the surviving Person shall be a Subsidiary Borrower, as applicable;</w:t>
      </w:r>
    </w:p>
    <w:p>
      <w:pPr>
        <w:spacing w:after="0" w:line="194"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TCC may merge with or sell all or substantially all of its assets to Toro;</w:t>
      </w:r>
    </w:p>
    <w:p>
      <w:pPr>
        <w:spacing w:after="0" w:line="216" w:lineRule="exact"/>
        <w:rPr>
          <w:sz w:val="20"/>
          <w:szCs w:val="20"/>
          <w:color w:val="auto"/>
        </w:rPr>
      </w:pPr>
    </w:p>
    <w:p>
      <w:pPr>
        <w:jc w:val="both"/>
        <w:ind w:firstLine="872"/>
        <w:spacing w:after="0" w:line="250" w:lineRule="auto"/>
        <w:tabs>
          <w:tab w:leader="none" w:pos="1731"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any Subsidiary (other than TCC, to the extent TCC becomes a Borrower pursuant to </w:t>
      </w:r>
      <w:r>
        <w:rPr>
          <w:rFonts w:ascii="Arial" w:cs="Arial" w:eastAsia="Arial" w:hAnsi="Arial"/>
          <w:sz w:val="20"/>
          <w:szCs w:val="20"/>
          <w:u w:val="single" w:color="auto"/>
          <w:color w:val="auto"/>
        </w:rPr>
        <w:t>Section 2.17</w:t>
      </w:r>
      <w:r>
        <w:rPr>
          <w:rFonts w:ascii="Arial" w:cs="Arial" w:eastAsia="Arial" w:hAnsi="Arial"/>
          <w:sz w:val="20"/>
          <w:szCs w:val="20"/>
          <w:color w:val="auto"/>
        </w:rPr>
        <w:t>), including any Subsidiary Borrower, may sell all or substantially all of its assets (upon voluntary liquidation or otherwise), to one of the Borrowers or another Wholly-Owned Subsidiary; and</w:t>
      </w:r>
    </w:p>
    <w:p>
      <w:pPr>
        <w:spacing w:after="0" w:line="185" w:lineRule="exact"/>
        <w:rPr>
          <w:rFonts w:ascii="Arial" w:cs="Arial" w:eastAsia="Arial" w:hAnsi="Arial"/>
          <w:sz w:val="20"/>
          <w:szCs w:val="20"/>
          <w:color w:val="auto"/>
        </w:rPr>
      </w:pPr>
    </w:p>
    <w:p>
      <w:pPr>
        <w:ind w:left="1760" w:hanging="888"/>
        <w:spacing w:after="0"/>
        <w:tabs>
          <w:tab w:leader="none" w:pos="176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those transactions otherwise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 and</w:t>
      </w:r>
    </w:p>
    <w:p>
      <w:pPr>
        <w:spacing w:after="0" w:line="229" w:lineRule="exact"/>
        <w:rPr>
          <w:rFonts w:ascii="Arial" w:cs="Arial" w:eastAsia="Arial" w:hAnsi="Arial"/>
          <w:sz w:val="20"/>
          <w:szCs w:val="20"/>
          <w:color w:val="auto"/>
        </w:rPr>
      </w:pPr>
    </w:p>
    <w:p>
      <w:pPr>
        <w:ind w:left="1780" w:hanging="908"/>
        <w:spacing w:after="0"/>
        <w:tabs>
          <w:tab w:leader="none" w:pos="17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transactions in order to consummate Acquisitions.</w:t>
      </w:r>
    </w:p>
    <w:p>
      <w:pPr>
        <w:spacing w:after="0" w:line="20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9"/>
          <w:szCs w:val="19"/>
          <w:b w:val="1"/>
          <w:bCs w:val="1"/>
          <w:color w:val="auto"/>
        </w:rPr>
        <w:t>7.04 Restricted Payments</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None of the Borrowers shall, or shall suffer or permit any Material Subsidiary to, declare or</w:t>
      </w:r>
      <w:r>
        <w:rPr>
          <w:rFonts w:ascii="Arial" w:cs="Arial" w:eastAsia="Arial" w:hAnsi="Arial"/>
          <w:sz w:val="19"/>
          <w:szCs w:val="19"/>
          <w:b w:val="1"/>
          <w:bCs w:val="1"/>
          <w:color w:val="auto"/>
        </w:rPr>
        <w:t xml:space="preserve"> </w:t>
      </w:r>
      <w:r>
        <w:rPr>
          <w:rFonts w:ascii="Arial" w:cs="Arial" w:eastAsia="Arial" w:hAnsi="Arial"/>
          <w:sz w:val="19"/>
          <w:szCs w:val="19"/>
          <w:color w:val="auto"/>
        </w:rPr>
        <w:t>make any 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Arial" w:cs="Arial" w:eastAsia="Arial" w:hAnsi="Arial"/>
          <w:sz w:val="19"/>
          <w:szCs w:val="19"/>
          <w:u w:val="single" w:color="auto"/>
          <w:color w:val="auto"/>
        </w:rPr>
        <w:t>Restricted Payment</w:t>
      </w:r>
      <w:r>
        <w:rPr>
          <w:rFonts w:ascii="Arial" w:cs="Arial" w:eastAsia="Arial" w:hAnsi="Arial"/>
          <w:sz w:val="19"/>
          <w:szCs w:val="19"/>
          <w:color w:val="auto"/>
        </w:rPr>
        <w:t>”); except that:</w:t>
      </w:r>
    </w:p>
    <w:p>
      <w:pPr>
        <w:spacing w:after="0" w:line="173" w:lineRule="exact"/>
        <w:rPr>
          <w:sz w:val="20"/>
          <w:szCs w:val="20"/>
          <w:color w:val="auto"/>
        </w:rPr>
      </w:pPr>
    </w:p>
    <w:p>
      <w:pPr>
        <w:ind w:right="20" w:firstLine="872"/>
        <w:spacing w:after="0" w:line="260" w:lineRule="auto"/>
        <w:tabs>
          <w:tab w:leader="none" w:pos="1731" w:val="left"/>
        </w:tabs>
        <w:numPr>
          <w:ilvl w:val="0"/>
          <w:numId w:val="147"/>
        </w:numPr>
        <w:rPr>
          <w:rFonts w:ascii="Arial" w:cs="Arial" w:eastAsia="Arial" w:hAnsi="Arial"/>
          <w:sz w:val="20"/>
          <w:szCs w:val="20"/>
          <w:color w:val="auto"/>
        </w:rPr>
      </w:pPr>
      <w:r>
        <w:rPr>
          <w:rFonts w:ascii="Arial" w:cs="Arial" w:eastAsia="Arial" w:hAnsi="Arial"/>
          <w:sz w:val="20"/>
          <w:szCs w:val="20"/>
          <w:color w:val="auto"/>
        </w:rPr>
        <w:t>each Borrower and any Wholly-Owned Subsidiary may declare and make dividend payments or other distributions payable solely in its common stock;</w:t>
      </w:r>
    </w:p>
    <w:p>
      <w:pPr>
        <w:spacing w:after="0" w:line="176" w:lineRule="exact"/>
        <w:rPr>
          <w:rFonts w:ascii="Arial" w:cs="Arial" w:eastAsia="Arial" w:hAnsi="Arial"/>
          <w:sz w:val="20"/>
          <w:szCs w:val="20"/>
          <w:color w:val="auto"/>
        </w:rPr>
      </w:pPr>
    </w:p>
    <w:p>
      <w:pPr>
        <w:jc w:val="both"/>
        <w:ind w:firstLine="872"/>
        <w:spacing w:after="0" w:line="250" w:lineRule="auto"/>
        <w:tabs>
          <w:tab w:leader="none" w:pos="1742" w:val="left"/>
        </w:tabs>
        <w:numPr>
          <w:ilvl w:val="0"/>
          <w:numId w:val="147"/>
        </w:numPr>
        <w:rPr>
          <w:rFonts w:ascii="Arial" w:cs="Arial" w:eastAsia="Arial" w:hAnsi="Arial"/>
          <w:sz w:val="20"/>
          <w:szCs w:val="20"/>
          <w:color w:val="auto"/>
        </w:rPr>
      </w:pPr>
      <w:r>
        <w:rPr>
          <w:rFonts w:ascii="Arial" w:cs="Arial" w:eastAsia="Arial" w:hAnsi="Arial"/>
          <w:sz w:val="20"/>
          <w:szCs w:val="20"/>
          <w:color w:val="auto"/>
        </w:rPr>
        <w:t>each Borrower and any Wholly-Owned Subsidiary may purchase, redeem or otherwise acquire shares of its common stock or warrants or options to acquire any such shares with the proceeds received from the substantially concurrent issue of new shares of its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7" w:name="page108"/>
    <w:bookmarkEnd w:id="107"/>
    <w:p>
      <w:pPr>
        <w:jc w:val="both"/>
        <w:ind w:firstLine="872"/>
        <w:spacing w:after="0" w:line="244" w:lineRule="auto"/>
        <w:tabs>
          <w:tab w:leader="none" w:pos="1731"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if (both before and after giving pro forma effect to such Restricted Payment) the Leverage Ratio for such period is less than or equal to the maximum permitted Leverage Ratio then in effect pursuant to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Toro may declare and pay cash dividends to its stockholders and purchase, redeem or otherwise acquire shares of its capital stock or warrants, rights or options to acquire any such shares for cash without restriction; </w:t>
      </w:r>
      <w:r>
        <w:rPr>
          <w:rFonts w:ascii="Arial" w:cs="Arial" w:eastAsia="Arial" w:hAnsi="Arial"/>
          <w:sz w:val="20"/>
          <w:szCs w:val="20"/>
          <w:u w:val="single" w:color="auto"/>
          <w:color w:val="auto"/>
        </w:rPr>
        <w:t>provided</w:t>
      </w:r>
      <w:r>
        <w:rPr>
          <w:rFonts w:ascii="Arial" w:cs="Arial" w:eastAsia="Arial" w:hAnsi="Arial"/>
          <w:sz w:val="20"/>
          <w:szCs w:val="20"/>
          <w:color w:val="auto"/>
        </w:rPr>
        <w:t>, that, immediately after giving effect to any such proposed action, no Default or Event of Default would exist; and</w:t>
      </w:r>
    </w:p>
    <w:p>
      <w:pPr>
        <w:spacing w:after="0" w:line="194" w:lineRule="exact"/>
        <w:rPr>
          <w:rFonts w:ascii="Arial" w:cs="Arial" w:eastAsia="Arial" w:hAnsi="Arial"/>
          <w:sz w:val="20"/>
          <w:szCs w:val="20"/>
          <w:color w:val="auto"/>
        </w:rPr>
      </w:pPr>
    </w:p>
    <w:p>
      <w:pPr>
        <w:ind w:firstLine="872"/>
        <w:spacing w:after="0" w:line="316" w:lineRule="auto"/>
        <w:tabs>
          <w:tab w:leader="none" w:pos="174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TCC, to the extent TCC becomes a Borrower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any Subsidiary Borrower may declare and pay dividends to Toro or its parent company and any Wholly-Owned Subsidiary may declare and pay dividends to its parent company.</w:t>
      </w:r>
    </w:p>
    <w:p>
      <w:pPr>
        <w:spacing w:after="0" w:line="12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b w:val="1"/>
          <w:bCs w:val="1"/>
          <w:color w:val="auto"/>
        </w:rPr>
        <w:t xml:space="preserve">7.05 Maximum Leverage Ratio. </w:t>
      </w:r>
      <w:r>
        <w:rPr>
          <w:rFonts w:ascii="Arial" w:cs="Arial" w:eastAsia="Arial" w:hAnsi="Arial"/>
          <w:sz w:val="19"/>
          <w:szCs w:val="19"/>
          <w:color w:val="auto"/>
        </w:rPr>
        <w:t>Toro, on a consolidated basis, shall not, as of the end of any fiscal quarter, permit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consolidated ratio of (a) total Indebtedness as of such date to (b) the sum of Consolidated EBIT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depreciation and amortization expense (the “</w:t>
      </w:r>
      <w:r>
        <w:rPr>
          <w:rFonts w:ascii="Arial" w:cs="Arial" w:eastAsia="Arial" w:hAnsi="Arial"/>
          <w:sz w:val="19"/>
          <w:szCs w:val="19"/>
          <w:u w:val="single" w:color="auto"/>
          <w:color w:val="auto"/>
        </w:rPr>
        <w:t>Leverage Ratio</w:t>
      </w:r>
      <w:r>
        <w:rPr>
          <w:rFonts w:ascii="Arial" w:cs="Arial" w:eastAsia="Arial" w:hAnsi="Arial"/>
          <w:sz w:val="19"/>
          <w:szCs w:val="19"/>
          <w:color w:val="auto"/>
        </w:rPr>
        <w:t xml:space="preserve">”) for the period of four prior fiscal quarters ending on such date to be more than 3.50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after the occurrence of any Acquisition (or series of related transactions for the purpose of or resulting in such Acquisition) with aggregate consideration in excess of $75,000,000, at the option of Toro, for each of the four consecutive fiscal quarters ending after such option exercise (a “</w:t>
      </w:r>
      <w:r>
        <w:rPr>
          <w:rFonts w:ascii="Arial" w:cs="Arial" w:eastAsia="Arial" w:hAnsi="Arial"/>
          <w:sz w:val="19"/>
          <w:szCs w:val="19"/>
          <w:u w:val="single" w:color="auto"/>
          <w:color w:val="auto"/>
        </w:rPr>
        <w:t>Covenant Holiday</w:t>
      </w:r>
      <w:r>
        <w:rPr>
          <w:rFonts w:ascii="Arial" w:cs="Arial" w:eastAsia="Arial" w:hAnsi="Arial"/>
          <w:sz w:val="19"/>
          <w:szCs w:val="19"/>
          <w:color w:val="auto"/>
        </w:rPr>
        <w:t xml:space="preserve">”), the Leverage Ratio as of the last day of such fiscal quarter shall not exceed 4.00 to 1.00;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Toro may opt to use a maximum of two Covenant Holidays.</w:t>
      </w:r>
    </w:p>
    <w:p>
      <w:pPr>
        <w:spacing w:after="0" w:line="17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7.06 Red Iron. </w:t>
      </w:r>
      <w:r>
        <w:rPr>
          <w:rFonts w:ascii="Arial" w:cs="Arial" w:eastAsia="Arial" w:hAnsi="Arial"/>
          <w:sz w:val="20"/>
          <w:szCs w:val="20"/>
          <w:color w:val="auto"/>
        </w:rPr>
        <w:t>None of the Borrowers shall, or permit any Subsidiary to, agree to permit Red Iron to retain or defer</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undisputed amounts due by Red Iron to Toro or any Subsidiary (other than as an offset in payment of amounts due by Toro or such Subsidiaries to Red Iron) in an aggregate amount at any time in excess of $35,000,000.</w:t>
      </w:r>
    </w:p>
    <w:p>
      <w:pPr>
        <w:spacing w:after="0" w:line="177"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b w:val="1"/>
          <w:bCs w:val="1"/>
          <w:color w:val="auto"/>
        </w:rPr>
        <w:t xml:space="preserve">7.07 Sanctions. </w:t>
      </w:r>
      <w:r>
        <w:rPr>
          <w:rFonts w:ascii="Arial" w:cs="Arial" w:eastAsia="Arial" w:hAnsi="Arial"/>
          <w:sz w:val="19"/>
          <w:szCs w:val="19"/>
          <w:color w:val="auto"/>
        </w:rPr>
        <w:t>No Borrower shall directly or indirectly use the proceeds of any Credit Extension, or lend, contribute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 Line Lender, or otherwise) of Sanctions.</w:t>
      </w:r>
    </w:p>
    <w:p>
      <w:pPr>
        <w:spacing w:after="0" w:line="17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7.08 Anti-Corruption Laws. </w:t>
      </w:r>
      <w:r>
        <w:rPr>
          <w:rFonts w:ascii="Arial" w:cs="Arial" w:eastAsia="Arial" w:hAnsi="Arial"/>
          <w:sz w:val="20"/>
          <w:szCs w:val="20"/>
          <w:color w:val="auto"/>
        </w:rPr>
        <w:t>No Borrower shall directly or indirectly use the proceeds of any Credit Extension for any</w:t>
      </w:r>
      <w:r>
        <w:rPr>
          <w:rFonts w:ascii="Arial" w:cs="Arial" w:eastAsia="Arial" w:hAnsi="Arial"/>
          <w:sz w:val="20"/>
          <w:szCs w:val="20"/>
          <w:b w:val="1"/>
          <w:bCs w:val="1"/>
          <w:color w:val="auto"/>
        </w:rPr>
        <w:t xml:space="preserve"> </w:t>
      </w:r>
      <w:r>
        <w:rPr>
          <w:rFonts w:ascii="Arial" w:cs="Arial" w:eastAsia="Arial" w:hAnsi="Arial"/>
          <w:sz w:val="20"/>
          <w:szCs w:val="20"/>
          <w:color w:val="auto"/>
        </w:rPr>
        <w:t>purpose which would breach the United States Foreign Corrupt Practices Act of 1977, the UK Bribery Act 2010, or other similar legislation in other jurisdictions.</w:t>
      </w:r>
    </w:p>
    <w:p>
      <w:pPr>
        <w:spacing w:after="0" w:line="275"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740" w:type="dxa"/>
            <w:vAlign w:val="bottom"/>
          </w:tcPr>
          <w:p>
            <w:pPr>
              <w:jc w:val="center"/>
              <w:ind w:right="3337"/>
              <w:spacing w:after="0"/>
              <w:rPr>
                <w:sz w:val="20"/>
                <w:szCs w:val="20"/>
                <w:color w:val="auto"/>
              </w:rPr>
            </w:pPr>
            <w:r>
              <w:rPr>
                <w:rFonts w:ascii="Arial" w:cs="Arial" w:eastAsia="Arial" w:hAnsi="Arial"/>
                <w:sz w:val="22"/>
                <w:szCs w:val="22"/>
                <w:b w:val="1"/>
                <w:bCs w:val="1"/>
                <w:color w:val="auto"/>
              </w:rPr>
              <w:t>ARTICLE VIII.</w:t>
            </w:r>
          </w:p>
        </w:tc>
      </w:tr>
      <w:tr>
        <w:trPr>
          <w:trHeight w:val="256"/>
        </w:trPr>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740" w:type="dxa"/>
            <w:vAlign w:val="bottom"/>
          </w:tcPr>
          <w:p>
            <w:pPr>
              <w:jc w:val="center"/>
              <w:ind w:right="3337"/>
              <w:spacing w:after="0"/>
              <w:rPr>
                <w:sz w:val="20"/>
                <w:szCs w:val="20"/>
                <w:color w:val="auto"/>
              </w:rPr>
            </w:pPr>
            <w:r>
              <w:rPr>
                <w:rFonts w:ascii="Arial" w:cs="Arial" w:eastAsia="Arial" w:hAnsi="Arial"/>
                <w:sz w:val="20"/>
                <w:szCs w:val="20"/>
                <w:b w:val="1"/>
                <w:bCs w:val="1"/>
                <w:color w:val="auto"/>
                <w:w w:val="98"/>
              </w:rPr>
              <w:t>EVENTS OF DEFAULT AND REMEDIES</w:t>
            </w:r>
          </w:p>
        </w:tc>
      </w:tr>
      <w:tr>
        <w:trPr>
          <w:trHeight w:val="465"/>
        </w:trPr>
        <w:tc>
          <w:tcPr>
            <w:tcW w:w="660" w:type="dxa"/>
            <w:vAlign w:val="bottom"/>
          </w:tcPr>
          <w:p>
            <w:pPr>
              <w:spacing w:after="0"/>
              <w:rPr>
                <w:sz w:val="20"/>
                <w:szCs w:val="20"/>
                <w:color w:val="auto"/>
              </w:rPr>
            </w:pPr>
            <w:r>
              <w:rPr>
                <w:rFonts w:ascii="Arial" w:cs="Arial" w:eastAsia="Arial" w:hAnsi="Arial"/>
                <w:sz w:val="20"/>
                <w:szCs w:val="20"/>
                <w:b w:val="1"/>
                <w:bCs w:val="1"/>
                <w:color w:val="auto"/>
              </w:rPr>
              <w:t>8.01</w:t>
            </w:r>
          </w:p>
        </w:tc>
        <w:tc>
          <w:tcPr>
            <w:tcW w:w="9680" w:type="dxa"/>
            <w:vAlign w:val="bottom"/>
            <w:gridSpan w:val="3"/>
          </w:tcPr>
          <w:p>
            <w:pPr>
              <w:ind w:left="320"/>
              <w:spacing w:after="0"/>
              <w:rPr>
                <w:sz w:val="20"/>
                <w:szCs w:val="20"/>
                <w:color w:val="auto"/>
              </w:rPr>
            </w:pPr>
            <w:r>
              <w:rPr>
                <w:rFonts w:ascii="Arial" w:cs="Arial" w:eastAsia="Arial" w:hAnsi="Arial"/>
                <w:sz w:val="20"/>
                <w:szCs w:val="20"/>
                <w:b w:val="1"/>
                <w:bCs w:val="1"/>
                <w:color w:val="auto"/>
              </w:rPr>
              <w:t>Events of Default</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Any of the following shall constitute an Event of Default:</w:t>
            </w:r>
          </w:p>
        </w:tc>
      </w:tr>
      <w:tr>
        <w:trPr>
          <w:trHeight w:val="395"/>
        </w:trPr>
        <w:tc>
          <w:tcPr>
            <w:tcW w:w="660" w:type="dxa"/>
            <w:vAlign w:val="bottom"/>
          </w:tcPr>
          <w:p>
            <w:pPr>
              <w:spacing w:after="0"/>
              <w:rPr>
                <w:sz w:val="20"/>
                <w:szCs w:val="20"/>
                <w:color w:val="auto"/>
              </w:rPr>
            </w:pPr>
            <w:r>
              <w:rPr>
                <w:rFonts w:ascii="Arial" w:cs="Arial" w:eastAsia="Arial" w:hAnsi="Arial"/>
                <w:sz w:val="20"/>
                <w:szCs w:val="20"/>
                <w:color w:val="auto"/>
              </w:rPr>
              <w:t>(a)</w:t>
            </w:r>
          </w:p>
        </w:tc>
        <w:tc>
          <w:tcPr>
            <w:tcW w:w="8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w w:val="92"/>
              </w:rPr>
              <w:t>Non-Payment. Any Borrower or any other Loan Party fails to pay (i) when and as required to be paid herein,</w:t>
            </w:r>
          </w:p>
        </w:tc>
      </w:tr>
      <w:tr>
        <w:trPr>
          <w:trHeight w:val="20"/>
        </w:trPr>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and in the currency required hereunder, any amount of principal of any Loan or any L/C Obligation, or (ii) within five (5) days after the same becomes due, any interest on any Loan or on any L/C Obligation, or any fee due hereunder, or (iii) within five (5) days after the same becomes due, any other amount payable hereunder or under any other Loan Document; or</w:t>
      </w:r>
    </w:p>
    <w:p>
      <w:pPr>
        <w:spacing w:after="0" w:line="186"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u w:val="single" w:color="auto"/>
          <w:color w:val="auto"/>
        </w:rPr>
        <w:t>Specific Covenants</w:t>
      </w:r>
      <w:r>
        <w:rPr>
          <w:rFonts w:ascii="Arial" w:cs="Arial" w:eastAsia="Arial" w:hAnsi="Arial"/>
          <w:sz w:val="18"/>
          <w:szCs w:val="18"/>
          <w:color w:val="auto"/>
        </w:rPr>
        <w:t>.  Toro fails to perform or observe any term, covenant or agreement contained in any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6.10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8" w:name="page109"/>
    <w:bookmarkEnd w:id="108"/>
    <w:p>
      <w:pPr>
        <w:jc w:val="both"/>
        <w:ind w:firstLine="864"/>
        <w:spacing w:after="0" w:line="243"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Other Defaults</w:t>
      </w:r>
      <w:r>
        <w:rPr>
          <w:rFonts w:ascii="Arial" w:cs="Arial" w:eastAsia="Arial" w:hAnsi="Arial"/>
          <w:sz w:val="20"/>
          <w:szCs w:val="20"/>
          <w:color w:val="auto"/>
        </w:rPr>
        <w:t xml:space="preserve">. Any Borrower fails to perform or observe any other term or covenant contained in this Agreement or any other Loan Document (and such failure does not otherwise constitute an Event of Default under this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and such default shall continue unremedied for a period of 30 days,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Borrowers are diligently and in good faith attempting to cure such default, such default is curable and such default will not possibly result in a Material Adverse Effect, then the Borrowers may have additional time to cure such default as specified in writing by the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additional time shall not exceed 60 days; or</w:t>
      </w:r>
    </w:p>
    <w:p>
      <w:pPr>
        <w:spacing w:after="0" w:line="19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by any Borrower or any Subsidiary made or deemed made herein, in any other Loan Document, or which is contained in any certificate, document or financial or other statement by any Borrower, any Subsidiary, or any Responsible Officer, furnished at any time under this Agreement, or in or under any other Loan Document, is incorrect or misleading in any material respect (except, if a qualifier relating to materiality, Material Adverse Effect or a similar concept applies, such representation or warranty shall have been incorrect in any respect) on or as of the date made or deemed made; or</w:t>
      </w:r>
    </w:p>
    <w:p>
      <w:pPr>
        <w:spacing w:after="0" w:line="165"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Cross-Default</w:t>
      </w:r>
      <w:r>
        <w:rPr>
          <w:rFonts w:ascii="Arial" w:cs="Arial" w:eastAsia="Arial" w:hAnsi="Arial"/>
          <w:sz w:val="18"/>
          <w:szCs w:val="18"/>
          <w:color w:val="auto"/>
        </w:rPr>
        <w:t>. (i) Any Borrower or any Material Subsidiary (A) fails to make any payment in respect of any Indebtedness or Contingent Obligation, having an aggregate principal amount (including undrawn committed or available amounts and including amounts owing to all creditors under any combined or syndicated credit arrangement) of more than $75,000,000 when due (whether by scheduled maturity, required prepayment, acceleration, demand, or otherwise) and such failure continues after the applicable grace or notice period, if any, specified in the relevant document on the date of such failure; or (B) 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such Contingent Obligation to become payable or cash collateral in respect thereof to be demanded; or (ii)(A) there occurs any termination, liquidation, unwind or similar event or circumstance under any Receivables Purchase Facility other than a voluntary termination by any Borrower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w:t>
      </w:r>
      <w:r>
        <w:rPr>
          <w:rFonts w:ascii="Arial" w:cs="Arial" w:eastAsia="Arial" w:hAnsi="Arial"/>
          <w:sz w:val="18"/>
          <w:szCs w:val="18"/>
          <w:u w:val="single" w:color="auto"/>
          <w:color w:val="auto"/>
        </w:rPr>
        <w:t>Receivables Purchase Facility Termination</w:t>
      </w:r>
      <w:r>
        <w:rPr>
          <w:rFonts w:ascii="Arial" w:cs="Arial" w:eastAsia="Arial" w:hAnsi="Arial"/>
          <w:sz w:val="18"/>
          <w:szCs w:val="18"/>
          <w:color w:val="auto"/>
        </w:rPr>
        <w:t>”) other than any such Receivables Purchase Facility Termination that arises solely as a result of (i) a down-grading of the credit rating of any bank or financial institution not affiliated with the Borrowers that provides liquidity, credit or other support in connection with such facility; or (ii) breach of a covenant contained in any Receivables Purchase Facility and this Agreement if the Lenders have previously waived compliance with such covenant under the terms of this Agreement with respect to the particular instance of non-compliance giving rise to the breach of such covenant under such Receivables Purchase Facility, it being acknowledged by the Borrowers that no waiver by the Lenders of compliance with the provisions of this Agreement in any particular instance shall constitute a waiver under either this Agreement or any Receivables Purchase Facility of any future non-compliance with such provision and (B) within 60 days after the effective date of such Receivables Purchase Facility Termination, additional financing and/or capitalization of the Borrowers in replacement of such Receivables Purchase Facility, in an amount substantially similar to the amount of the Receivables Purchase Facility and upon such terms as are acceptable to the Required Lenders, shall not be completed and funding thereunder shall not be available to the Borrowers;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9" w:name="page110"/>
    <w:bookmarkEnd w:id="109"/>
    <w:p>
      <w:pPr>
        <w:jc w:val="both"/>
        <w:ind w:right="20" w:firstLine="864"/>
        <w:spacing w:after="0" w:line="263"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Insolvency, Voluntary Proceedings.</w:t>
      </w:r>
      <w:r>
        <w:rPr>
          <w:rFonts w:ascii="Arial" w:cs="Arial" w:eastAsia="Arial" w:hAnsi="Arial"/>
          <w:sz w:val="19"/>
          <w:szCs w:val="19"/>
          <w:color w:val="auto"/>
        </w:rPr>
        <w:t xml:space="preserve"> Any Borrower or any Material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176" w:lineRule="exact"/>
        <w:rPr>
          <w:sz w:val="20"/>
          <w:szCs w:val="20"/>
          <w:color w:val="auto"/>
        </w:rPr>
      </w:pPr>
    </w:p>
    <w:p>
      <w:pPr>
        <w:jc w:val="both"/>
        <w:ind w:right="20" w:firstLine="864"/>
        <w:spacing w:after="0" w:line="273"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Involuntary Proceedings</w:t>
      </w:r>
      <w:r>
        <w:rPr>
          <w:rFonts w:ascii="Arial" w:cs="Arial" w:eastAsia="Arial" w:hAnsi="Arial"/>
          <w:sz w:val="18"/>
          <w:szCs w:val="18"/>
          <w:color w:val="auto"/>
        </w:rPr>
        <w:t>. (i) Any involuntary Insolvency Proceeding is commenced or filed against any Borrower or any Material Subsidiary, or any writ, judgment, warrant of attachment, execution or similar process, is issued or levied against a substantial part of any Borrower’s or any Material Subsidiary’s properties, and any such proceeding or petition shall not be dismissed, or such writ, judgment, warrant of attachment, execution or similar process shall not be released, vacated or fully bonded within 60 days after commencement, filing or levy; (ii) any Borrower or any Material Subsidiary admits the material allegations of a petition against it in any Insolvency Proceeding, or an order for relief (or similar order under non-U.S. law) is ordered in any Insolvency Proceeding; or (iii) any Borrower or any Material Subsidiary acquiesces in the appointment of a receiver, trustee, custodian, conservator, liquidator, mortgagee in possession (or agent therefor), or other similar Person for itself or a substantial portion of its property or business; or</w:t>
      </w:r>
    </w:p>
    <w:p>
      <w:pPr>
        <w:spacing w:after="0" w:line="168" w:lineRule="exact"/>
        <w:rPr>
          <w:sz w:val="20"/>
          <w:szCs w:val="20"/>
          <w:color w:val="auto"/>
        </w:rPr>
      </w:pPr>
    </w:p>
    <w:p>
      <w:pPr>
        <w:jc w:val="both"/>
        <w:ind w:right="20" w:firstLine="864"/>
        <w:spacing w:after="0" w:line="244" w:lineRule="auto"/>
        <w:rPr>
          <w:sz w:val="20"/>
          <w:szCs w:val="20"/>
          <w:color w:val="auto"/>
        </w:rPr>
      </w:pPr>
      <w:r>
        <w:rPr>
          <w:rFonts w:ascii="Arial" w:cs="Arial" w:eastAsia="Arial" w:hAnsi="Arial"/>
          <w:sz w:val="20"/>
          <w:szCs w:val="20"/>
          <w:color w:val="auto"/>
        </w:rPr>
        <w:t xml:space="preserve">(h) </w:t>
      </w:r>
      <w:r>
        <w:rPr>
          <w:rFonts w:ascii="Arial" w:cs="Arial" w:eastAsia="Arial" w:hAnsi="Arial"/>
          <w:sz w:val="20"/>
          <w:szCs w:val="20"/>
          <w:u w:val="single" w:color="auto"/>
          <w:color w:val="auto"/>
        </w:rPr>
        <w:t>Monetary Judgments</w:t>
      </w:r>
      <w:r>
        <w:rPr>
          <w:rFonts w:ascii="Arial" w:cs="Arial" w:eastAsia="Arial" w:hAnsi="Arial"/>
          <w:sz w:val="20"/>
          <w:szCs w:val="20"/>
          <w:color w:val="auto"/>
        </w:rPr>
        <w:t>. One or more non-interlocutory judgments, non-interlocutory orders, decrees or arbitration awards is entered against any or all of the Borrowers or any Material Subsidiary involving in the aggregate a liability (to the extent not covered by independent third-party insurance as to which the insurer does not dispute coverage) as to any single or related series of transactions, incidents or conditions, of $75,000,000 or more, and the same shall remain unsatisfied, unvacated and unstayed pending appeal for a period of 30 days after the entry thereof; or</w:t>
      </w:r>
    </w:p>
    <w:p>
      <w:pPr>
        <w:spacing w:after="0" w:line="194"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20"/>
          <w:szCs w:val="20"/>
          <w:color w:val="auto"/>
        </w:rPr>
        <w:t xml:space="preserve">(i) </w:t>
      </w:r>
      <w:r>
        <w:rPr>
          <w:rFonts w:ascii="Arial" w:cs="Arial" w:eastAsia="Arial" w:hAnsi="Arial"/>
          <w:sz w:val="20"/>
          <w:szCs w:val="20"/>
          <w:u w:val="single" w:color="auto"/>
          <w:color w:val="auto"/>
        </w:rPr>
        <w:t>Non-Monetary Judgments.</w:t>
      </w:r>
      <w:r>
        <w:rPr>
          <w:rFonts w:ascii="Arial" w:cs="Arial" w:eastAsia="Arial" w:hAnsi="Arial"/>
          <w:sz w:val="20"/>
          <w:szCs w:val="20"/>
          <w:color w:val="auto"/>
        </w:rPr>
        <w:t xml:space="preserve"> Any non-monetary judgment, order or decree is entered against any Borrower or any Material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91" w:lineRule="exact"/>
        <w:rPr>
          <w:sz w:val="20"/>
          <w:szCs w:val="20"/>
          <w:color w:val="auto"/>
        </w:rPr>
      </w:pPr>
    </w:p>
    <w:p>
      <w:pPr>
        <w:jc w:val="both"/>
        <w:ind w:right="20" w:firstLine="864"/>
        <w:spacing w:after="0" w:line="244" w:lineRule="auto"/>
        <w:rPr>
          <w:sz w:val="20"/>
          <w:szCs w:val="20"/>
          <w:color w:val="auto"/>
        </w:rPr>
      </w:pPr>
      <w:r>
        <w:rPr>
          <w:rFonts w:ascii="Arial" w:cs="Arial" w:eastAsia="Arial" w:hAnsi="Arial"/>
          <w:sz w:val="20"/>
          <w:szCs w:val="20"/>
          <w:color w:val="auto"/>
        </w:rPr>
        <w:t xml:space="preserve">(j) </w:t>
      </w:r>
      <w:r>
        <w:rPr>
          <w:rFonts w:ascii="Arial" w:cs="Arial" w:eastAsia="Arial" w:hAnsi="Arial"/>
          <w:sz w:val="20"/>
          <w:szCs w:val="20"/>
          <w:u w:val="single" w:color="auto"/>
          <w:color w:val="auto"/>
        </w:rPr>
        <w:t>ERISA</w:t>
      </w:r>
      <w:r>
        <w:rPr>
          <w:rFonts w:ascii="Arial" w:cs="Arial" w:eastAsia="Arial" w:hAnsi="Arial"/>
          <w:sz w:val="20"/>
          <w:szCs w:val="20"/>
          <w:color w:val="auto"/>
        </w:rPr>
        <w:t>. (i) An ERISA Event occurs with respect to a Pension Plan or Multiemployer Plan which has resulted or could reasonably be expected to result in liability of any Borrower under Title IV of ERISA to the Pension Plan, Multiemployer Plan or the PBGC in an aggregate amount in excess of $75,000,000, or (ii) any Borrower or any ERISA Affiliate fails to pay when due, after the expiration of any applicable grace period, any installment payment with respect to its withdrawal liability under Section 4201 of ERISA under a Multiemployer Plan in an aggregate amount in excess of $75,000,000; or</w:t>
      </w:r>
    </w:p>
    <w:p>
      <w:pPr>
        <w:spacing w:after="0" w:line="194"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0"/>
          <w:szCs w:val="20"/>
          <w:color w:val="auto"/>
        </w:rPr>
        <w:t xml:space="preserve">(k) </w:t>
      </w: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xml:space="preserve">. Any Loan Document, at any time after its execution and delivery and for any reason other than the agreement of all Lenders or satisfaction in full of all the Obligations, ceases to be in full force and effect (other than with respect to matters regarding Eurocurrency Rate Loans which are subject to the application of, and the Borrowers accordingly complying with the terms of, </w:t>
      </w:r>
      <w:r>
        <w:rPr>
          <w:rFonts w:ascii="Arial" w:cs="Arial" w:eastAsia="Arial" w:hAnsi="Arial"/>
          <w:sz w:val="20"/>
          <w:szCs w:val="20"/>
          <w:u w:val="single" w:color="auto"/>
          <w:color w:val="auto"/>
        </w:rPr>
        <w:t>Section 3.02</w:t>
      </w:r>
      <w:r>
        <w:rPr>
          <w:rFonts w:ascii="Arial" w:cs="Arial" w:eastAsia="Arial" w:hAnsi="Arial"/>
          <w:sz w:val="20"/>
          <w:szCs w:val="20"/>
          <w:color w:val="auto"/>
        </w:rPr>
        <w:t>) or is declared by a court of competent jurisdiction to be null and void, invalid or unenforceable in any respect; or any Borrower denies that is has any or further liability or obligation under any Loan Document, or purports to revoke, terminate or rescind any Loan Document; 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ind w:left="880"/>
              <w:spacing w:after="0"/>
              <w:rPr>
                <w:sz w:val="20"/>
                <w:szCs w:val="20"/>
                <w:color w:val="auto"/>
              </w:rPr>
            </w:pPr>
            <w:r>
              <w:rPr>
                <w:rFonts w:ascii="Arial" w:cs="Arial" w:eastAsia="Arial" w:hAnsi="Arial"/>
                <w:sz w:val="20"/>
                <w:szCs w:val="20"/>
                <w:color w:val="auto"/>
              </w:rPr>
              <w:t>(l)</w:t>
            </w:r>
          </w:p>
        </w:tc>
        <w:tc>
          <w:tcPr>
            <w:tcW w:w="9560" w:type="dxa"/>
            <w:vAlign w:val="bottom"/>
            <w:gridSpan w:val="3"/>
          </w:tcPr>
          <w:p>
            <w:pPr>
              <w:jc w:val="right"/>
              <w:ind w:right="4261"/>
              <w:spacing w:after="0"/>
              <w:rPr>
                <w:sz w:val="20"/>
                <w:szCs w:val="20"/>
                <w:color w:val="auto"/>
              </w:rPr>
            </w:pPr>
            <w:r>
              <w:rPr>
                <w:rFonts w:ascii="Arial" w:cs="Arial" w:eastAsia="Arial" w:hAnsi="Arial"/>
                <w:sz w:val="20"/>
                <w:szCs w:val="20"/>
                <w:color w:val="auto"/>
              </w:rPr>
              <w:t>Change of Control. There occurs any Change of Control.</w:t>
            </w:r>
          </w:p>
        </w:tc>
      </w:tr>
      <w:tr>
        <w:trPr>
          <w:trHeight w:val="470"/>
        </w:trPr>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7440" w:type="dxa"/>
            <w:vAlign w:val="bottom"/>
          </w:tcPr>
          <w:p>
            <w:pPr>
              <w:jc w:val="right"/>
              <w:ind w:right="5381"/>
              <w:spacing w:after="0"/>
              <w:rPr>
                <w:sz w:val="20"/>
                <w:szCs w:val="20"/>
                <w:color w:val="auto"/>
              </w:rPr>
            </w:pPr>
            <w:r>
              <w:rPr>
                <w:rFonts w:ascii="Arial" w:cs="Arial" w:eastAsia="Arial" w:hAnsi="Arial"/>
                <w:sz w:val="20"/>
                <w:szCs w:val="20"/>
                <w:color w:val="auto"/>
              </w:rPr>
              <w:t>100</w:t>
            </w:r>
          </w:p>
        </w:tc>
      </w:tr>
      <w:tr>
        <w:trPr>
          <w:trHeight w:val="260"/>
        </w:trPr>
        <w:tc>
          <w:tcPr>
            <w:tcW w:w="1700" w:type="dxa"/>
            <w:vAlign w:val="bottom"/>
            <w:tcBorders>
              <w:bottom w:val="single" w:sz="8" w:color="9A9A9A"/>
            </w:tcBorders>
          </w:tcPr>
          <w:p>
            <w:pPr>
              <w:spacing w:after="0"/>
              <w:rPr>
                <w:sz w:val="22"/>
                <w:szCs w:val="22"/>
                <w:color w:val="auto"/>
              </w:rPr>
            </w:pPr>
          </w:p>
        </w:tc>
        <w:tc>
          <w:tcPr>
            <w:tcW w:w="660" w:type="dxa"/>
            <w:vAlign w:val="bottom"/>
            <w:tcBorders>
              <w:bottom w:val="single" w:sz="8" w:color="9A9A9A"/>
            </w:tcBorders>
          </w:tcPr>
          <w:p>
            <w:pPr>
              <w:spacing w:after="0"/>
              <w:rPr>
                <w:sz w:val="22"/>
                <w:szCs w:val="22"/>
                <w:color w:val="auto"/>
              </w:rPr>
            </w:pPr>
          </w:p>
        </w:tc>
        <w:tc>
          <w:tcPr>
            <w:tcW w:w="1460" w:type="dxa"/>
            <w:vAlign w:val="bottom"/>
            <w:tcBorders>
              <w:bottom w:val="single" w:sz="8" w:color="9A9A9A"/>
            </w:tcBorders>
          </w:tcPr>
          <w:p>
            <w:pPr>
              <w:spacing w:after="0"/>
              <w:rPr>
                <w:sz w:val="22"/>
                <w:szCs w:val="22"/>
                <w:color w:val="auto"/>
              </w:rPr>
            </w:pPr>
          </w:p>
        </w:tc>
        <w:tc>
          <w:tcPr>
            <w:tcW w:w="74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110" w:name="page111"/>
    <w:bookmarkEnd w:id="110"/>
    <w:p>
      <w:pPr>
        <w:ind w:firstLine="864"/>
        <w:spacing w:after="0" w:line="273" w:lineRule="auto"/>
        <w:rPr>
          <w:sz w:val="20"/>
          <w:szCs w:val="20"/>
          <w:color w:val="auto"/>
        </w:rPr>
      </w:pPr>
      <w:r>
        <w:rPr>
          <w:rFonts w:ascii="Arial" w:cs="Arial" w:eastAsia="Arial" w:hAnsi="Arial"/>
          <w:sz w:val="20"/>
          <w:szCs w:val="20"/>
          <w:b w:val="1"/>
          <w:bCs w:val="1"/>
          <w:color w:val="auto"/>
        </w:rPr>
        <w:t>8.02 Remedies Upon Event of Default</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If any Event of Default occurs and is continuing, the Administrative Agent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at the request of, or may, with the consent of, the Required Lenders, take any or all of the following actions:</w:t>
      </w:r>
    </w:p>
    <w:p>
      <w:pPr>
        <w:spacing w:after="0" w:line="163"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(a) declare the commitment of each Lender to make Loans and any obligation of the L/C Issuer to make L/C Credit Extensions to be terminated, whereupon such commitments and obligation shall be terminated;</w:t>
      </w:r>
    </w:p>
    <w:p>
      <w:pPr>
        <w:spacing w:after="0" w:line="177"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declare the unpaid principal amount of all outstanding Loans, all interest accrued and unpaid thereon, and all</w:t>
      </w:r>
    </w:p>
    <w:p>
      <w:pPr>
        <w:spacing w:after="0" w:line="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other amounts owing or payable hereunder or under any other Loan Document to be immediately due and payable, without presentment, demand, protest or other notice of any kind, all of which are hereby expressly waived by the Borrowers;</w:t>
      </w:r>
    </w:p>
    <w:p>
      <w:pPr>
        <w:sectPr>
          <w:pgSz w:w="11900" w:h="16838" w:orient="portrait"/>
          <w:cols w:equalWidth="0" w:num="1">
            <w:col w:w="11240"/>
          </w:cols>
          <w:pgMar w:left="320" w:top="544" w:right="339" w:bottom="1440" w:gutter="0" w:footer="0" w:header="0"/>
        </w:sectPr>
      </w:pP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Amount thereof); and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require that the Borrowers Cash Collateralize the L/C Obligations (in an amount equal to the then Outstanding</w:t>
      </w:r>
    </w:p>
    <w:p>
      <w:pPr>
        <w:spacing w:after="0" w:line="445" w:lineRule="exact"/>
        <w:rPr>
          <w:sz w:val="20"/>
          <w:szCs w:val="20"/>
          <w:color w:val="auto"/>
        </w:rPr>
      </w:pPr>
    </w:p>
    <w:p>
      <w:pPr>
        <w:sectPr>
          <w:pgSz w:w="11900" w:h="16838" w:orient="portrait"/>
          <w:cols w:equalWidth="0" w:num="2">
            <w:col w:w="1720" w:space="660"/>
            <w:col w:w="8860"/>
          </w:cols>
          <w:pgMar w:left="320" w:top="544" w:right="339" w:bottom="1440" w:gutter="0" w:footer="0" w:header="0"/>
          <w:type w:val="continuous"/>
        </w:sectPr>
      </w:pPr>
    </w:p>
    <w:p>
      <w:pPr>
        <w:spacing w:after="0" w:line="23"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exercise on behalf of itself, the Lenders and the L/C Issuer all rights and remedies available to it, the Lenders</w:t>
      </w:r>
    </w:p>
    <w:p>
      <w:pPr>
        <w:sectPr>
          <w:pgSz w:w="11900" w:h="16838" w:orient="portrait"/>
          <w:cols w:equalWidth="0" w:num="1">
            <w:col w:w="11240"/>
          </w:cols>
          <w:pgMar w:left="320" w:top="544"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and the L/C Issuer under the Loan Documents;</w:t>
      </w:r>
    </w:p>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5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b w:val="1"/>
          <w:bCs w:val="1"/>
          <w:color w:val="auto"/>
        </w:rPr>
        <w:t>8.03 Application of Funds</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exercise of remedies provided for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8.02</w:t>
      </w:r>
      <w:r>
        <w:rPr>
          <w:rFonts w:ascii="Arial" w:cs="Arial" w:eastAsia="Arial" w:hAnsi="Arial"/>
          <w:sz w:val="20"/>
          <w:szCs w:val="20"/>
          <w:b w:val="1"/>
          <w:bCs w:val="1"/>
          <w:color w:val="auto"/>
        </w:rPr>
        <w:t xml:space="preserve"> </w:t>
      </w:r>
      <w:r>
        <w:rPr>
          <w:rFonts w:ascii="Arial" w:cs="Arial" w:eastAsia="Arial" w:hAnsi="Arial"/>
          <w:sz w:val="20"/>
          <w:szCs w:val="20"/>
          <w:color w:val="auto"/>
        </w:rPr>
        <w:t>(or after the Loans have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any amounts received on account of the Obligations shall, subject to the provisions of </w:t>
      </w:r>
      <w:r>
        <w:rPr>
          <w:rFonts w:ascii="Arial" w:cs="Arial" w:eastAsia="Arial" w:hAnsi="Arial"/>
          <w:sz w:val="20"/>
          <w:szCs w:val="20"/>
          <w:u w:val="single" w:color="auto"/>
          <w:color w:val="auto"/>
        </w:rPr>
        <w:t>Sections 2.15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2.16</w:t>
      </w:r>
      <w:r>
        <w:rPr>
          <w:rFonts w:ascii="Arial" w:cs="Arial" w:eastAsia="Arial" w:hAnsi="Arial"/>
          <w:sz w:val="20"/>
          <w:szCs w:val="20"/>
          <w:color w:val="auto"/>
        </w:rPr>
        <w:t>, be applied by the Administrative Agent in the following order:</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ratably among them in proportion to the respective amounts described in this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86" w:lineRule="exact"/>
        <w:rPr>
          <w:sz w:val="20"/>
          <w:szCs w:val="20"/>
          <w:color w:val="auto"/>
        </w:rPr>
      </w:pPr>
    </w:p>
    <w:p>
      <w:pPr>
        <w:jc w:val="both"/>
        <w:ind w:right="20" w:firstLine="864"/>
        <w:spacing w:after="0" w:line="287"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held by them;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11" w:name="page112"/>
    <w:bookmarkEnd w:id="111"/>
    <w:p>
      <w:pPr>
        <w:jc w:val="both"/>
        <w:ind w:firstLine="864"/>
        <w:spacing w:after="0" w:line="250"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xml:space="preserve">, to the Administrative Agent for the account of the L/C Issuer, to Cash Collateralize that portion of L/C Obligations comprised of the aggregate undrawn amount of Letters of Credit to the extent not otherwise Cash Collateralized by any Borrower pursuant to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2.15</w:t>
      </w:r>
      <w:r>
        <w:rPr>
          <w:rFonts w:ascii="Arial" w:cs="Arial" w:eastAsia="Arial" w:hAnsi="Arial"/>
          <w:sz w:val="20"/>
          <w:szCs w:val="20"/>
          <w:color w:val="auto"/>
        </w:rPr>
        <w:t>; and</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Borrowers or as otherwise required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by Law.</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amounts used to Cash Collateralize the aggregate undrawn amount of Letters of Credit pursuant to clause </w:t>
      </w:r>
      <w:r>
        <w:rPr>
          <w:rFonts w:ascii="Arial" w:cs="Arial" w:eastAsia="Arial" w:hAnsi="Arial"/>
          <w:sz w:val="20"/>
          <w:szCs w:val="20"/>
          <w:u w:val="single" w:color="auto"/>
          <w:color w:val="auto"/>
        </w:rPr>
        <w:t>Fifth</w:t>
      </w:r>
      <w:r>
        <w:rPr>
          <w:rFonts w:ascii="Arial" w:cs="Arial" w:eastAsia="Arial" w:hAnsi="Arial"/>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ADMINISTRATIVE AGENT</w:t>
      </w:r>
    </w:p>
    <w:p>
      <w:pPr>
        <w:spacing w:after="0" w:line="189"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b w:val="1"/>
          <w:bCs w:val="1"/>
          <w:color w:val="auto"/>
        </w:rPr>
        <w:t>9.01 Appointment and Authority</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the Lenders and the L/C Issuer hereby irrevocably appoints Bank of America</w:t>
      </w:r>
      <w:r>
        <w:rPr>
          <w:rFonts w:ascii="Arial" w:cs="Arial" w:eastAsia="Arial" w:hAnsi="Arial"/>
          <w:sz w:val="19"/>
          <w:szCs w:val="19"/>
          <w:b w:val="1"/>
          <w:bCs w:val="1"/>
          <w:color w:val="auto"/>
        </w:rPr>
        <w:t xml:space="preserve"> </w:t>
      </w:r>
      <w:r>
        <w:rPr>
          <w:rFonts w:ascii="Arial" w:cs="Arial" w:eastAsia="Arial" w:hAnsi="Arial"/>
          <w:sz w:val="19"/>
          <w:szCs w:val="19"/>
          <w:color w:val="auto"/>
        </w:rPr>
        <w:t>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9"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b w:val="1"/>
          <w:bCs w:val="1"/>
          <w:color w:val="auto"/>
        </w:rPr>
        <w:t>9.02 Rights as a Lender</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Person serving as the Administrative Agent hereunder shall have the same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8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9.03 Exculpatory Provisions</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the Administrative Agent nor any Arranger, as applicable, shall have any duties or</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except those expressly set forth herein and in the other Loan Documents, and its duties hereunder shall be administrative in nature. Without limiting the generality of the foregoing, neither the Administrative Agent nor any Arranger, as applicable:</w:t>
      </w:r>
    </w:p>
    <w:p>
      <w:pPr>
        <w:spacing w:after="0" w:line="164" w:lineRule="exact"/>
        <w:rPr>
          <w:sz w:val="20"/>
          <w:szCs w:val="20"/>
          <w:color w:val="auto"/>
        </w:rPr>
      </w:pPr>
    </w:p>
    <w:p>
      <w:pPr>
        <w:ind w:left="1740" w:hanging="868"/>
        <w:spacing w:after="0"/>
        <w:tabs>
          <w:tab w:leader="none" w:pos="17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regardless of whether a Default has occurred and is continuing;</w:t>
      </w:r>
    </w:p>
    <w:p>
      <w:pPr>
        <w:spacing w:after="0" w:line="238" w:lineRule="exact"/>
        <w:rPr>
          <w:rFonts w:ascii="Arial" w:cs="Arial" w:eastAsia="Arial" w:hAnsi="Arial"/>
          <w:sz w:val="18"/>
          <w:szCs w:val="18"/>
          <w:color w:val="auto"/>
        </w:rPr>
      </w:pPr>
    </w:p>
    <w:p>
      <w:pPr>
        <w:jc w:val="both"/>
        <w:ind w:firstLine="896"/>
        <w:spacing w:after="0" w:line="250" w:lineRule="auto"/>
        <w:tabs>
          <w:tab w:leader="none" w:pos="1767" w:val="left"/>
        </w:tabs>
        <w:numPr>
          <w:ilvl w:val="1"/>
          <w:numId w:val="149"/>
        </w:numPr>
        <w:rPr>
          <w:rFonts w:ascii="Arial" w:cs="Arial" w:eastAsia="Arial" w:hAnsi="Arial"/>
          <w:sz w:val="20"/>
          <w:szCs w:val="20"/>
          <w:color w:val="auto"/>
        </w:rPr>
      </w:pPr>
      <w:r>
        <w:rPr>
          <w:rFonts w:ascii="Arial" w:cs="Arial" w:eastAsia="Arial" w:hAnsi="Arial"/>
          <w:sz w:val="20"/>
          <w:szCs w:val="20"/>
          <w:color w:val="auto"/>
        </w:rPr>
        <w:t>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2" w:name="page113"/>
    <w:bookmarkEnd w:id="112"/>
    <w:p>
      <w:pPr>
        <w:jc w:val="both"/>
        <w:spacing w:after="0" w:line="244" w:lineRule="auto"/>
        <w:rPr>
          <w:sz w:val="20"/>
          <w:szCs w:val="20"/>
          <w:color w:val="auto"/>
        </w:rPr>
      </w:pPr>
      <w:r>
        <w:rPr>
          <w:rFonts w:ascii="Arial" w:cs="Arial" w:eastAsia="Arial" w:hAnsi="Arial"/>
          <w:sz w:val="20"/>
          <w:szCs w:val="20"/>
          <w:color w:val="auto"/>
        </w:rPr>
        <w:t xml:space="preserve">other number or percentage of the Lenders as shall be expressly provided for herein or in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94" w:lineRule="exact"/>
        <w:rPr>
          <w:sz w:val="20"/>
          <w:szCs w:val="20"/>
          <w:color w:val="auto"/>
        </w:rPr>
      </w:pPr>
    </w:p>
    <w:p>
      <w:pPr>
        <w:jc w:val="both"/>
        <w:ind w:firstLine="896"/>
        <w:spacing w:after="0" w:line="244" w:lineRule="auto"/>
        <w:tabs>
          <w:tab w:leader="none" w:pos="175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shall have any duty or responsibility to disclose, nor shall be liable for the failure to disclose, to any Lender, any credit or other information concerning the business, prospects, operations, property, financial or other condition or creditworthiness of any of the Borrowers or any of their respective Affiliates, that is communicated to, or obtained by or in the possession of, the Administrative Agent, any Arranger or any of their Related Parties in any capacity, except for notices, reports and other documents expressly required to be furnished to the Lenders by the Administrative Agent herein;</w:t>
      </w:r>
    </w:p>
    <w:p>
      <w:pPr>
        <w:spacing w:after="0" w:line="194" w:lineRule="exact"/>
        <w:rPr>
          <w:rFonts w:ascii="Arial" w:cs="Arial" w:eastAsia="Arial" w:hAnsi="Arial"/>
          <w:sz w:val="20"/>
          <w:szCs w:val="20"/>
          <w:color w:val="auto"/>
        </w:rPr>
      </w:pPr>
    </w:p>
    <w:p>
      <w:pPr>
        <w:jc w:val="both"/>
        <w:ind w:firstLine="896"/>
        <w:spacing w:after="0" w:line="243" w:lineRule="auto"/>
        <w:tabs>
          <w:tab w:leader="none" w:pos="1767"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20"/>
          <w:szCs w:val="20"/>
          <w:u w:val="single" w:color="auto"/>
          <w:color w:val="auto"/>
        </w:rPr>
        <w:t>Sections 11.01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8.02</w:t>
      </w:r>
      <w:r>
        <w:rPr>
          <w:rFonts w:ascii="Arial" w:cs="Arial" w:eastAsia="Arial" w:hAnsi="Arial"/>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Toro, a Lender or the L/C Issuer; or</w:t>
      </w:r>
    </w:p>
    <w:p>
      <w:pPr>
        <w:spacing w:after="0" w:line="195" w:lineRule="exact"/>
        <w:rPr>
          <w:rFonts w:ascii="Arial" w:cs="Arial" w:eastAsia="Arial" w:hAnsi="Arial"/>
          <w:sz w:val="20"/>
          <w:szCs w:val="20"/>
          <w:color w:val="auto"/>
        </w:rPr>
      </w:pPr>
    </w:p>
    <w:p>
      <w:pPr>
        <w:jc w:val="both"/>
        <w:ind w:firstLine="896"/>
        <w:spacing w:after="0" w:line="243" w:lineRule="auto"/>
        <w:tabs>
          <w:tab w:leader="none" w:pos="175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18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b w:val="1"/>
          <w:bCs w:val="1"/>
          <w:color w:val="auto"/>
        </w:rPr>
        <w:t>9.04 Reliance by Administrative Agent</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shall be entitled to rely upon, and shall not incur any</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Toro), independent accountants and other experts selected by it, and shall not be liable for any action taken or not taken by it in accordance with the advice of any such counsel, accountants or experts.</w:t>
      </w:r>
    </w:p>
    <w:p>
      <w:pPr>
        <w:spacing w:after="0" w:line="16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9.05 Delegation of Duties. </w:t>
      </w:r>
      <w:r>
        <w:rPr>
          <w:rFonts w:ascii="Arial" w:cs="Arial" w:eastAsia="Arial" w:hAnsi="Arial"/>
          <w:sz w:val="20"/>
          <w:szCs w:val="20"/>
          <w:color w:val="auto"/>
        </w:rPr>
        <w:t>The Administrative Agent may perform any and all of its duties and exercise its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3" w:name="page114"/>
    <w:bookmarkEnd w:id="113"/>
    <w:p>
      <w:pPr>
        <w:jc w:val="both"/>
        <w:spacing w:after="0" w:line="260" w:lineRule="auto"/>
        <w:rPr>
          <w:sz w:val="20"/>
          <w:szCs w:val="20"/>
          <w:color w:val="auto"/>
        </w:rPr>
      </w:pPr>
      <w:r>
        <w:rPr>
          <w:rFonts w:ascii="Arial" w:cs="Arial" w:eastAsia="Arial" w:hAnsi="Arial"/>
          <w:sz w:val="19"/>
          <w:szCs w:val="19"/>
          <w:color w:val="auto"/>
        </w:rPr>
        <w:t>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9.06 Resignation or Removal of Administrative Agent</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The Administrative Agent may at any time give notice of its</w:t>
      </w:r>
      <w:r>
        <w:rPr>
          <w:rFonts w:ascii="Arial" w:cs="Arial" w:eastAsia="Arial" w:hAnsi="Arial"/>
          <w:sz w:val="20"/>
          <w:szCs w:val="20"/>
          <w:b w:val="1"/>
          <w:bCs w:val="1"/>
          <w:color w:val="auto"/>
        </w:rPr>
        <w:t xml:space="preserve"> </w:t>
      </w:r>
      <w:r>
        <w:rPr>
          <w:rFonts w:ascii="Arial" w:cs="Arial" w:eastAsia="Arial" w:hAnsi="Arial"/>
          <w:sz w:val="20"/>
          <w:szCs w:val="20"/>
          <w:color w:val="auto"/>
        </w:rPr>
        <w:t>resignation to the Lenders, the L/C Issuer and Toro. Upon receipt of any such notice of resignation, the Required Lenders shall have the right, in consultation with Toro,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198" w:lineRule="exact"/>
        <w:rPr>
          <w:sz w:val="20"/>
          <w:szCs w:val="20"/>
          <w:color w:val="auto"/>
        </w:rPr>
      </w:pPr>
    </w:p>
    <w:p>
      <w:pPr>
        <w:jc w:val="both"/>
        <w:ind w:firstLine="872"/>
        <w:spacing w:after="0" w:line="276" w:lineRule="auto"/>
        <w:tabs>
          <w:tab w:leader="none" w:pos="174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Toro and such Person remove such Person as Administrative Agent and, with the consent of Toro unless an Event of Default has occurred and is continuing (such consent not to be unreasonably withheld)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64" w:lineRule="exact"/>
        <w:rPr>
          <w:rFonts w:ascii="Arial" w:cs="Arial" w:eastAsia="Arial" w:hAnsi="Arial"/>
          <w:sz w:val="18"/>
          <w:szCs w:val="18"/>
          <w:color w:val="auto"/>
        </w:rPr>
      </w:pPr>
    </w:p>
    <w:p>
      <w:pPr>
        <w:jc w:val="both"/>
        <w:ind w:firstLine="872"/>
        <w:spacing w:after="0" w:line="269" w:lineRule="auto"/>
        <w:tabs>
          <w:tab w:leader="none" w:pos="173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Borrowers to a successor Administrative Agent shall be the same as those payable to its predecessor unless otherwise agreed between Toro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shall continue in effect for the benefit of such retiring or removed Administrative Agent, its sub agents and their respective Related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4" w:name="page115"/>
    <w:bookmarkEnd w:id="114"/>
    <w:p>
      <w:pPr>
        <w:ind w:right="20"/>
        <w:spacing w:after="0" w:line="260" w:lineRule="auto"/>
        <w:rPr>
          <w:sz w:val="20"/>
          <w:szCs w:val="20"/>
          <w:color w:val="auto"/>
        </w:rPr>
      </w:pPr>
      <w:r>
        <w:rPr>
          <w:rFonts w:ascii="Arial" w:cs="Arial" w:eastAsia="Arial" w:hAnsi="Arial"/>
          <w:sz w:val="20"/>
          <w:szCs w:val="20"/>
          <w:color w:val="auto"/>
        </w:rPr>
        <w:t>Parties in respect of any actions taken or omitted to be taken by any of them while the retiring or removed Administrative Agent was acting as Administrative Agent.</w:t>
      </w:r>
    </w:p>
    <w:p>
      <w:pPr>
        <w:spacing w:after="0" w:line="177" w:lineRule="exact"/>
        <w:rPr>
          <w:sz w:val="20"/>
          <w:szCs w:val="20"/>
          <w:color w:val="auto"/>
        </w:rPr>
      </w:pPr>
    </w:p>
    <w:p>
      <w:pPr>
        <w:jc w:val="both"/>
        <w:ind w:firstLine="872"/>
        <w:spacing w:after="0" w:line="254" w:lineRule="auto"/>
        <w:tabs>
          <w:tab w:leader="none" w:pos="1742"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by Toro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8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b w:val="1"/>
          <w:bCs w:val="1"/>
          <w:color w:val="auto"/>
        </w:rPr>
        <w:t>9.07 Non-Reliance on the Administrative Agent, the Arrangers and the Other Lenders</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Each Lender and the L/C</w:t>
      </w:r>
      <w:r>
        <w:rPr>
          <w:rFonts w:ascii="Arial" w:cs="Arial" w:eastAsia="Arial" w:hAnsi="Arial"/>
          <w:sz w:val="18"/>
          <w:szCs w:val="18"/>
          <w:b w:val="1"/>
          <w:bCs w:val="1"/>
          <w:color w:val="auto"/>
        </w:rPr>
        <w:t xml:space="preserve"> </w:t>
      </w:r>
      <w:r>
        <w:rPr>
          <w:rFonts w:ascii="Arial" w:cs="Arial" w:eastAsia="Arial" w:hAnsi="Arial"/>
          <w:sz w:val="18"/>
          <w:szCs w:val="18"/>
          <w:color w:val="auto"/>
        </w:rPr>
        <w:t>Issuer expressly acknowledges that none of the Administrative Agent nor any Arranger has made any representation or warranty to it, and that no act by the Administrative Agent nor any Arranger hereafter taken, including any consent to, and acceptance of any assignment or review of the affairs of the Borrowers or any Affiliate thereof, shall be deemed to constitute any representation or warranty by the Administrative Agent or any Arranger to any Lender as to any matter, including whether the Administrative Agent or any Arranger has disclosed material information in their (or their Related Parties’) possession. Each Lender represents to the Administrative Agent and the Arrangers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Borrowers and their Subsidiaries, and all applicable bank or other regulatory Laws relating to the transactions contemplated hereby, and made its own decision to enter into this Agreement and to extend credit to each of the Borrowers hereunder. Each Lender and the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each of the Borrowers.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5" w:name="page116"/>
    <w:bookmarkEnd w:id="115"/>
    <w:p>
      <w:pPr>
        <w:jc w:val="both"/>
        <w:ind w:right="20"/>
        <w:spacing w:after="0" w:line="267" w:lineRule="auto"/>
        <w:rPr>
          <w:sz w:val="20"/>
          <w:szCs w:val="20"/>
          <w:color w:val="auto"/>
        </w:rPr>
      </w:pPr>
      <w:r>
        <w:rPr>
          <w:rFonts w:ascii="Arial" w:cs="Arial" w:eastAsia="Arial" w:hAnsi="Arial"/>
          <w:sz w:val="20"/>
          <w:szCs w:val="20"/>
          <w:color w:val="auto"/>
        </w:rPr>
        <w:t>decision to make, acquire and/or hold such commercial loans or to provide such other facilities, is experienced in making, acquiring or holding such commercial loans or providing such other facilities</w:t>
      </w:r>
      <w:r>
        <w:rPr>
          <w:rFonts w:ascii="Arial" w:cs="Arial" w:eastAsia="Arial" w:hAnsi="Arial"/>
          <w:sz w:val="21"/>
          <w:szCs w:val="21"/>
          <w:color w:val="auto"/>
        </w:rPr>
        <w:t>.</w:t>
      </w:r>
    </w:p>
    <w:p>
      <w:pPr>
        <w:spacing w:after="0" w:line="15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b w:val="1"/>
          <w:bCs w:val="1"/>
          <w:color w:val="auto"/>
        </w:rPr>
        <w:t>9.08 No Other Duties, Etc</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Anything herein to the contrary notwithstanding, none of the joint bookrunners, the arrangers,</w:t>
      </w:r>
      <w:r>
        <w:rPr>
          <w:rFonts w:ascii="Arial" w:cs="Arial" w:eastAsia="Arial" w:hAnsi="Arial"/>
          <w:sz w:val="20"/>
          <w:szCs w:val="20"/>
          <w:b w:val="1"/>
          <w:bCs w:val="1"/>
          <w:color w:val="auto"/>
        </w:rPr>
        <w:t xml:space="preserve"> </w:t>
      </w:r>
      <w:r>
        <w:rPr>
          <w:rFonts w:ascii="Arial" w:cs="Arial" w:eastAsia="Arial" w:hAnsi="Arial"/>
          <w:sz w:val="20"/>
          <w:szCs w:val="20"/>
          <w:color w:val="auto"/>
        </w:rPr>
        <w:t>the co-syndication agents or the co-documentation agents listed on the cover page hereof shall have any powers, duties or responsibilities under this Agreement or any of the other Loan Documents, except in its capacity, as applicable, as the Administrative Agent, a Lender or the L/C Issuer hereunder.</w:t>
      </w:r>
    </w:p>
    <w:p>
      <w:pPr>
        <w:spacing w:after="0" w:line="17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9.09 Administrative Agent May File Proofs of Claim</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case of the pendency of any receivership, insolvency,</w:t>
      </w:r>
      <w:r>
        <w:rPr>
          <w:rFonts w:ascii="Arial" w:cs="Arial" w:eastAsia="Arial" w:hAnsi="Arial"/>
          <w:sz w:val="20"/>
          <w:szCs w:val="20"/>
          <w:b w:val="1"/>
          <w:bCs w:val="1"/>
          <w:color w:val="auto"/>
        </w:rPr>
        <w:t xml:space="preserve"> </w:t>
      </w:r>
      <w:r>
        <w:rPr>
          <w:rFonts w:ascii="Arial" w:cs="Arial" w:eastAsia="Arial" w:hAnsi="Arial"/>
          <w:sz w:val="20"/>
          <w:szCs w:val="20"/>
          <w:color w:val="auto"/>
        </w:rPr>
        <w:t>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8" w:lineRule="exact"/>
        <w:rPr>
          <w:sz w:val="20"/>
          <w:szCs w:val="20"/>
          <w:color w:val="auto"/>
        </w:rPr>
      </w:pPr>
    </w:p>
    <w:p>
      <w:pPr>
        <w:jc w:val="both"/>
        <w:ind w:firstLine="872"/>
        <w:spacing w:after="0" w:line="243" w:lineRule="auto"/>
        <w:tabs>
          <w:tab w:leader="none" w:pos="1731"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20"/>
          <w:szCs w:val="20"/>
          <w:u w:val="single" w:color="auto"/>
          <w:color w:val="auto"/>
        </w:rPr>
        <w:t>Sections 2.03(h)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 allowed in such judicial proceeding; and</w:t>
      </w:r>
    </w:p>
    <w:p>
      <w:pPr>
        <w:spacing w:after="0" w:line="195" w:lineRule="exact"/>
        <w:rPr>
          <w:rFonts w:ascii="Arial" w:cs="Arial" w:eastAsia="Arial" w:hAnsi="Arial"/>
          <w:sz w:val="20"/>
          <w:szCs w:val="20"/>
          <w:color w:val="auto"/>
        </w:rPr>
      </w:pPr>
    </w:p>
    <w:p>
      <w:pPr>
        <w:ind w:left="1760" w:hanging="888"/>
        <w:spacing w:after="0"/>
        <w:tabs>
          <w:tab w:leader="none" w:pos="17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pacing w:after="0" w:line="16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or to authorize the Administrative Agent to vote in respect of the claim of any Lender or the L/C Issuer in any such proceeding.</w:t>
      </w:r>
    </w:p>
    <w:p>
      <w:pPr>
        <w:spacing w:after="0" w:line="18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 xml:space="preserve">9.10 Recovery of Erroneous Payments. </w:t>
      </w:r>
      <w:r>
        <w:rPr>
          <w:rFonts w:ascii="Arial" w:cs="Arial" w:eastAsia="Arial" w:hAnsi="Arial"/>
          <w:sz w:val="19"/>
          <w:szCs w:val="19"/>
          <w:color w:val="auto"/>
        </w:rPr>
        <w:t>Without limitation of any other provision in this Agreement, if at any</w:t>
      </w:r>
      <w:r>
        <w:rPr>
          <w:rFonts w:ascii="Arial" w:cs="Arial" w:eastAsia="Arial" w:hAnsi="Arial"/>
          <w:sz w:val="19"/>
          <w:szCs w:val="19"/>
          <w:b w:val="1"/>
          <w:bCs w:val="1"/>
          <w:color w:val="auto"/>
        </w:rPr>
        <w:t xml:space="preserve"> </w:t>
      </w:r>
      <w:r>
        <w:rPr>
          <w:rFonts w:ascii="Arial" w:cs="Arial" w:eastAsia="Arial" w:hAnsi="Arial"/>
          <w:sz w:val="19"/>
          <w:szCs w:val="19"/>
          <w:color w:val="auto"/>
        </w:rPr>
        <w:t>time the Administrative Agent makes a payment hereunder in error to any Credit Party, whether or not in respect of an Obligation due and owing by the Borrowers at such time, where such payment is a Rescindable Amount, then in any such event, each Credit Party receiving a Rescindable Amount severally agrees to repay to the Administrative Agent forthwith on demand the Rescindable Amount received by such Credit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6" w:name="page117"/>
    <w:bookmarkEnd w:id="116"/>
    <w:p>
      <w:pPr>
        <w:spacing w:after="0" w:line="316" w:lineRule="auto"/>
        <w:rPr>
          <w:sz w:val="20"/>
          <w:szCs w:val="20"/>
          <w:color w:val="auto"/>
        </w:rPr>
      </w:pPr>
      <w:r>
        <w:rPr>
          <w:rFonts w:ascii="Arial" w:cs="Arial" w:eastAsia="Arial" w:hAnsi="Arial"/>
          <w:sz w:val="18"/>
          <w:szCs w:val="18"/>
          <w:color w:val="auto"/>
        </w:rPr>
        <w:t>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24"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b w:val="1"/>
          <w:bCs w:val="1"/>
          <w:color w:val="auto"/>
        </w:rPr>
        <w:t>9.11</w:t>
      </w:r>
      <w:r>
        <w:rPr>
          <w:sz w:val="20"/>
          <w:szCs w:val="20"/>
          <w:color w:val="auto"/>
        </w:rPr>
        <w:tab/>
      </w:r>
      <w:r>
        <w:rPr>
          <w:rFonts w:ascii="Arial" w:cs="Arial" w:eastAsia="Arial" w:hAnsi="Arial"/>
          <w:sz w:val="16"/>
          <w:szCs w:val="16"/>
          <w:b w:val="1"/>
          <w:bCs w:val="1"/>
          <w:color w:val="auto"/>
        </w:rPr>
        <w:t>No Lender is an Employee Benefit Plan.</w:t>
      </w:r>
    </w:p>
    <w:p>
      <w:pPr>
        <w:spacing w:after="0" w:line="222" w:lineRule="exact"/>
        <w:rPr>
          <w:sz w:val="20"/>
          <w:szCs w:val="20"/>
          <w:color w:val="auto"/>
        </w:rPr>
      </w:pPr>
    </w:p>
    <w:p>
      <w:pPr>
        <w:jc w:val="both"/>
        <w:ind w:firstLine="872"/>
        <w:spacing w:after="0" w:line="246" w:lineRule="auto"/>
        <w:tabs>
          <w:tab w:leader="none" w:pos="1731" w:val="left"/>
        </w:tabs>
        <w:numPr>
          <w:ilvl w:val="1"/>
          <w:numId w:val="154"/>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Toro or any other Loan Party, that at least one of the following is and will be true:</w:t>
      </w:r>
    </w:p>
    <w:p>
      <w:pPr>
        <w:spacing w:after="0" w:line="191" w:lineRule="exact"/>
        <w:rPr>
          <w:rFonts w:ascii="Arial" w:cs="Arial" w:eastAsia="Arial" w:hAnsi="Arial"/>
          <w:sz w:val="20"/>
          <w:szCs w:val="20"/>
          <w:color w:val="auto"/>
        </w:rPr>
      </w:pPr>
    </w:p>
    <w:p>
      <w:pPr>
        <w:jc w:val="both"/>
        <w:ind w:left="900" w:firstLine="791"/>
        <w:spacing w:after="0" w:line="250" w:lineRule="auto"/>
        <w:tabs>
          <w:tab w:leader="none" w:pos="2530" w:val="left"/>
        </w:tabs>
        <w:numPr>
          <w:ilvl w:val="2"/>
          <w:numId w:val="154"/>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or the Commitments or this Agreement;</w:t>
      </w:r>
    </w:p>
    <w:p>
      <w:pPr>
        <w:spacing w:after="0" w:line="185" w:lineRule="exact"/>
        <w:rPr>
          <w:rFonts w:ascii="Arial" w:cs="Arial" w:eastAsia="Arial" w:hAnsi="Arial"/>
          <w:sz w:val="20"/>
          <w:szCs w:val="20"/>
          <w:color w:val="auto"/>
        </w:rPr>
      </w:pPr>
    </w:p>
    <w:p>
      <w:pPr>
        <w:jc w:val="both"/>
        <w:ind w:left="900" w:firstLine="791"/>
        <w:spacing w:after="0" w:line="257" w:lineRule="auto"/>
        <w:tabs>
          <w:tab w:leader="none" w:pos="2585" w:val="left"/>
        </w:tabs>
        <w:numPr>
          <w:ilvl w:val="2"/>
          <w:numId w:val="154"/>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4" w:lineRule="exact"/>
        <w:rPr>
          <w:rFonts w:ascii="Arial" w:cs="Arial" w:eastAsia="Arial" w:hAnsi="Arial"/>
          <w:sz w:val="19"/>
          <w:szCs w:val="19"/>
          <w:color w:val="auto"/>
        </w:rPr>
      </w:pPr>
    </w:p>
    <w:p>
      <w:pPr>
        <w:jc w:val="both"/>
        <w:ind w:left="900" w:firstLine="791"/>
        <w:spacing w:after="0" w:line="242" w:lineRule="auto"/>
        <w:tabs>
          <w:tab w:leader="none" w:pos="2640" w:val="left"/>
        </w:tabs>
        <w:numPr>
          <w:ilvl w:val="2"/>
          <w:numId w:val="154"/>
        </w:numPr>
        <w:rPr>
          <w:rFonts w:ascii="Arial" w:cs="Arial" w:eastAsia="Arial" w:hAnsi="Arial"/>
          <w:sz w:val="20"/>
          <w:szCs w:val="20"/>
          <w:color w:val="auto"/>
        </w:rPr>
      </w:pPr>
      <w:r>
        <w:rPr>
          <w:rFonts w:ascii="Arial" w:cs="Arial" w:eastAsia="Arial" w:hAnsi="Arial"/>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6" w:lineRule="exact"/>
        <w:rPr>
          <w:rFonts w:ascii="Arial" w:cs="Arial" w:eastAsia="Arial" w:hAnsi="Arial"/>
          <w:sz w:val="20"/>
          <w:szCs w:val="20"/>
          <w:color w:val="auto"/>
        </w:rPr>
      </w:pPr>
    </w:p>
    <w:p>
      <w:pPr>
        <w:ind w:left="900" w:firstLine="791"/>
        <w:spacing w:after="0" w:line="260" w:lineRule="auto"/>
        <w:tabs>
          <w:tab w:leader="none" w:pos="2629" w:val="left"/>
        </w:tabs>
        <w:numPr>
          <w:ilvl w:val="2"/>
          <w:numId w:val="154"/>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ind w:left="1760" w:hanging="888"/>
        <w:spacing w:after="0"/>
        <w:tabs>
          <w:tab w:leader="none" w:pos="17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In addition, unless either (1)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is true with respect to a Lender or</w:t>
      </w:r>
    </w:p>
    <w:p>
      <w:pPr>
        <w:spacing w:after="0" w:line="38" w:lineRule="exact"/>
        <w:rPr>
          <w:rFonts w:ascii="Arial" w:cs="Arial" w:eastAsia="Arial" w:hAnsi="Arial"/>
          <w:sz w:val="18"/>
          <w:szCs w:val="18"/>
          <w:color w:val="auto"/>
        </w:rPr>
      </w:pPr>
    </w:p>
    <w:p>
      <w:pPr>
        <w:jc w:val="both"/>
        <w:ind w:firstLine="8"/>
        <w:spacing w:after="0" w:line="271" w:lineRule="auto"/>
        <w:tabs>
          <w:tab w:leader="none" w:pos="29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a Lender has provided another representation, warranty and covenant in accordance with </w:t>
      </w:r>
      <w:r>
        <w:rPr>
          <w:rFonts w:ascii="Arial" w:cs="Arial" w:eastAsia="Arial" w:hAnsi="Arial"/>
          <w:sz w:val="18"/>
          <w:szCs w:val="18"/>
          <w:u w:val="single" w:color="auto"/>
          <w:color w:val="auto"/>
        </w:rPr>
        <w:t>sub-clause (iv)</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Toro or any other Loan Party, that none of the Administrative Agent or the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7" w:name="page118"/>
    <w:bookmarkEnd w:id="117"/>
    <w:p>
      <w:pPr>
        <w:jc w:val="both"/>
        <w:spacing w:after="0" w:line="260" w:lineRule="auto"/>
        <w:rPr>
          <w:sz w:val="20"/>
          <w:szCs w:val="20"/>
          <w:color w:val="auto"/>
        </w:rPr>
      </w:pPr>
      <w:r>
        <w:rPr>
          <w:rFonts w:ascii="Arial" w:cs="Arial" w:eastAsia="Arial" w:hAnsi="Arial"/>
          <w:sz w:val="20"/>
          <w:szCs w:val="20"/>
          <w:color w:val="auto"/>
        </w:rPr>
        <w:t>reservation or exercise of any rights by the Administrative Agent under this Agreement, any Loan Document or any documents related hereto or thereto).</w:t>
      </w:r>
    </w:p>
    <w:p>
      <w:pPr>
        <w:spacing w:after="0" w:line="269"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9600" w:type="dxa"/>
            <w:vAlign w:val="bottom"/>
          </w:tcPr>
          <w:p>
            <w:pPr>
              <w:jc w:val="center"/>
              <w:ind w:right="1538"/>
              <w:spacing w:after="0"/>
              <w:rPr>
                <w:sz w:val="20"/>
                <w:szCs w:val="20"/>
                <w:color w:val="auto"/>
              </w:rPr>
            </w:pPr>
            <w:r>
              <w:rPr>
                <w:rFonts w:ascii="Arial" w:cs="Arial" w:eastAsia="Arial" w:hAnsi="Arial"/>
                <w:sz w:val="22"/>
                <w:szCs w:val="22"/>
                <w:b w:val="1"/>
                <w:bCs w:val="1"/>
                <w:color w:val="auto"/>
              </w:rPr>
              <w:t>ARTICLE X.</w:t>
            </w:r>
          </w:p>
        </w:tc>
      </w:tr>
      <w:tr>
        <w:trPr>
          <w:trHeight w:val="256"/>
        </w:trPr>
        <w:tc>
          <w:tcPr>
            <w:tcW w:w="760" w:type="dxa"/>
            <w:vAlign w:val="bottom"/>
          </w:tcPr>
          <w:p>
            <w:pPr>
              <w:spacing w:after="0"/>
              <w:rPr>
                <w:sz w:val="22"/>
                <w:szCs w:val="22"/>
                <w:color w:val="auto"/>
              </w:rPr>
            </w:pPr>
          </w:p>
        </w:tc>
        <w:tc>
          <w:tcPr>
            <w:tcW w:w="9600" w:type="dxa"/>
            <w:vAlign w:val="bottom"/>
          </w:tcPr>
          <w:p>
            <w:pPr>
              <w:jc w:val="center"/>
              <w:ind w:right="1518"/>
              <w:spacing w:after="0"/>
              <w:rPr>
                <w:sz w:val="20"/>
                <w:szCs w:val="20"/>
                <w:color w:val="auto"/>
              </w:rPr>
            </w:pPr>
            <w:r>
              <w:rPr>
                <w:rFonts w:ascii="Arial" w:cs="Arial" w:eastAsia="Arial" w:hAnsi="Arial"/>
                <w:sz w:val="20"/>
                <w:szCs w:val="20"/>
                <w:b w:val="1"/>
                <w:bCs w:val="1"/>
                <w:color w:val="auto"/>
              </w:rPr>
              <w:t>GUARANTY</w:t>
            </w:r>
          </w:p>
        </w:tc>
      </w:tr>
      <w:tr>
        <w:trPr>
          <w:trHeight w:val="441"/>
        </w:trPr>
        <w:tc>
          <w:tcPr>
            <w:tcW w:w="760" w:type="dxa"/>
            <w:vAlign w:val="bottom"/>
          </w:tcPr>
          <w:p>
            <w:pPr>
              <w:jc w:val="right"/>
              <w:ind w:right="221"/>
              <w:spacing w:after="0"/>
              <w:rPr>
                <w:sz w:val="20"/>
                <w:szCs w:val="20"/>
                <w:color w:val="auto"/>
              </w:rPr>
            </w:pPr>
            <w:r>
              <w:rPr>
                <w:rFonts w:ascii="Arial" w:cs="Arial" w:eastAsia="Arial" w:hAnsi="Arial"/>
                <w:sz w:val="20"/>
                <w:szCs w:val="20"/>
                <w:b w:val="1"/>
                <w:bCs w:val="1"/>
                <w:color w:val="auto"/>
                <w:w w:val="83"/>
              </w:rPr>
              <w:t>10.01</w:t>
            </w:r>
          </w:p>
        </w:tc>
        <w:tc>
          <w:tcPr>
            <w:tcW w:w="9600" w:type="dxa"/>
            <w:vAlign w:val="bottom"/>
          </w:tcPr>
          <w:p>
            <w:pPr>
              <w:ind w:left="320"/>
              <w:spacing w:after="0"/>
              <w:rPr>
                <w:sz w:val="20"/>
                <w:szCs w:val="20"/>
                <w:color w:val="auto"/>
              </w:rPr>
            </w:pPr>
            <w:r>
              <w:rPr>
                <w:rFonts w:ascii="Arial" w:cs="Arial" w:eastAsia="Arial" w:hAnsi="Arial"/>
                <w:sz w:val="20"/>
                <w:szCs w:val="20"/>
                <w:b w:val="1"/>
                <w:bCs w:val="1"/>
                <w:color w:val="auto"/>
                <w:w w:val="92"/>
              </w:rPr>
              <w:t xml:space="preserve">The Guaranty. </w:t>
            </w:r>
            <w:r>
              <w:rPr>
                <w:rFonts w:ascii="Arial" w:cs="Arial" w:eastAsia="Arial" w:hAnsi="Arial"/>
                <w:sz w:val="20"/>
                <w:szCs w:val="20"/>
                <w:color w:val="auto"/>
                <w:w w:val="92"/>
              </w:rPr>
              <w:t>Toro hereby unconditionally guarantees the full and punctual payment (whether at stated maturity,</w:t>
            </w:r>
          </w:p>
        </w:tc>
      </w:tr>
    </w:tbl>
    <w:p>
      <w:pPr>
        <w:jc w:val="both"/>
        <w:spacing w:after="0"/>
        <w:rPr>
          <w:sz w:val="20"/>
          <w:szCs w:val="20"/>
          <w:color w:val="auto"/>
        </w:rPr>
      </w:pPr>
      <w:r>
        <w:rPr>
          <w:rFonts w:ascii="Arial" w:cs="Arial" w:eastAsia="Arial" w:hAnsi="Arial"/>
          <w:sz w:val="20"/>
          <w:szCs w:val="20"/>
          <w:color w:val="auto"/>
        </w:rPr>
        <w:t>upon acceleration or otherwise) of the principal of and interest on each Loan made by the Lenders or any Lender to any Subsidiary Borrower and each Letter of Credit issued by the L/C Issuer for any Subsidiary Borrower, in each case pursuant to this Agreement; and the full and punctual payment of all other amounts payable by any Subsidiary Borrower under this Agreement. Upon failure by any Subsidiary Borrower to pay punctually any such amount, Toro shall forthwith on demand pay the amount not so paid at the place and in the manner specified in this Agreement.</w:t>
      </w:r>
    </w:p>
    <w:p>
      <w:pPr>
        <w:spacing w:after="0" w:line="19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10.02 Guaranty Unconditional. </w:t>
      </w:r>
      <w:r>
        <w:rPr>
          <w:rFonts w:ascii="Arial" w:cs="Arial" w:eastAsia="Arial" w:hAnsi="Arial"/>
          <w:sz w:val="20"/>
          <w:szCs w:val="20"/>
          <w:color w:val="auto"/>
        </w:rPr>
        <w:t>The obligations of Toro hereunder are a guaranty of payment and not of collection,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unconditional and absolute and, without limiting the generality of the foregoing, shall not be released, discharged or otherwise affected by:</w:t>
      </w:r>
    </w:p>
    <w:p>
      <w:pPr>
        <w:spacing w:after="0" w:line="183" w:lineRule="exact"/>
        <w:rPr>
          <w:sz w:val="20"/>
          <w:szCs w:val="20"/>
          <w:color w:val="auto"/>
        </w:rPr>
      </w:pPr>
    </w:p>
    <w:p>
      <w:pPr>
        <w:ind w:firstLine="872"/>
        <w:spacing w:after="0" w:line="260" w:lineRule="auto"/>
        <w:tabs>
          <w:tab w:leader="none" w:pos="1731"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any extension, renewal, settlement, compromise, waiver or release in respect of any obligation of any Subsidiary Borrower under this Agreement or any Note, by operation of law or otherwise;</w:t>
      </w:r>
    </w:p>
    <w:p>
      <w:pPr>
        <w:spacing w:after="0" w:line="176" w:lineRule="exact"/>
        <w:rPr>
          <w:rFonts w:ascii="Arial" w:cs="Arial" w:eastAsia="Arial" w:hAnsi="Arial"/>
          <w:sz w:val="20"/>
          <w:szCs w:val="20"/>
          <w:color w:val="auto"/>
        </w:rPr>
      </w:pPr>
    </w:p>
    <w:p>
      <w:pPr>
        <w:ind w:left="1760" w:hanging="888"/>
        <w:spacing w:after="0"/>
        <w:tabs>
          <w:tab w:leader="none" w:pos="176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any modification or amendment of or supplement to this Agreement or any Note;</w:t>
      </w:r>
    </w:p>
    <w:p>
      <w:pPr>
        <w:spacing w:after="0" w:line="215" w:lineRule="exact"/>
        <w:rPr>
          <w:rFonts w:ascii="Arial" w:cs="Arial" w:eastAsia="Arial" w:hAnsi="Arial"/>
          <w:sz w:val="20"/>
          <w:szCs w:val="20"/>
          <w:color w:val="auto"/>
        </w:rPr>
      </w:pPr>
    </w:p>
    <w:p>
      <w:pPr>
        <w:ind w:firstLine="872"/>
        <w:spacing w:after="0" w:line="260" w:lineRule="auto"/>
        <w:tabs>
          <w:tab w:leader="none" w:pos="1731"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any release, non-perfection or invalidity of any direct or indirect security for any obligation of any Subsidiary Borrower under this Agreement or any Note;</w:t>
      </w:r>
    </w:p>
    <w:p>
      <w:pPr>
        <w:spacing w:after="0" w:line="176" w:lineRule="exact"/>
        <w:rPr>
          <w:rFonts w:ascii="Arial" w:cs="Arial" w:eastAsia="Arial" w:hAnsi="Arial"/>
          <w:sz w:val="20"/>
          <w:szCs w:val="20"/>
          <w:color w:val="auto"/>
        </w:rPr>
      </w:pPr>
    </w:p>
    <w:p>
      <w:pPr>
        <w:jc w:val="both"/>
        <w:ind w:firstLine="872"/>
        <w:spacing w:after="0" w:line="250" w:lineRule="auto"/>
        <w:tabs>
          <w:tab w:leader="none" w:pos="1742"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any change in the corporate existence, structure or ownership of any Subsidiary Borrower, or any insolvency, bankruptcy, reorganization or other similar proceeding affecting such Subsidiary Borrower or its assets or any resulting release or discharge of any obligation of such Subsidiary Borrower contained in this Agreement or any Note;</w:t>
      </w:r>
    </w:p>
    <w:p>
      <w:pPr>
        <w:spacing w:after="0" w:line="185" w:lineRule="exact"/>
        <w:rPr>
          <w:rFonts w:ascii="Arial" w:cs="Arial" w:eastAsia="Arial" w:hAnsi="Arial"/>
          <w:sz w:val="20"/>
          <w:szCs w:val="20"/>
          <w:color w:val="auto"/>
        </w:rPr>
      </w:pPr>
    </w:p>
    <w:p>
      <w:pPr>
        <w:jc w:val="both"/>
        <w:ind w:firstLine="872"/>
        <w:spacing w:after="0" w:line="269" w:lineRule="auto"/>
        <w:tabs>
          <w:tab w:leader="none" w:pos="1731"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the existence of any claim, set-off or other rights which Toro may have at any time against any Subsidiary Borrower, any Administrative Agent, any Lender or any other corporation or person, whether in connection herewith or any unrelated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prevent the assertion of any such claim by separate suit or compulsory counterclaim;</w:t>
      </w:r>
    </w:p>
    <w:p>
      <w:pPr>
        <w:spacing w:after="0" w:line="169" w:lineRule="exact"/>
        <w:rPr>
          <w:rFonts w:ascii="Arial" w:cs="Arial" w:eastAsia="Arial" w:hAnsi="Arial"/>
          <w:sz w:val="19"/>
          <w:szCs w:val="19"/>
          <w:color w:val="auto"/>
        </w:rPr>
      </w:pPr>
    </w:p>
    <w:p>
      <w:pPr>
        <w:jc w:val="both"/>
        <w:ind w:firstLine="872"/>
        <w:spacing w:after="0" w:line="250" w:lineRule="auto"/>
        <w:tabs>
          <w:tab w:leader="none" w:pos="1709"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any invalidity or unenforceability relating to or against any Subsidiary Borrower for any reason of this Agreement or any Note, or any provision of Applicable Law or regulation purporting to prohibit the payment by any Subsidiary Borrower of the principal of or interest on any Note or any other amount payable by it under this Agreement; or</w:t>
      </w:r>
    </w:p>
    <w:p>
      <w:pPr>
        <w:spacing w:after="0" w:line="185" w:lineRule="exact"/>
        <w:rPr>
          <w:rFonts w:ascii="Arial" w:cs="Arial" w:eastAsia="Arial" w:hAnsi="Arial"/>
          <w:sz w:val="20"/>
          <w:szCs w:val="20"/>
          <w:color w:val="auto"/>
        </w:rPr>
      </w:pPr>
    </w:p>
    <w:p>
      <w:pPr>
        <w:jc w:val="both"/>
        <w:ind w:firstLine="872"/>
        <w:spacing w:after="0" w:line="250" w:lineRule="auto"/>
        <w:tabs>
          <w:tab w:leader="none" w:pos="1742"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any other act or omission to act or delay of any kind by any Subsidiary Borrower, the Administrative Agent, any Lender or any other Person or any other circumstance whatsoever which might, but for the provisions of this paragraph, constitute a legal or equitable discharge of Toro’s obligations hereunder.</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The obligations of Toro under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are independent of the obligation of any Subsidiary Borrower pursuant to this Agreement or any Note issued by such Subsidiary Borrower and a separate action or actions may be brought and prosecuted against Toro to enforce the provisions of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irrespective of whether any action is brought against any Subsidiary Borrower or whether any Subsidiary Borrower is joined in any such action or actions.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8" w:name="page119"/>
    <w:bookmarkEnd w:id="118"/>
    <w:p>
      <w:pPr>
        <w:jc w:val="both"/>
        <w:ind w:firstLine="864"/>
        <w:spacing w:after="0" w:line="277" w:lineRule="auto"/>
        <w:rPr>
          <w:sz w:val="20"/>
          <w:szCs w:val="20"/>
          <w:color w:val="auto"/>
        </w:rPr>
      </w:pPr>
      <w:r>
        <w:rPr>
          <w:rFonts w:ascii="Arial" w:cs="Arial" w:eastAsia="Arial" w:hAnsi="Arial"/>
          <w:sz w:val="18"/>
          <w:szCs w:val="18"/>
          <w:b w:val="1"/>
          <w:bCs w:val="1"/>
          <w:color w:val="auto"/>
        </w:rPr>
        <w:t xml:space="preserve">10.03 Discharge Only Upon Payment In Full; Reinstatement In Certain Circumstances. </w:t>
      </w:r>
      <w:r>
        <w:rPr>
          <w:rFonts w:ascii="Arial" w:cs="Arial" w:eastAsia="Arial" w:hAnsi="Arial"/>
          <w:sz w:val="18"/>
          <w:szCs w:val="18"/>
          <w:color w:val="auto"/>
        </w:rPr>
        <w:t>Toro’s obligations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remain in full force and effect until all the Commitments shall have terminated and the principal of and interest on the Notes and all other amounts payable by any Subsidiary Borrower under this Agreement shall have been paid in full. If at any time any payment of the principal of or interest on any Note or any other amount payable by any Subsidiary Borrower under this Agreement is rescinded or must be otherwise restored or returned upon the insolvency, bankruptcy or reorganization of such Subsidiary Borrower or otherwise, Toro’s obligations hereunder with respect to such payment shall be reinstated as though such payment had been due but not made at such time.</w:t>
      </w:r>
    </w:p>
    <w:p>
      <w:pPr>
        <w:spacing w:after="0" w:line="16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10.04 Waiver by Toro. </w:t>
      </w:r>
      <w:r>
        <w:rPr>
          <w:rFonts w:ascii="Arial" w:cs="Arial" w:eastAsia="Arial" w:hAnsi="Arial"/>
          <w:sz w:val="20"/>
          <w:szCs w:val="20"/>
          <w:color w:val="auto"/>
        </w:rPr>
        <w:t>Toro irrevocably waives acceptance hereof, presentment, demand, protest and any notice not</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for herein, as well as any requirement that at any time any action be taken by any Person against any Subsidiary Borrower or any other Person.</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10.05 No Subrogation. </w:t>
      </w:r>
      <w:r>
        <w:rPr>
          <w:rFonts w:ascii="Arial" w:cs="Arial" w:eastAsia="Arial" w:hAnsi="Arial"/>
          <w:sz w:val="20"/>
          <w:szCs w:val="20"/>
          <w:color w:val="auto"/>
        </w:rPr>
        <w:t>Toro shall not exercise any right of subrogation, contribution, indemnity, reimbursement or</w:t>
      </w:r>
      <w:r>
        <w:rPr>
          <w:rFonts w:ascii="Arial" w:cs="Arial" w:eastAsia="Arial" w:hAnsi="Arial"/>
          <w:sz w:val="20"/>
          <w:szCs w:val="20"/>
          <w:b w:val="1"/>
          <w:bCs w:val="1"/>
          <w:color w:val="auto"/>
        </w:rPr>
        <w:t xml:space="preserve"> </w:t>
      </w:r>
      <w:r>
        <w:rPr>
          <w:rFonts w:ascii="Arial" w:cs="Arial" w:eastAsia="Arial" w:hAnsi="Arial"/>
          <w:sz w:val="20"/>
          <w:szCs w:val="20"/>
          <w:color w:val="auto"/>
        </w:rPr>
        <w:t>similar rights with respect to any payments it makes under this Guaranty until all of the Obligations and any amounts payable under this Guaranty have been indefeasibly paid and performed in full and the Commitments are terminated. If any amounts are paid to Toro in violation of the foregoing limitation, then such amounts shall be held in trust for the benefit of the Lenders and shall forthwith be paid to the Lenders to reduce the amount of the Obligations, whether matured or unmatured.</w:t>
      </w:r>
    </w:p>
    <w:p>
      <w:pPr>
        <w:spacing w:after="0" w:line="18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10.06 Stay of Acceleration. </w:t>
      </w:r>
      <w:r>
        <w:rPr>
          <w:rFonts w:ascii="Arial" w:cs="Arial" w:eastAsia="Arial" w:hAnsi="Arial"/>
          <w:sz w:val="20"/>
          <w:szCs w:val="20"/>
          <w:color w:val="auto"/>
        </w:rPr>
        <w:t>If acceleration of the time for payment of any amount payable by any Subsidiary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Agreement or the Notes is stayed upon the insolvency, bankruptcy or reorganization of such Subsidiary Borrower, all such amounts otherwise subject to acceleration under the terms of this Agreement shall nonetheless be payable by Toro hereunder forthwith on demand by the Administrative Agent made at the request of the Required Lenders.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89"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8"/>
          <w:szCs w:val="18"/>
          <w:b w:val="1"/>
          <w:bCs w:val="1"/>
          <w:color w:val="auto"/>
        </w:rPr>
        <w:t>11.01 Amendments, Etc</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2.14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3.03(c)</w:t>
      </w:r>
      <w:r>
        <w:rPr>
          <w:rFonts w:ascii="Arial" w:cs="Arial" w:eastAsia="Arial" w:hAnsi="Arial"/>
          <w:sz w:val="18"/>
          <w:szCs w:val="18"/>
          <w:b w:val="1"/>
          <w:bCs w:val="1"/>
          <w:color w:val="auto"/>
        </w:rPr>
        <w:t xml:space="preserve"> </w:t>
      </w:r>
      <w:r>
        <w:rPr>
          <w:rFonts w:ascii="Arial" w:cs="Arial" w:eastAsia="Arial" w:hAnsi="Arial"/>
          <w:sz w:val="18"/>
          <w:szCs w:val="18"/>
          <w:color w:val="auto"/>
        </w:rPr>
        <w:t>and unless otherwise expressly provided herein,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or waiver of any provision of this Agreement or any other Loan Document, and no consent to any departure by the Borrowers or any other Loan Party therefrom, shall be effective unless in writing signed by the Required Lenders and the Borrowers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w:t>
      </w:r>
    </w:p>
    <w:p>
      <w:pPr>
        <w:spacing w:after="0" w:line="16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(a) (i) waive any condition set forth in </w:t>
      </w:r>
      <w:r>
        <w:rPr>
          <w:rFonts w:ascii="Arial" w:cs="Arial" w:eastAsia="Arial" w:hAnsi="Arial"/>
          <w:sz w:val="20"/>
          <w:szCs w:val="20"/>
          <w:u w:val="single" w:color="auto"/>
          <w:color w:val="auto"/>
        </w:rPr>
        <w:t>Section 4.01(a)</w:t>
      </w:r>
      <w:r>
        <w:rPr>
          <w:rFonts w:ascii="Arial" w:cs="Arial" w:eastAsia="Arial" w:hAnsi="Arial"/>
          <w:sz w:val="20"/>
          <w:szCs w:val="20"/>
          <w:color w:val="auto"/>
        </w:rPr>
        <w:t xml:space="preserve"> or, in the case of the initial Credit Extension,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without the written consent of each Lender; or, (ii) without limiting the generality of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waive any condition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4.02</w:t>
      </w:r>
      <w:r>
        <w:rPr>
          <w:rFonts w:ascii="Arial" w:cs="Arial" w:eastAsia="Arial" w:hAnsi="Arial"/>
          <w:sz w:val="20"/>
          <w:szCs w:val="20"/>
          <w:color w:val="auto"/>
        </w:rPr>
        <w:t xml:space="preserve"> as to any Credit Extension under a particular Facility without the written consent of the Required Revolving Lenders or the Required Term Lenders, as the case may be;</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(b) (i) extend or increase the Commitment of any Lender (or reinstate any Commitment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without the written consent of such Lender, or (ii) extend the expiry date of any Letter of Credit to a date after the Letter of Credit Expiration Date, without the written consent of each Lender;</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(c) postpone any date fixed by this Agreement or any other Loan Document for any payment of principal, interest, fees or other amounts due to the Lenders (or any of them) hereunder (excluding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mandatory prepayments) or under any other Loan Document without the written consent of each Lender directly affected thereby;</w:t>
      </w:r>
    </w:p>
    <w:p>
      <w:pPr>
        <w:spacing w:after="0" w:line="22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 xml:space="preserve">(d) reduce the principal of, or the rate of interest specified herein on, any Loan or L/C Borrowing, or (subject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of the second proviso to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any fees or other amounts payable hereunder or under any other Loan Document without the written consent of each Lender directly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78"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(e) without the prior written consent of each Lender directly affected thereby, modify (i)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8.03</w:t>
      </w:r>
      <w:r>
        <w:rPr>
          <w:rFonts w:ascii="Arial" w:cs="Arial" w:eastAsia="Arial" w:hAnsi="Arial"/>
          <w:sz w:val="20"/>
          <w:szCs w:val="20"/>
          <w:color w:val="auto"/>
        </w:rPr>
        <w:t xml:space="preserve"> or (ii) the order of application of any reduction in the Commitments or any prepayment of Loans among the Facilities from the application thereof set forth in the applicable provisions of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2.06(b)</w:t>
      </w:r>
      <w:r>
        <w:rPr>
          <w:rFonts w:ascii="Arial" w:cs="Arial" w:eastAsia="Arial" w:hAnsi="Arial"/>
          <w:sz w:val="20"/>
          <w:szCs w:val="20"/>
          <w:color w:val="auto"/>
        </w:rPr>
        <w:t>, respectively, in any manner that materially and adversely affects the Lenders under a Facility without the written consent of (i) if such Facility is the Term Facility, the Required Term Lenders and (ii) if such Facility is the Revolving Credit Facility, the Required Revolving Lenders;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(f)</w:t>
            </w:r>
          </w:p>
        </w:tc>
        <w:tc>
          <w:tcPr>
            <w:tcW w:w="9480" w:type="dxa"/>
            <w:vAlign w:val="bottom"/>
            <w:gridSpan w:val="5"/>
          </w:tcPr>
          <w:p>
            <w:pPr>
              <w:ind w:left="620"/>
              <w:spacing w:after="0"/>
              <w:rPr>
                <w:sz w:val="20"/>
                <w:szCs w:val="20"/>
                <w:color w:val="auto"/>
              </w:rPr>
            </w:pPr>
            <w:r>
              <w:rPr>
                <w:rFonts w:ascii="Arial" w:cs="Arial" w:eastAsia="Arial" w:hAnsi="Arial"/>
                <w:sz w:val="20"/>
                <w:szCs w:val="20"/>
                <w:color w:val="auto"/>
                <w:w w:val="95"/>
              </w:rPr>
              <w:t>amend Section 1.05 or the definition of “Alternative Currency” without the written consent of each Lender;</w:t>
            </w:r>
          </w:p>
        </w:tc>
      </w:tr>
      <w:tr>
        <w:trPr>
          <w:trHeight w:val="20"/>
        </w:trPr>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425"/>
        </w:trPr>
        <w:tc>
          <w:tcPr>
            <w:tcW w:w="860" w:type="dxa"/>
            <w:vAlign w:val="bottom"/>
          </w:tcPr>
          <w:p>
            <w:pPr>
              <w:spacing w:after="0"/>
              <w:rPr>
                <w:sz w:val="20"/>
                <w:szCs w:val="20"/>
                <w:color w:val="auto"/>
              </w:rPr>
            </w:pPr>
            <w:r>
              <w:rPr>
                <w:rFonts w:ascii="Arial" w:cs="Arial" w:eastAsia="Arial" w:hAnsi="Arial"/>
                <w:sz w:val="20"/>
                <w:szCs w:val="20"/>
                <w:color w:val="auto"/>
              </w:rPr>
              <w:t>(g)</w:t>
            </w:r>
          </w:p>
        </w:tc>
        <w:tc>
          <w:tcPr>
            <w:tcW w:w="9480" w:type="dxa"/>
            <w:vAlign w:val="bottom"/>
            <w:gridSpan w:val="5"/>
          </w:tcPr>
          <w:p>
            <w:pPr>
              <w:ind w:left="660"/>
              <w:spacing w:after="0"/>
              <w:rPr>
                <w:sz w:val="20"/>
                <w:szCs w:val="20"/>
                <w:color w:val="auto"/>
              </w:rPr>
            </w:pPr>
            <w:r>
              <w:rPr>
                <w:rFonts w:ascii="Arial" w:cs="Arial" w:eastAsia="Arial" w:hAnsi="Arial"/>
                <w:sz w:val="20"/>
                <w:szCs w:val="20"/>
                <w:color w:val="auto"/>
                <w:w w:val="93"/>
              </w:rPr>
              <w:t>change (i) any provision of this Section 11.01 or the definition of “Required Lenders” or any other provision</w:t>
            </w:r>
          </w:p>
        </w:tc>
      </w:tr>
      <w:tr>
        <w:trPr>
          <w:trHeight w:val="20"/>
        </w:trPr>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hereof specifying the number or percentage of Lenders required to amend, waive or otherwise modify any rights hereunder or make any determination or grant any consent hereunder (other than the definitions specified in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11.01(g)</w:t>
      </w:r>
      <w:r>
        <w:rPr>
          <w:rFonts w:ascii="Arial" w:cs="Arial" w:eastAsia="Arial" w:hAnsi="Arial"/>
          <w:sz w:val="20"/>
          <w:szCs w:val="20"/>
          <w:color w:val="auto"/>
        </w:rPr>
        <w:t>), without the written consent of each Lender or (ii) the definition of “Required Revolving Lenders,” or “Required Term Lenders,” without the written consent of each Lender under the applicable Facility;</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(h) directly and materially adversely affect the rights of Lenders holding Commitments or Loans of one Class differently from the rights of Lenders holding Commitments or Loans of any other Class without the written consent of the Required Revolving Lenders or the Required Term Lenders, as applicable;</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 impose any greater restriction on the ability of any Lender under a Facility to assign any of its rights or obligations hereunder without the written consent of (i) if such Facility is the Term Facility, the Required Term Lenders, and (ii) if such Facility is the Revolving Credit Facility, the Required Revolving Lenders;</w:t>
      </w:r>
    </w:p>
    <w:p>
      <w:pPr>
        <w:spacing w:after="0" w:line="186" w:lineRule="exact"/>
        <w:rPr>
          <w:sz w:val="20"/>
          <w:szCs w:val="20"/>
          <w:color w:val="auto"/>
        </w:rPr>
      </w:pPr>
    </w:p>
    <w:p>
      <w:pPr>
        <w:ind w:left="880"/>
        <w:spacing w:after="0"/>
        <w:tabs>
          <w:tab w:leader="none" w:pos="2340" w:val="left"/>
        </w:tabs>
        <w:rPr>
          <w:sz w:val="20"/>
          <w:szCs w:val="20"/>
          <w:color w:val="auto"/>
        </w:rPr>
      </w:pPr>
      <w:r>
        <w:rPr>
          <w:rFonts w:ascii="Arial" w:cs="Arial" w:eastAsia="Arial" w:hAnsi="Arial"/>
          <w:sz w:val="20"/>
          <w:szCs w:val="20"/>
          <w:color w:val="auto"/>
        </w:rPr>
        <w:t>(j)</w:t>
      </w:r>
      <w:r>
        <w:rPr>
          <w:sz w:val="20"/>
          <w:szCs w:val="20"/>
          <w:color w:val="auto"/>
        </w:rPr>
        <w:tab/>
      </w:r>
      <w:r>
        <w:rPr>
          <w:rFonts w:ascii="Arial" w:cs="Arial" w:eastAsia="Arial" w:hAnsi="Arial"/>
          <w:sz w:val="20"/>
          <w:szCs w:val="20"/>
          <w:color w:val="auto"/>
        </w:rPr>
        <w:t>release Toro from the Guaranty without the written consent of each Lender;</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0" w:name="page121"/>
    <w:bookmarkEnd w:id="120"/>
    <w:p>
      <w:pPr>
        <w:jc w:val="both"/>
        <w:spacing w:after="0" w:line="244" w:lineRule="auto"/>
        <w:rPr>
          <w:sz w:val="20"/>
          <w:szCs w:val="20"/>
          <w:color w:val="auto"/>
        </w:rPr>
      </w:pPr>
      <w:r>
        <w:rPr>
          <w:rFonts w:ascii="Arial" w:cs="Arial" w:eastAsia="Arial" w:hAnsi="Arial"/>
          <w:sz w:val="20"/>
          <w:szCs w:val="20"/>
          <w:color w:val="auto"/>
        </w:rPr>
        <w:t>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9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Notwithstanding any provision herein to the contrary, if the Administrative Agent and Toro acting together identify any ambiguity, omission, mistake, typographical error or other defect in any provision of this Agreement or any other Loan Document (including the schedules and exhibits thereto), then the Administrative Agent and Toro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1500" w:type="dxa"/>
            <w:vAlign w:val="bottom"/>
          </w:tcPr>
          <w:p>
            <w:pPr>
              <w:spacing w:after="0"/>
              <w:rPr>
                <w:sz w:val="20"/>
                <w:szCs w:val="20"/>
                <w:color w:val="auto"/>
              </w:rPr>
            </w:pPr>
            <w:r>
              <w:rPr>
                <w:rFonts w:ascii="Arial" w:cs="Arial" w:eastAsia="Arial" w:hAnsi="Arial"/>
                <w:sz w:val="20"/>
                <w:szCs w:val="20"/>
                <w:b w:val="1"/>
                <w:bCs w:val="1"/>
                <w:color w:val="auto"/>
              </w:rPr>
              <w:t>11.02</w:t>
            </w:r>
          </w:p>
        </w:tc>
        <w:tc>
          <w:tcPr>
            <w:tcW w:w="8860" w:type="dxa"/>
            <w:vAlign w:val="bottom"/>
            <w:gridSpan w:val="2"/>
          </w:tcPr>
          <w:p>
            <w:pPr>
              <w:ind w:left="220"/>
              <w:spacing w:after="0"/>
              <w:rPr>
                <w:sz w:val="20"/>
                <w:szCs w:val="20"/>
                <w:color w:val="auto"/>
              </w:rPr>
            </w:pPr>
            <w:r>
              <w:rPr>
                <w:rFonts w:ascii="Arial" w:cs="Arial" w:eastAsia="Arial" w:hAnsi="Arial"/>
                <w:sz w:val="20"/>
                <w:szCs w:val="20"/>
                <w:b w:val="1"/>
                <w:bCs w:val="1"/>
                <w:color w:val="auto"/>
              </w:rPr>
              <w:t>Notices; Effectiveness; Electronic Communication.</w:t>
            </w:r>
          </w:p>
        </w:tc>
      </w:tr>
      <w:tr>
        <w:trPr>
          <w:trHeight w:val="401"/>
        </w:trPr>
        <w:tc>
          <w:tcPr>
            <w:tcW w:w="1500" w:type="dxa"/>
            <w:vAlign w:val="bottom"/>
          </w:tcPr>
          <w:p>
            <w:pPr>
              <w:spacing w:after="0"/>
              <w:rPr>
                <w:sz w:val="20"/>
                <w:szCs w:val="20"/>
                <w:color w:val="auto"/>
              </w:rPr>
            </w:pPr>
            <w:r>
              <w:rPr>
                <w:rFonts w:ascii="Arial" w:cs="Arial" w:eastAsia="Arial" w:hAnsi="Arial"/>
                <w:sz w:val="20"/>
                <w:szCs w:val="20"/>
                <w:color w:val="auto"/>
              </w:rPr>
              <w:t>(a)</w:t>
            </w:r>
          </w:p>
        </w:tc>
        <w:tc>
          <w:tcPr>
            <w:tcW w:w="8860" w:type="dxa"/>
            <w:vAlign w:val="bottom"/>
            <w:gridSpan w:val="2"/>
          </w:tcPr>
          <w:p>
            <w:pPr>
              <w:spacing w:after="0"/>
              <w:rPr>
                <w:sz w:val="20"/>
                <w:szCs w:val="20"/>
                <w:color w:val="auto"/>
              </w:rPr>
            </w:pPr>
            <w:r>
              <w:rPr>
                <w:rFonts w:ascii="Arial" w:cs="Arial" w:eastAsia="Arial" w:hAnsi="Arial"/>
                <w:sz w:val="20"/>
                <w:szCs w:val="20"/>
                <w:color w:val="auto"/>
                <w:w w:val="90"/>
              </w:rPr>
              <w:t>Notices Generally. Except in the case of notices and other communications expressly permitted to be given by</w:t>
            </w:r>
          </w:p>
        </w:tc>
      </w:tr>
      <w:tr>
        <w:trPr>
          <w:trHeight w:val="20"/>
        </w:trPr>
        <w:tc>
          <w:tcPr>
            <w:tcW w:w="15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telephone (and except as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all notices and other communications provided for herein shall be in writing and shall be delivered by hand or overnight courier service, mailed by certified or registered mail or sent by electronic communication as follows, and all notices and other communications expressly permitted hereunder to be given by telephone shall be made to the applicable telephone number, as follows:</w:t>
      </w:r>
    </w:p>
    <w:p>
      <w:pPr>
        <w:spacing w:after="0" w:line="191" w:lineRule="exact"/>
        <w:rPr>
          <w:sz w:val="20"/>
          <w:szCs w:val="20"/>
          <w:color w:val="auto"/>
        </w:rPr>
      </w:pPr>
    </w:p>
    <w:p>
      <w:pPr>
        <w:ind w:left="900" w:firstLine="791"/>
        <w:spacing w:after="0" w:line="260" w:lineRule="auto"/>
        <w:tabs>
          <w:tab w:leader="none" w:pos="253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if to the Borrowers, the Administrative Agent, the L/C Issuer or the Swing Line Lender, to the address, electronic mail address or telephone number specified for such Person on </w:t>
      </w:r>
      <w:r>
        <w:rPr>
          <w:rFonts w:ascii="Arial" w:cs="Arial" w:eastAsia="Arial" w:hAnsi="Arial"/>
          <w:sz w:val="20"/>
          <w:szCs w:val="20"/>
          <w:u w:val="single" w:color="auto"/>
          <w:color w:val="auto"/>
        </w:rPr>
        <w:t>Schedule 11.02</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900" w:firstLine="791"/>
        <w:spacing w:after="0" w:line="246" w:lineRule="auto"/>
        <w:tabs>
          <w:tab w:leader="none" w:pos="2585"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if to any other Lender, to the address,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Notices and other communications sent by hand or overnight courier service, or mailed by certified or registered mail, shall be deemed to have been given when received. Notices and other communications delivered through electronic communications to the extent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subsection (b)</w:t>
      </w:r>
      <w:r>
        <w:rPr>
          <w:rFonts w:ascii="Arial" w:cs="Arial" w:eastAsia="Arial" w:hAnsi="Arial"/>
          <w:sz w:val="20"/>
          <w:szCs w:val="20"/>
          <w:color w:val="auto"/>
        </w:rPr>
        <w:t>.</w:t>
      </w:r>
    </w:p>
    <w:p>
      <w:pPr>
        <w:spacing w:after="0" w:line="18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the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the L/C Issuer, as applicable, has notified the Administrative Agent that it is incapable of receiving notices under such Article by electronic communication. The Administrative Agent, the L/C Issuer, the Swing Line Lender or Toro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1" w:name="page122"/>
    <w:bookmarkEnd w:id="121"/>
    <w:p>
      <w:pPr>
        <w:jc w:val="both"/>
        <w:spacing w:after="0" w:line="282" w:lineRule="auto"/>
        <w:rPr>
          <w:sz w:val="20"/>
          <w:szCs w:val="20"/>
          <w:color w:val="auto"/>
        </w:rPr>
      </w:pPr>
      <w:r>
        <w:rPr>
          <w:rFonts w:ascii="Arial" w:cs="Arial" w:eastAsia="Arial" w:hAnsi="Arial"/>
          <w:sz w:val="18"/>
          <w:szCs w:val="18"/>
          <w:color w:val="auto"/>
        </w:rPr>
        <w:t xml:space="preserve">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6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have any liability to any Borrower, any Lender, the L/C Issuer or any other Person for losses, claims, damages, liabilities or expenses of any kind (whether in tort, contract or otherwise) (x) arising out of any Borrower’s or the Administrative Agent’s transmission of Borrower Materials or notices through the Platform, any other electronic platform or electronic messaging service, or through the Internet or (y) arising from the use by unintended recipients of such Borrower Materials obtained by such unintended recipients through interception or misdirection of electronic telecommunications or other information transmission systems in connection with this Agreement or the other Loan Documents or the transactions contemplated hereby or thereby, in each case,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18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Borrowers, the Administrative Agent, the L/C Issuer and the Swing Line Lender may change its address, electronic mail address or telephone number for notices and other communications hereunder by notice to the other parties hereto. Each other Lender may change its address, electronic mail address or telephone number for notices and other communications hereunder by notice to Toro, the Administrative Agent, the L/C Issuer and the Swing Line Lender.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176"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u w:val="single" w:color="auto"/>
          <w:color w:val="auto"/>
        </w:rPr>
        <w:t>Reliance by Administrative Agent, L/C Issuer and Lenders</w:t>
      </w:r>
      <w:r>
        <w:rPr>
          <w:rFonts w:ascii="Arial" w:cs="Arial" w:eastAsia="Arial" w:hAnsi="Arial"/>
          <w:sz w:val="18"/>
          <w:szCs w:val="18"/>
          <w:color w:val="auto"/>
        </w:rPr>
        <w:t>. The Administrative Agent, the L/C Issuer and the</w:t>
      </w:r>
    </w:p>
    <w:p>
      <w:pPr>
        <w:spacing w:after="0" w:line="3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Lenders shall be entitled to rely and act upon any notices (including telephonic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2" w:name="page123"/>
    <w:bookmarkEnd w:id="122"/>
    <w:p>
      <w:pPr>
        <w:jc w:val="both"/>
        <w:spacing w:after="0" w:line="282" w:lineRule="auto"/>
        <w:rPr>
          <w:sz w:val="20"/>
          <w:szCs w:val="20"/>
          <w:color w:val="auto"/>
        </w:rPr>
      </w:pPr>
      <w:r>
        <w:rPr>
          <w:rFonts w:ascii="Arial" w:cs="Arial" w:eastAsia="Arial" w:hAnsi="Arial"/>
          <w:sz w:val="18"/>
          <w:szCs w:val="18"/>
          <w:color w:val="auto"/>
        </w:rPr>
        <w:t>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5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b w:val="1"/>
          <w:bCs w:val="1"/>
          <w:color w:val="auto"/>
        </w:rPr>
        <w:t>11.03 No Waiver; Cumulative Remedies; Enforcement</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 failure by any Lender, the L/C Issuer or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8"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and the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7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11.04</w:t>
      </w:r>
      <w:r>
        <w:rPr>
          <w:sz w:val="20"/>
          <w:szCs w:val="20"/>
          <w:color w:val="auto"/>
        </w:rPr>
        <w:tab/>
      </w:r>
      <w:r>
        <w:rPr>
          <w:rFonts w:ascii="Arial" w:cs="Arial" w:eastAsia="Arial" w:hAnsi="Arial"/>
          <w:sz w:val="17"/>
          <w:szCs w:val="17"/>
          <w:b w:val="1"/>
          <w:bCs w:val="1"/>
          <w:color w:val="auto"/>
        </w:rPr>
        <w:t>Expenses; Indemnity; Damage Waiver</w:t>
      </w:r>
      <w:r>
        <w:rPr>
          <w:rFonts w:ascii="Arial" w:cs="Arial" w:eastAsia="Arial" w:hAnsi="Arial"/>
          <w:sz w:val="18"/>
          <w:szCs w:val="18"/>
          <w:color w:val="auto"/>
        </w:rPr>
        <w:t>.</w:t>
      </w:r>
    </w:p>
    <w:p>
      <w:pPr>
        <w:spacing w:after="0" w:line="23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 Issuer in connection with the issuance, amendment, renewal or extension of any Letter of Credit or any demand for payment thereunder and (iii) all out of 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3" w:name="page124"/>
    <w:bookmarkEnd w:id="123"/>
    <w:p>
      <w:pPr>
        <w:jc w:val="both"/>
        <w:ind w:firstLine="864"/>
        <w:spacing w:after="0" w:line="253"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Indemnification by Toro</w:t>
      </w:r>
      <w:r>
        <w:rPr>
          <w:rFonts w:ascii="Arial" w:cs="Arial" w:eastAsia="Arial" w:hAnsi="Arial"/>
          <w:sz w:val="19"/>
          <w:szCs w:val="19"/>
          <w:color w:val="auto"/>
        </w:rPr>
        <w:t>. The Borrowers shall indemnify the Administrative Agent (and any sub-agent thereof), each Lender and the L/C Issuer,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Toro or any other Loan Party, and regardless of whether any Indemnitee is a party thereto, </w:t>
      </w:r>
      <w:r>
        <w:rPr>
          <w:rFonts w:ascii="Arial" w:cs="Arial" w:eastAsia="Arial" w:hAnsi="Arial"/>
          <w:sz w:val="19"/>
          <w:szCs w:val="19"/>
          <w:b w:val="1"/>
          <w:bCs w:val="1"/>
          <w:color w:val="auto"/>
        </w:rPr>
        <w:t>IN ALL CASES, WHETHER OR NOT CAUSED BY OR ARISING, IN WHOLE OR IN PART, OUT OF THE</w:t>
      </w:r>
      <w:r>
        <w:rPr>
          <w:rFonts w:ascii="Arial" w:cs="Arial" w:eastAsia="Arial" w:hAnsi="Arial"/>
          <w:sz w:val="19"/>
          <w:szCs w:val="19"/>
          <w:color w:val="auto"/>
        </w:rPr>
        <w:t xml:space="preserve"> </w:t>
      </w:r>
      <w:r>
        <w:rPr>
          <w:rFonts w:ascii="Arial" w:cs="Arial" w:eastAsia="Arial" w:hAnsi="Arial"/>
          <w:sz w:val="19"/>
          <w:szCs w:val="19"/>
          <w:b w:val="1"/>
          <w:bCs w:val="1"/>
          <w:color w:val="auto"/>
        </w:rPr>
        <w:t>COMPARATIVE, CONTRIBUTORY OR SOLE NEGLIGENCE OF THE INDEMNITEE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such indemnity shall not,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Toro or any other Loan Party against an Indemnitee for breach in bad faith of such Indemnitee’s obligations hereunder or under any other Loan Document, if Toro or such other Loan Party has obtained a final and nonappealable judgment in its favor on such claim as determined by a court of competent jurisdiction. Without limiting the provisions of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11.04(b)</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pacing w:after="0" w:line="19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Borrowers for any reason fail to indefeasibly pay any amount required under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4" w:name="page125"/>
    <w:bookmarkEnd w:id="124"/>
    <w:p>
      <w:pPr>
        <w:jc w:val="both"/>
        <w:ind w:firstLine="864"/>
        <w:spacing w:after="0" w:line="241" w:lineRule="auto"/>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u w:val="single" w:color="auto"/>
          <w:color w:val="auto"/>
        </w:rPr>
        <w:t>Waiver of Consequential Damages, Etc.</w:t>
      </w:r>
      <w:r>
        <w:rPr>
          <w:rFonts w:ascii="Arial" w:cs="Arial" w:eastAsia="Arial" w:hAnsi="Arial"/>
          <w:sz w:val="20"/>
          <w:szCs w:val="20"/>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above shall be liable for any damages arising from the use by unintended recipients of any information or other materials obtained by such unintended recipients by such Indemnitee through interception or misdirection of electronic telecommunications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20"/>
                <w:szCs w:val="20"/>
                <w:color w:val="auto"/>
              </w:rPr>
              <w:t>(e)</w:t>
            </w:r>
          </w:p>
        </w:tc>
        <w:tc>
          <w:tcPr>
            <w:tcW w:w="8860" w:type="dxa"/>
            <w:vAlign w:val="bottom"/>
            <w:gridSpan w:val="3"/>
          </w:tcPr>
          <w:p>
            <w:pPr>
              <w:spacing w:after="0"/>
              <w:rPr>
                <w:sz w:val="20"/>
                <w:szCs w:val="20"/>
                <w:color w:val="auto"/>
              </w:rPr>
            </w:pPr>
            <w:r>
              <w:rPr>
                <w:rFonts w:ascii="Arial" w:cs="Arial" w:eastAsia="Arial" w:hAnsi="Arial"/>
                <w:sz w:val="20"/>
                <w:szCs w:val="20"/>
                <w:color w:val="auto"/>
                <w:w w:val="90"/>
              </w:rPr>
              <w:t>Payments. All amounts due under this Section shall be payable not later than thirty days after demand therefor.</w:t>
            </w:r>
          </w:p>
        </w:tc>
      </w:tr>
      <w:tr>
        <w:trPr>
          <w:trHeight w:val="20"/>
        </w:trPr>
        <w:tc>
          <w:tcPr>
            <w:tcW w:w="1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426"/>
        </w:trPr>
        <w:tc>
          <w:tcPr>
            <w:tcW w:w="1500" w:type="dxa"/>
            <w:vAlign w:val="bottom"/>
          </w:tcPr>
          <w:p>
            <w:pPr>
              <w:spacing w:after="0"/>
              <w:rPr>
                <w:sz w:val="20"/>
                <w:szCs w:val="20"/>
                <w:color w:val="auto"/>
              </w:rPr>
            </w:pPr>
            <w:r>
              <w:rPr>
                <w:rFonts w:ascii="Arial" w:cs="Arial" w:eastAsia="Arial" w:hAnsi="Arial"/>
                <w:sz w:val="20"/>
                <w:szCs w:val="20"/>
                <w:color w:val="auto"/>
              </w:rPr>
              <w:t>(f)</w:t>
            </w:r>
          </w:p>
        </w:tc>
        <w:tc>
          <w:tcPr>
            <w:tcW w:w="8860" w:type="dxa"/>
            <w:vAlign w:val="bottom"/>
            <w:gridSpan w:val="3"/>
          </w:tcPr>
          <w:p>
            <w:pPr>
              <w:spacing w:after="0"/>
              <w:rPr>
                <w:sz w:val="20"/>
                <w:szCs w:val="20"/>
                <w:color w:val="auto"/>
              </w:rPr>
            </w:pPr>
            <w:r>
              <w:rPr>
                <w:rFonts w:ascii="Arial" w:cs="Arial" w:eastAsia="Arial" w:hAnsi="Arial"/>
                <w:sz w:val="20"/>
                <w:szCs w:val="20"/>
                <w:color w:val="auto"/>
                <w:w w:val="94"/>
              </w:rPr>
              <w:t>Survival.  The agreements in this Section shall survive the resignation of the Administrative Agent, the L/C</w:t>
            </w:r>
          </w:p>
        </w:tc>
      </w:tr>
      <w:tr>
        <w:trPr>
          <w:trHeight w:val="20"/>
        </w:trPr>
        <w:tc>
          <w:tcPr>
            <w:tcW w:w="15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Issuer and the Swing Line Lender, the replacement of any Lender, the termination of the Aggregate Commitments and the repayment, satisfaction or discharge of all the other Obligations.</w:t>
      </w:r>
    </w:p>
    <w:p>
      <w:pPr>
        <w:spacing w:after="0" w:line="16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b w:val="1"/>
          <w:bCs w:val="1"/>
          <w:color w:val="auto"/>
        </w:rPr>
        <w:t>11.05 Payments Set Aside</w:t>
      </w:r>
      <w:r>
        <w:rPr>
          <w:rFonts w:ascii="Arial" w:cs="Arial" w:eastAsia="Arial" w:hAnsi="Arial"/>
          <w:sz w:val="20"/>
          <w:szCs w:val="20"/>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that any payment by or on behalf of any Borrower is made to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the preceding sentence shall survive the payment in full of the Obligations and the termination of this Agreement.</w:t>
      </w:r>
    </w:p>
    <w:p>
      <w:pPr>
        <w:spacing w:after="0" w:line="18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11.06</w:t>
      </w:r>
      <w:r>
        <w:rPr>
          <w:sz w:val="20"/>
          <w:szCs w:val="20"/>
          <w:color w:val="auto"/>
        </w:rPr>
        <w:tab/>
      </w:r>
      <w:r>
        <w:rPr>
          <w:rFonts w:ascii="Arial" w:cs="Arial" w:eastAsia="Arial" w:hAnsi="Arial"/>
          <w:sz w:val="16"/>
          <w:szCs w:val="16"/>
          <w:b w:val="1"/>
          <w:bCs w:val="1"/>
          <w:color w:val="auto"/>
        </w:rPr>
        <w:t>Successors and Assigns</w:t>
      </w:r>
      <w:r>
        <w:rPr>
          <w:rFonts w:ascii="Arial" w:cs="Arial" w:eastAsia="Arial" w:hAnsi="Arial"/>
          <w:sz w:val="17"/>
          <w:szCs w:val="17"/>
          <w:color w:val="auto"/>
        </w:rPr>
        <w:t>.</w:t>
      </w:r>
    </w:p>
    <w:p>
      <w:pPr>
        <w:spacing w:after="0" w:line="234" w:lineRule="exact"/>
        <w:rPr>
          <w:sz w:val="20"/>
          <w:szCs w:val="20"/>
          <w:color w:val="auto"/>
        </w:rPr>
      </w:pPr>
    </w:p>
    <w:p>
      <w:pPr>
        <w:jc w:val="both"/>
        <w:ind w:firstLine="872"/>
        <w:spacing w:after="0" w:line="304" w:lineRule="auto"/>
        <w:tabs>
          <w:tab w:leader="none" w:pos="1731"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subsection</w:t>
      </w:r>
    </w:p>
    <w:p>
      <w:pPr>
        <w:spacing w:after="0" w:line="1" w:lineRule="exact"/>
        <w:rPr>
          <w:rFonts w:ascii="Arial" w:cs="Arial" w:eastAsia="Arial" w:hAnsi="Arial"/>
          <w:sz w:val="16"/>
          <w:szCs w:val="16"/>
          <w:color w:val="auto"/>
        </w:rPr>
      </w:pPr>
    </w:p>
    <w:p>
      <w:pPr>
        <w:jc w:val="both"/>
        <w:ind w:firstLine="8"/>
        <w:spacing w:after="0" w:line="272" w:lineRule="auto"/>
        <w:tabs>
          <w:tab w:leader="none" w:pos="282" w:val="left"/>
        </w:tabs>
        <w:numPr>
          <w:ilvl w:val="0"/>
          <w:numId w:val="159"/>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Section, (ii) by way of participation in accordance with the provisions of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or (iii) by way of pledge or assignment of a security interest subject to the restrictions of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5" w:name="page126"/>
    <w:bookmarkEnd w:id="125"/>
    <w:p>
      <w:pPr>
        <w:jc w:val="both"/>
        <w:ind w:firstLine="872"/>
        <w:spacing w:after="0" w:line="246" w:lineRule="auto"/>
        <w:tabs>
          <w:tab w:leader="none" w:pos="1742"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participations in L/C Obligations and in Swing 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91" w:lineRule="exact"/>
        <w:rPr>
          <w:rFonts w:ascii="Arial" w:cs="Arial" w:eastAsia="Arial" w:hAnsi="Arial"/>
          <w:sz w:val="20"/>
          <w:szCs w:val="20"/>
          <w:color w:val="auto"/>
        </w:rPr>
      </w:pPr>
    </w:p>
    <w:p>
      <w:pPr>
        <w:ind w:left="2500" w:hanging="831"/>
        <w:spacing w:after="0"/>
        <w:tabs>
          <w:tab w:leader="none" w:pos="2500" w:val="left"/>
        </w:tabs>
        <w:numPr>
          <w:ilvl w:val="1"/>
          <w:numId w:val="160"/>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740" w:firstLine="726"/>
        <w:spacing w:after="0" w:line="238" w:lineRule="auto"/>
        <w:tabs>
          <w:tab w:leader="none" w:pos="3419" w:val="left"/>
        </w:tabs>
        <w:numPr>
          <w:ilvl w:val="2"/>
          <w:numId w:val="160"/>
        </w:numPr>
        <w:rPr>
          <w:rFonts w:ascii="Arial" w:cs="Arial" w:eastAsia="Arial" w:hAnsi="Arial"/>
          <w:sz w:val="22"/>
          <w:szCs w:val="22"/>
          <w:color w:val="auto"/>
        </w:rPr>
      </w:pPr>
      <w:r>
        <w:rPr>
          <w:rFonts w:ascii="Arial" w:cs="Arial" w:eastAsia="Arial" w:hAnsi="Arial"/>
          <w:sz w:val="20"/>
          <w:szCs w:val="20"/>
          <w:color w:val="auto"/>
        </w:rPr>
        <w:t>in the case of an assignment of the entire remaining amount of the assigning Lender’s Commitment and the Loans at the time owing to it under or in the case of an assignment to a Lender, an Affiliate of a Lender or an Approved Fund, no minimum amount need be assigned; and</w:t>
      </w:r>
    </w:p>
    <w:p>
      <w:pPr>
        <w:spacing w:after="0" w:line="211" w:lineRule="exact"/>
        <w:rPr>
          <w:rFonts w:ascii="Arial" w:cs="Arial" w:eastAsia="Arial" w:hAnsi="Arial"/>
          <w:sz w:val="22"/>
          <w:szCs w:val="22"/>
          <w:color w:val="auto"/>
        </w:rPr>
      </w:pPr>
    </w:p>
    <w:p>
      <w:pPr>
        <w:jc w:val="both"/>
        <w:ind w:left="1740" w:firstLine="726"/>
        <w:spacing w:after="0" w:line="252" w:lineRule="auto"/>
        <w:tabs>
          <w:tab w:leader="none" w:pos="3407" w:val="left"/>
        </w:tabs>
        <w:numPr>
          <w:ilvl w:val="2"/>
          <w:numId w:val="160"/>
        </w:numPr>
        <w:rPr>
          <w:rFonts w:ascii="Arial" w:cs="Arial" w:eastAsia="Arial" w:hAnsi="Arial"/>
          <w:sz w:val="21"/>
          <w:szCs w:val="21"/>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subsection (b)(i)(A)</w:t>
      </w:r>
      <w:r>
        <w:rPr>
          <w:rFonts w:ascii="Arial" w:cs="Arial" w:eastAsia="Arial" w:hAnsi="Arial"/>
          <w:sz w:val="19"/>
          <w:szCs w:val="19"/>
          <w:color w:val="auto"/>
        </w:rPr>
        <w:t xml:space="preserve"> of this Section, the aggregate amount of the applicable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Facility, unless each of the Administrative Agent and, so long as no Event of Default has occurred and is continuing, Toro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92" w:lineRule="exact"/>
        <w:rPr>
          <w:rFonts w:ascii="Arial" w:cs="Arial" w:eastAsia="Arial" w:hAnsi="Arial"/>
          <w:sz w:val="21"/>
          <w:szCs w:val="21"/>
          <w:color w:val="auto"/>
        </w:rPr>
      </w:pPr>
    </w:p>
    <w:p>
      <w:pPr>
        <w:jc w:val="both"/>
        <w:ind w:left="880" w:firstLine="789"/>
        <w:spacing w:after="0" w:line="291" w:lineRule="auto"/>
        <w:tabs>
          <w:tab w:leader="none" w:pos="2567"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not apply to the Swing Line Lender’s rights and obligations in respect of Swing Line Loans;</w:t>
      </w:r>
    </w:p>
    <w:p>
      <w:pPr>
        <w:spacing w:after="0" w:line="151" w:lineRule="exact"/>
        <w:rPr>
          <w:rFonts w:ascii="Arial" w:cs="Arial" w:eastAsia="Arial" w:hAnsi="Arial"/>
          <w:sz w:val="18"/>
          <w:szCs w:val="18"/>
          <w:color w:val="auto"/>
        </w:rPr>
      </w:pPr>
    </w:p>
    <w:p>
      <w:pPr>
        <w:ind w:left="880" w:firstLine="789"/>
        <w:spacing w:after="0" w:line="260" w:lineRule="auto"/>
        <w:tabs>
          <w:tab w:leader="none" w:pos="2622" w:val="left"/>
        </w:tabs>
        <w:numPr>
          <w:ilvl w:val="1"/>
          <w:numId w:val="160"/>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u w:val="single" w:color="auto"/>
          <w:color w:val="auto"/>
        </w:rPr>
        <w:t>subsection (b)(i)(B)</w:t>
      </w:r>
      <w:r>
        <w:rPr>
          <w:rFonts w:ascii="Arial" w:cs="Arial" w:eastAsia="Arial" w:hAnsi="Arial"/>
          <w:sz w:val="20"/>
          <w:szCs w:val="20"/>
          <w:color w:val="auto"/>
        </w:rPr>
        <w:t xml:space="preserve"> of this Section and, in addition:</w:t>
      </w:r>
    </w:p>
    <w:p>
      <w:pPr>
        <w:spacing w:after="0" w:line="190" w:lineRule="exact"/>
        <w:rPr>
          <w:rFonts w:ascii="Arial" w:cs="Arial" w:eastAsia="Arial" w:hAnsi="Arial"/>
          <w:sz w:val="20"/>
          <w:szCs w:val="20"/>
          <w:color w:val="auto"/>
        </w:rPr>
      </w:pPr>
    </w:p>
    <w:p>
      <w:pPr>
        <w:jc w:val="both"/>
        <w:ind w:left="1740" w:firstLine="726"/>
        <w:spacing w:after="0" w:line="273" w:lineRule="auto"/>
        <w:tabs>
          <w:tab w:leader="none" w:pos="3419" w:val="left"/>
        </w:tabs>
        <w:numPr>
          <w:ilvl w:val="2"/>
          <w:numId w:val="160"/>
        </w:numPr>
        <w:rPr>
          <w:rFonts w:ascii="Arial" w:cs="Arial" w:eastAsia="Arial" w:hAnsi="Arial"/>
          <w:sz w:val="19"/>
          <w:szCs w:val="19"/>
          <w:color w:val="auto"/>
        </w:rPr>
      </w:pPr>
      <w:r>
        <w:rPr>
          <w:rFonts w:ascii="Arial" w:cs="Arial" w:eastAsia="Arial" w:hAnsi="Arial"/>
          <w:sz w:val="18"/>
          <w:szCs w:val="18"/>
          <w:color w:val="auto"/>
        </w:rPr>
        <w:t xml:space="preserve">the consent of Toro (such consent not to be unreasonably withheld) shall be required unless (1) an Event of Default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Toro shall be deemed to have consented to any such assignment unless it shall object thereto by written notice to the Administrative Agent within ten (10) days after having received notice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Toro’s consent shall be deemed reasonably withheld where such assignment would result in additional or increased costs to any Borrower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180" w:lineRule="exact"/>
        <w:rPr>
          <w:rFonts w:ascii="Arial" w:cs="Arial" w:eastAsia="Arial" w:hAnsi="Arial"/>
          <w:sz w:val="19"/>
          <w:szCs w:val="19"/>
          <w:color w:val="auto"/>
        </w:rPr>
      </w:pPr>
    </w:p>
    <w:p>
      <w:pPr>
        <w:jc w:val="both"/>
        <w:ind w:left="1740" w:firstLine="726"/>
        <w:spacing w:after="0" w:line="283" w:lineRule="auto"/>
        <w:tabs>
          <w:tab w:leader="none" w:pos="3407" w:val="left"/>
        </w:tabs>
        <w:numPr>
          <w:ilvl w:val="2"/>
          <w:numId w:val="160"/>
        </w:numPr>
        <w:rPr>
          <w:rFonts w:ascii="Arial" w:cs="Arial" w:eastAsia="Arial" w:hAnsi="Arial"/>
          <w:sz w:val="19"/>
          <w:szCs w:val="19"/>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any Commitment if such assignment is to a Person that is not a Lender with a Commitment, an Affiliate of such Lender or an Approved Fund with respect to such Lender;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6" w:name="page127"/>
    <w:bookmarkEnd w:id="126"/>
    <w:p>
      <w:pPr>
        <w:ind w:left="1740" w:right="20" w:firstLine="726"/>
        <w:spacing w:after="0" w:line="303" w:lineRule="auto"/>
        <w:tabs>
          <w:tab w:leader="none" w:pos="3407" w:val="left"/>
        </w:tabs>
        <w:numPr>
          <w:ilvl w:val="1"/>
          <w:numId w:val="161"/>
        </w:numPr>
        <w:rPr>
          <w:rFonts w:ascii="Arial" w:cs="Arial" w:eastAsia="Arial" w:hAnsi="Arial"/>
          <w:sz w:val="19"/>
          <w:szCs w:val="19"/>
          <w:color w:val="auto"/>
        </w:rPr>
      </w:pPr>
      <w:r>
        <w:rPr>
          <w:rFonts w:ascii="Arial" w:cs="Arial" w:eastAsia="Arial" w:hAnsi="Arial"/>
          <w:sz w:val="18"/>
          <w:szCs w:val="18"/>
          <w:color w:val="auto"/>
        </w:rPr>
        <w:t>the consent of the L/C Issuer and the Swing Line Lender (such consent not to be unreasonably withheld or delayed) shall be required for any assignment in respect of the Revolving Credit Facility.</w:t>
      </w:r>
    </w:p>
    <w:p>
      <w:pPr>
        <w:spacing w:after="0" w:line="137" w:lineRule="exact"/>
        <w:rPr>
          <w:rFonts w:ascii="Arial" w:cs="Arial" w:eastAsia="Arial" w:hAnsi="Arial"/>
          <w:sz w:val="19"/>
          <w:szCs w:val="19"/>
          <w:color w:val="auto"/>
        </w:rPr>
      </w:pPr>
    </w:p>
    <w:p>
      <w:pPr>
        <w:jc w:val="both"/>
        <w:ind w:left="880" w:firstLine="789"/>
        <w:spacing w:after="0" w:line="282" w:lineRule="auto"/>
        <w:tabs>
          <w:tab w:leader="none" w:pos="2611"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61" w:lineRule="exact"/>
        <w:rPr>
          <w:rFonts w:ascii="Arial" w:cs="Arial" w:eastAsia="Arial" w:hAnsi="Arial"/>
          <w:sz w:val="18"/>
          <w:szCs w:val="18"/>
          <w:color w:val="auto"/>
        </w:rPr>
      </w:pPr>
    </w:p>
    <w:p>
      <w:pPr>
        <w:jc w:val="both"/>
        <w:ind w:left="880" w:firstLine="789"/>
        <w:spacing w:after="0" w:line="244" w:lineRule="auto"/>
        <w:tabs>
          <w:tab w:leader="none" w:pos="2556"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xml:space="preserve">. No such assignment shall be made (A) to any Borrower or any Borrower’s Affiliates or Subsidiaries, or (B) to any Defaulting Lender or any of its Subsidiaries, or any Person who, upon becoming a Lender hereunder, would constitute any of the foregoing Persons described in this </w:t>
      </w:r>
      <w:r>
        <w:rPr>
          <w:rFonts w:ascii="Arial" w:cs="Arial" w:eastAsia="Arial" w:hAnsi="Arial"/>
          <w:sz w:val="20"/>
          <w:szCs w:val="20"/>
          <w:u w:val="single" w:color="auto"/>
          <w:color w:val="auto"/>
        </w:rPr>
        <w:t>clause (B)</w:t>
      </w:r>
      <w:r>
        <w:rPr>
          <w:rFonts w:ascii="Arial" w:cs="Arial" w:eastAsia="Arial" w:hAnsi="Arial"/>
          <w:sz w:val="20"/>
          <w:szCs w:val="20"/>
          <w:color w:val="auto"/>
        </w:rPr>
        <w:t>, or (C) to a natural person (or a holding company, investment vehicle or trust for, or owned and operated for the primary benefit of one or more natural persons).</w:t>
      </w:r>
    </w:p>
    <w:p>
      <w:pPr>
        <w:spacing w:after="0" w:line="194" w:lineRule="exact"/>
        <w:rPr>
          <w:rFonts w:ascii="Arial" w:cs="Arial" w:eastAsia="Arial" w:hAnsi="Arial"/>
          <w:sz w:val="20"/>
          <w:szCs w:val="20"/>
          <w:color w:val="auto"/>
        </w:rPr>
      </w:pPr>
    </w:p>
    <w:p>
      <w:pPr>
        <w:jc w:val="both"/>
        <w:ind w:left="880" w:firstLine="789"/>
        <w:spacing w:after="0" w:line="255" w:lineRule="auto"/>
        <w:tabs>
          <w:tab w:leader="none" w:pos="2611"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Toro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 xml:space="preserve">sale by such Lender of a participation in such rights and obligations in accordance with </w:t>
      </w:r>
      <w:r>
        <w:rPr>
          <w:rFonts w:ascii="Arial" w:cs="Arial" w:eastAsia="Arial" w:hAnsi="Arial"/>
          <w:sz w:val="20"/>
          <w:szCs w:val="20"/>
          <w:u w:val="single" w:color="auto"/>
          <w:color w:val="auto"/>
        </w:rPr>
        <w:t>subsection (d)</w:t>
      </w:r>
      <w:r>
        <w:rPr>
          <w:rFonts w:ascii="Arial" w:cs="Arial" w:eastAsia="Arial" w:hAnsi="Arial"/>
          <w:sz w:val="20"/>
          <w:szCs w:val="20"/>
          <w:color w:val="auto"/>
        </w:rPr>
        <w:t xml:space="preserve"> of this Section.</w:t>
      </w:r>
    </w:p>
    <w:p>
      <w:pPr>
        <w:spacing w:after="0" w:line="21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each of the Borrowers and any Lender, at any reasonable time and from time to time upon reasonable prior notice.</w:t>
      </w:r>
    </w:p>
    <w:p>
      <w:pPr>
        <w:spacing w:after="0" w:line="168"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one or more natural Persons, a Defaulting Lender or any Borrower or any Affiliate or Subsidiary of any Borrower)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without regard to the existence of any participation.</w:t>
      </w:r>
    </w:p>
    <w:p>
      <w:pPr>
        <w:spacing w:after="0" w:line="19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that affects such Participant. Subject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of this Section, each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11.13</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w:t>
      </w:r>
    </w:p>
    <w:p>
      <w:pPr>
        <w:spacing w:after="0" w:line="179"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Each Lender that sells a participation shall, acting solely for this purpose as a non-fiduciary agent of the Borrowers, maintain a register on which it enters the name and address of each Participant and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8" w:name="page129"/>
    <w:bookmarkEnd w:id="128"/>
    <w:p>
      <w:pPr>
        <w:jc w:val="both"/>
        <w:spacing w:after="0" w:line="256" w:lineRule="auto"/>
        <w:rPr>
          <w:sz w:val="20"/>
          <w:szCs w:val="20"/>
          <w:color w:val="auto"/>
        </w:rPr>
      </w:pPr>
      <w:r>
        <w:rPr>
          <w:rFonts w:ascii="Arial" w:cs="Arial" w:eastAsia="Arial" w:hAnsi="Arial"/>
          <w:sz w:val="19"/>
          <w:szCs w:val="19"/>
          <w:color w:val="auto"/>
        </w:rPr>
        <w:t>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Limitation upon Participant Rights</w:t>
      </w:r>
      <w:r>
        <w:rPr>
          <w:rFonts w:ascii="Arial" w:cs="Arial" w:eastAsia="Arial" w:hAnsi="Arial"/>
          <w:sz w:val="19"/>
          <w:szCs w:val="19"/>
          <w:color w:val="auto"/>
        </w:rPr>
        <w:t xml:space="preserve">. A Participant shall not be entitled to receive any greater payment under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Toro’s prior written consent. A Participant that would be a Foreign Lender if it were a Lender shall not be entitled to the benefits of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unless Toro is notified of the participation sold to such Participant and such Participant agrees, for the benefit of the Borrowers, to comply with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as though it were a Lender.</w:t>
      </w:r>
    </w:p>
    <w:p>
      <w:pPr>
        <w:spacing w:after="0" w:line="18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(f) </w:t>
      </w: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8"/>
          <w:szCs w:val="18"/>
          <w:u w:val="single" w:color="auto"/>
          <w:color w:val="auto"/>
        </w:rPr>
        <w:t>Resignation as L/C Issuer or Swing Line Lender after Assignment</w:t>
      </w:r>
      <w:r>
        <w:rPr>
          <w:rFonts w:ascii="Arial" w:cs="Arial" w:eastAsia="Arial" w:hAnsi="Arial"/>
          <w:sz w:val="18"/>
          <w:szCs w:val="18"/>
          <w:color w:val="auto"/>
        </w:rPr>
        <w:t>.  Notwithstanding anything to the contrary</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contained herein, if at any time Bank of America assigns all of its Commitment and Loans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Bank of America may, (i) upon 30 days’ notice to Toro and the Lenders, resign as L/C Issuer and/or (ii) upon 30 days’ notice to Toro, resign as Swing Line Lender. In the event of any such resignation as L/C Issuer or Swing Line Lender, Toro shall be entitled to appoint from among the Lenders a successor L/C Issuer or Swing 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failure by Toro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 whereupon such substitute letters of credit or other arrangements shall be deemed to be, and the Letters of Credit issued by the retiring L/C Issuer shall cease to be Letters of Credit hereunder.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9" w:name="page130"/>
    <w:bookmarkEnd w:id="129"/>
    <w:p>
      <w:pPr>
        <w:jc w:val="both"/>
        <w:ind w:firstLine="864"/>
        <w:spacing w:after="0" w:line="269" w:lineRule="auto"/>
        <w:rPr>
          <w:sz w:val="20"/>
          <w:szCs w:val="20"/>
          <w:color w:val="auto"/>
        </w:rPr>
      </w:pPr>
      <w:r>
        <w:rPr>
          <w:rFonts w:ascii="Arial" w:cs="Arial" w:eastAsia="Arial" w:hAnsi="Arial"/>
          <w:sz w:val="18"/>
          <w:szCs w:val="18"/>
          <w:b w:val="1"/>
          <w:bCs w:val="1"/>
          <w:color w:val="auto"/>
        </w:rPr>
        <w:t>11.07 Treatment of Certain Information; Confidentiality</w:t>
      </w:r>
      <w:r>
        <w:rPr>
          <w:rFonts w:ascii="Arial" w:cs="Arial" w:eastAsia="Arial" w:hAnsi="Arial"/>
          <w:sz w:val="19"/>
          <w:szCs w:val="19"/>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Administrative Agent, the Lenders and the L/C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Issuer agrees to maintain the confidentiality of the Information (as defined below), except that Information may be disclosed (a) to its Affiliates, its auditors and to its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(ii) any actual or prospective counterparty (or its advisors) to any swap or derivative transaction relating to a Borrower and its obligations, (g) on a confidential basis to (i) any rating agency in connection with rating Toro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Toro or (i) to the extent such Information (x) becomes publicly available other than as a result of a breach of this Section or (y) becomes available to the Administrative Agent, any Lender, the L/C Issuer or any of their respective Affiliates on a nonconfidential basis from a source other than any Borrower.</w:t>
      </w:r>
    </w:p>
    <w:p>
      <w:pPr>
        <w:spacing w:after="0" w:line="17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For purposes of this Section, “</w:t>
      </w:r>
      <w:r>
        <w:rPr>
          <w:rFonts w:ascii="Arial" w:cs="Arial" w:eastAsia="Arial" w:hAnsi="Arial"/>
          <w:sz w:val="20"/>
          <w:szCs w:val="20"/>
          <w:u w:val="single" w:color="auto"/>
          <w:color w:val="auto"/>
        </w:rPr>
        <w:t>Information</w:t>
      </w:r>
      <w:r>
        <w:rPr>
          <w:rFonts w:ascii="Arial" w:cs="Arial" w:eastAsia="Arial" w:hAnsi="Arial"/>
          <w:sz w:val="20"/>
          <w:szCs w:val="20"/>
          <w:color w:val="auto"/>
        </w:rPr>
        <w:t>” means all information received from any Borrower or any Subsidiary relating to any Borrower or any Subsidiary or any of their respective businesses, other than any such information that is available to the Administrative Agent, any Lender or the L/C Issuer on a nonconfidential basis prior to disclosure by any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Each of the Administrative Agent, the Lenders and the L/C Issuer acknowledges that (a) the Information may include material non-public information concerning any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11.08 Right of Setoff. </w:t>
      </w:r>
      <w:r>
        <w:rPr>
          <w:rFonts w:ascii="Arial" w:cs="Arial" w:eastAsia="Arial" w:hAnsi="Arial"/>
          <w:sz w:val="18"/>
          <w:szCs w:val="18"/>
          <w:color w:val="auto"/>
        </w:rPr>
        <w:t>If an Event of Default shall have occurred and be continuing, each Lender, the L/C Issuer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or any other Loan Party against any and all of the obligations of such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or such Loan Party may be contingent or unmatured or are owed to a branch or office of such Lender or the L/C Issuer different from the branch or office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0" w:name="page131"/>
    <w:bookmarkEnd w:id="130"/>
    <w:p>
      <w:pPr>
        <w:jc w:val="both"/>
        <w:spacing w:after="0" w:line="257" w:lineRule="auto"/>
        <w:rPr>
          <w:sz w:val="20"/>
          <w:szCs w:val="20"/>
          <w:color w:val="auto"/>
        </w:rPr>
      </w:pPr>
      <w:r>
        <w:rPr>
          <w:rFonts w:ascii="Arial" w:cs="Arial" w:eastAsia="Arial" w:hAnsi="Arial"/>
          <w:sz w:val="19"/>
          <w:szCs w:val="19"/>
          <w:color w:val="auto"/>
        </w:rPr>
        <w:t xml:space="preserve">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Toro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79"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b w:val="1"/>
          <w:bCs w:val="1"/>
          <w:color w:val="auto"/>
        </w:rPr>
        <w:t xml:space="preserve">11.09 Interest Rate Limitation. </w:t>
      </w:r>
      <w:r>
        <w:rPr>
          <w:rFonts w:ascii="Arial" w:cs="Arial" w:eastAsia="Arial" w:hAnsi="Arial"/>
          <w:sz w:val="18"/>
          <w:szCs w:val="18"/>
          <w:color w:val="auto"/>
        </w:rPr>
        <w:t>Notwithstanding anything to the contrary contained in any Loan Document, the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paid or agreed to be 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b w:val="1"/>
          <w:bCs w:val="1"/>
          <w:color w:val="auto"/>
        </w:rPr>
        <w:t xml:space="preserve">11.10 Integration; Effectiveness. </w:t>
      </w:r>
      <w:r>
        <w:rPr>
          <w:rFonts w:ascii="Arial" w:cs="Arial" w:eastAsia="Arial" w:hAnsi="Arial"/>
          <w:sz w:val="20"/>
          <w:szCs w:val="20"/>
          <w:color w:val="auto"/>
        </w:rPr>
        <w:t>This Agreement, the other Loan Documents, and any separate letter agreements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0"/>
          <w:szCs w:val="20"/>
          <w:u w:val="single" w:color="auto"/>
          <w:color w:val="auto"/>
        </w:rPr>
        <w:t>Section 4.01</w:t>
      </w:r>
      <w:r>
        <w:rPr>
          <w:rFonts w:ascii="Arial" w:cs="Arial" w:eastAsia="Arial" w:hAnsi="Arial"/>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8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b w:val="1"/>
          <w:bCs w:val="1"/>
          <w:color w:val="auto"/>
        </w:rPr>
        <w:t xml:space="preserve">11.11 Survival of Representations and Warranties. </w:t>
      </w:r>
      <w:r>
        <w:rPr>
          <w:rFonts w:ascii="Arial" w:cs="Arial" w:eastAsia="Arial" w:hAnsi="Arial"/>
          <w:sz w:val="20"/>
          <w:szCs w:val="20"/>
          <w:color w:val="auto"/>
        </w:rPr>
        <w:t>All representations and warranties made hereunder and in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6"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b w:val="1"/>
          <w:bCs w:val="1"/>
          <w:color w:val="auto"/>
        </w:rPr>
        <w:t xml:space="preserve">11.12 Severability. </w:t>
      </w:r>
      <w:r>
        <w:rPr>
          <w:rFonts w:ascii="Arial" w:cs="Arial" w:eastAsia="Arial" w:hAnsi="Arial"/>
          <w:sz w:val="18"/>
          <w:szCs w:val="18"/>
          <w:color w:val="auto"/>
        </w:rPr>
        <w:t>If any provision of this Agreement or the other Loan Documents is held to be illegal,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1" w:name="page132"/>
    <w:bookmarkEnd w:id="131"/>
    <w:p>
      <w:pPr>
        <w:spacing w:after="0" w:line="260" w:lineRule="auto"/>
        <w:rPr>
          <w:sz w:val="20"/>
          <w:szCs w:val="20"/>
          <w:color w:val="auto"/>
        </w:rPr>
      </w:pPr>
      <w:r>
        <w:rPr>
          <w:rFonts w:ascii="Arial" w:cs="Arial" w:eastAsia="Arial" w:hAnsi="Arial"/>
          <w:sz w:val="20"/>
          <w:szCs w:val="20"/>
          <w:color w:val="auto"/>
        </w:rPr>
        <w:t>Administrative Agent, the L/C Issuer or the Swing Line Lender, as applicable, then such provisions shall be deemed to be in effect only to the extent not so limited.</w:t>
      </w:r>
    </w:p>
    <w:p>
      <w:pPr>
        <w:spacing w:after="0" w:line="171"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19"/>
          <w:szCs w:val="19"/>
          <w:b w:val="1"/>
          <w:bCs w:val="1"/>
          <w:color w:val="auto"/>
        </w:rPr>
        <w:t xml:space="preserve">11.13 Replacement of Lenders. </w:t>
      </w:r>
      <w:r>
        <w:rPr>
          <w:rFonts w:ascii="Arial" w:cs="Arial" w:eastAsia="Arial" w:hAnsi="Arial"/>
          <w:sz w:val="19"/>
          <w:szCs w:val="19"/>
          <w:color w:val="auto"/>
        </w:rPr>
        <w:t>If (i) any Lender requests compensation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3.04</w:t>
      </w:r>
      <w:r>
        <w:rPr>
          <w:rFonts w:ascii="Arial" w:cs="Arial" w:eastAsia="Arial" w:hAnsi="Arial"/>
          <w:sz w:val="19"/>
          <w:szCs w:val="19"/>
          <w:color w:val="auto"/>
        </w:rPr>
        <w:t>, (ii) any Borrower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w:t>
      </w:r>
    </w:p>
    <w:p>
      <w:pPr>
        <w:jc w:val="both"/>
        <w:ind w:firstLine="8"/>
        <w:spacing w:after="0"/>
        <w:tabs>
          <w:tab w:leader="none" w:pos="34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any Lender is a Non-Consenting Lender (as defined below), or (iv) any Lender is a Defaulting Lender, then Toro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3"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(a)</w:t>
            </w:r>
          </w:p>
        </w:tc>
        <w:tc>
          <w:tcPr>
            <w:tcW w:w="9480" w:type="dxa"/>
            <w:vAlign w:val="bottom"/>
            <w:gridSpan w:val="3"/>
          </w:tcPr>
          <w:p>
            <w:pPr>
              <w:ind w:left="640"/>
              <w:spacing w:after="0"/>
              <w:rPr>
                <w:sz w:val="20"/>
                <w:szCs w:val="20"/>
                <w:color w:val="auto"/>
              </w:rPr>
            </w:pPr>
            <w:r>
              <w:rPr>
                <w:rFonts w:ascii="Arial" w:cs="Arial" w:eastAsia="Arial" w:hAnsi="Arial"/>
                <w:sz w:val="20"/>
                <w:szCs w:val="20"/>
                <w:color w:val="auto"/>
                <w:w w:val="93"/>
              </w:rPr>
              <w:t>the Borrowers shall have paid to the Administrative Agent the assignment fee specified in Section 11.06(b);</w:t>
            </w:r>
          </w:p>
        </w:tc>
      </w:tr>
      <w:tr>
        <w:trPr>
          <w:trHeight w:val="20"/>
        </w:trPr>
        <w:tc>
          <w:tcPr>
            <w:tcW w:w="8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5"/>
        </w:trPr>
        <w:tc>
          <w:tcPr>
            <w:tcW w:w="860" w:type="dxa"/>
            <w:vAlign w:val="bottom"/>
          </w:tcPr>
          <w:p>
            <w:pPr>
              <w:spacing w:after="0"/>
              <w:rPr>
                <w:sz w:val="20"/>
                <w:szCs w:val="20"/>
                <w:color w:val="auto"/>
              </w:rPr>
            </w:pPr>
            <w:r>
              <w:rPr>
                <w:rFonts w:ascii="Arial" w:cs="Arial" w:eastAsia="Arial" w:hAnsi="Arial"/>
                <w:sz w:val="20"/>
                <w:szCs w:val="20"/>
                <w:color w:val="auto"/>
              </w:rPr>
              <w:t>(b)</w:t>
            </w:r>
          </w:p>
        </w:tc>
        <w:tc>
          <w:tcPr>
            <w:tcW w:w="9480" w:type="dxa"/>
            <w:vAlign w:val="bottom"/>
            <w:gridSpan w:val="3"/>
          </w:tcPr>
          <w:p>
            <w:pPr>
              <w:ind w:left="660"/>
              <w:spacing w:after="0"/>
              <w:rPr>
                <w:sz w:val="20"/>
                <w:szCs w:val="20"/>
                <w:color w:val="auto"/>
              </w:rPr>
            </w:pPr>
            <w:r>
              <w:rPr>
                <w:rFonts w:ascii="Arial" w:cs="Arial" w:eastAsia="Arial" w:hAnsi="Arial"/>
                <w:sz w:val="20"/>
                <w:szCs w:val="20"/>
                <w:color w:val="auto"/>
                <w:w w:val="90"/>
              </w:rPr>
              <w:t>such Lender shall have received payment of an amount equal to the outstanding principal of its Loans and L/C</w:t>
            </w:r>
          </w:p>
        </w:tc>
      </w:tr>
    </w:tbl>
    <w:p>
      <w:pPr>
        <w:jc w:val="both"/>
        <w:ind w:right="20"/>
        <w:spacing w:after="0" w:line="241" w:lineRule="auto"/>
        <w:rPr>
          <w:sz w:val="20"/>
          <w:szCs w:val="20"/>
          <w:color w:val="auto"/>
        </w:rPr>
      </w:pPr>
      <w:r>
        <w:rPr>
          <w:rFonts w:ascii="Arial" w:cs="Arial" w:eastAsia="Arial" w:hAnsi="Arial"/>
          <w:sz w:val="20"/>
          <w:szCs w:val="20"/>
          <w:color w:val="auto"/>
        </w:rPr>
        <w:t xml:space="preserve">Advances,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Borrowers (in the case of all other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ind w:left="880"/>
              <w:spacing w:after="0"/>
              <w:rPr>
                <w:sz w:val="20"/>
                <w:szCs w:val="20"/>
                <w:color w:val="auto"/>
              </w:rPr>
            </w:pPr>
            <w:r>
              <w:rPr>
                <w:rFonts w:ascii="Arial" w:cs="Arial" w:eastAsia="Arial" w:hAnsi="Arial"/>
                <w:sz w:val="20"/>
                <w:szCs w:val="20"/>
                <w:color w:val="auto"/>
              </w:rPr>
              <w:t>(c)</w:t>
            </w:r>
          </w:p>
        </w:tc>
        <w:tc>
          <w:tcPr>
            <w:tcW w:w="9500" w:type="dxa"/>
            <w:vAlign w:val="bottom"/>
            <w:gridSpan w:val="5"/>
          </w:tcPr>
          <w:p>
            <w:pPr>
              <w:ind w:left="640"/>
              <w:spacing w:after="0"/>
              <w:rPr>
                <w:sz w:val="20"/>
                <w:szCs w:val="20"/>
                <w:color w:val="auto"/>
              </w:rPr>
            </w:pPr>
            <w:r>
              <w:rPr>
                <w:rFonts w:ascii="Arial" w:cs="Arial" w:eastAsia="Arial" w:hAnsi="Arial"/>
                <w:sz w:val="20"/>
                <w:szCs w:val="20"/>
                <w:color w:val="auto"/>
                <w:w w:val="92"/>
              </w:rPr>
              <w:t>in the case of any such assignment resulting from a claim for compensation under Section 3.04 or payments</w:t>
            </w:r>
          </w:p>
        </w:tc>
      </w:tr>
      <w:tr>
        <w:trPr>
          <w:trHeight w:val="20"/>
        </w:trPr>
        <w:tc>
          <w:tcPr>
            <w:tcW w:w="25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11240" w:type="dxa"/>
            <w:vAlign w:val="bottom"/>
            <w:gridSpan w:val="6"/>
          </w:tcPr>
          <w:p>
            <w:pPr>
              <w:spacing w:after="0" w:line="209" w:lineRule="exact"/>
              <w:rPr>
                <w:sz w:val="20"/>
                <w:szCs w:val="20"/>
                <w:color w:val="auto"/>
              </w:rPr>
            </w:pPr>
            <w:r>
              <w:rPr>
                <w:rFonts w:ascii="Arial" w:cs="Arial" w:eastAsia="Arial" w:hAnsi="Arial"/>
                <w:sz w:val="20"/>
                <w:szCs w:val="20"/>
                <w:color w:val="auto"/>
                <w:w w:val="94"/>
              </w:rPr>
              <w:t>required to be made pursuant to Section 3.01, such assignment will result in a reduction in such compensation or payments thereafter;</w:t>
            </w:r>
          </w:p>
        </w:tc>
      </w:tr>
      <w:tr>
        <w:trPr>
          <w:trHeight w:val="20"/>
        </w:trPr>
        <w:tc>
          <w:tcPr>
            <w:tcW w:w="1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r>
      <w:tr>
        <w:trPr>
          <w:trHeight w:val="470"/>
        </w:trPr>
        <w:tc>
          <w:tcPr>
            <w:tcW w:w="1740" w:type="dxa"/>
            <w:vAlign w:val="bottom"/>
          </w:tcPr>
          <w:p>
            <w:pPr>
              <w:ind w:left="880"/>
              <w:spacing w:after="0"/>
              <w:rPr>
                <w:sz w:val="20"/>
                <w:szCs w:val="20"/>
                <w:color w:val="auto"/>
              </w:rPr>
            </w:pPr>
            <w:r>
              <w:rPr>
                <w:rFonts w:ascii="Arial" w:cs="Arial" w:eastAsia="Arial" w:hAnsi="Arial"/>
                <w:sz w:val="20"/>
                <w:szCs w:val="20"/>
                <w:color w:val="auto"/>
              </w:rPr>
              <w:t>(d)</w:t>
            </w:r>
          </w:p>
        </w:tc>
        <w:tc>
          <w:tcPr>
            <w:tcW w:w="9500" w:type="dxa"/>
            <w:vAlign w:val="bottom"/>
            <w:gridSpan w:val="5"/>
          </w:tcPr>
          <w:p>
            <w:pPr>
              <w:ind w:left="660"/>
              <w:spacing w:after="0"/>
              <w:rPr>
                <w:sz w:val="20"/>
                <w:szCs w:val="20"/>
                <w:color w:val="auto"/>
              </w:rPr>
            </w:pPr>
            <w:r>
              <w:rPr>
                <w:rFonts w:ascii="Arial" w:cs="Arial" w:eastAsia="Arial" w:hAnsi="Arial"/>
                <w:sz w:val="20"/>
                <w:szCs w:val="20"/>
                <w:color w:val="auto"/>
              </w:rPr>
              <w:t>such assignment does not conflict with Applicable Laws; and</w:t>
            </w:r>
          </w:p>
        </w:tc>
      </w:tr>
      <w:tr>
        <w:trPr>
          <w:trHeight w:val="441"/>
        </w:trPr>
        <w:tc>
          <w:tcPr>
            <w:tcW w:w="1740" w:type="dxa"/>
            <w:vAlign w:val="bottom"/>
          </w:tcPr>
          <w:p>
            <w:pPr>
              <w:ind w:left="880"/>
              <w:spacing w:after="0"/>
              <w:rPr>
                <w:sz w:val="20"/>
                <w:szCs w:val="20"/>
                <w:color w:val="auto"/>
              </w:rPr>
            </w:pPr>
            <w:r>
              <w:rPr>
                <w:rFonts w:ascii="Arial" w:cs="Arial" w:eastAsia="Arial" w:hAnsi="Arial"/>
                <w:sz w:val="20"/>
                <w:szCs w:val="20"/>
                <w:color w:val="auto"/>
              </w:rPr>
              <w:t>(e)</w:t>
            </w:r>
          </w:p>
        </w:tc>
        <w:tc>
          <w:tcPr>
            <w:tcW w:w="9500" w:type="dxa"/>
            <w:vAlign w:val="bottom"/>
            <w:gridSpan w:val="5"/>
          </w:tcPr>
          <w:p>
            <w:pPr>
              <w:ind w:left="640"/>
              <w:spacing w:after="0"/>
              <w:rPr>
                <w:sz w:val="20"/>
                <w:szCs w:val="20"/>
                <w:color w:val="auto"/>
              </w:rPr>
            </w:pPr>
            <w:r>
              <w:rPr>
                <w:rFonts w:ascii="Arial" w:cs="Arial" w:eastAsia="Arial" w:hAnsi="Arial"/>
                <w:sz w:val="20"/>
                <w:szCs w:val="20"/>
                <w:color w:val="auto"/>
                <w:w w:val="95"/>
              </w:rPr>
              <w:t>in the case of an assignment resulting from a Lender becoming a Non-Consenting Lender, the applicable</w:t>
            </w:r>
          </w:p>
        </w:tc>
      </w:tr>
    </w:tbl>
    <w:p>
      <w:pPr>
        <w:spacing w:after="0"/>
        <w:rPr>
          <w:sz w:val="20"/>
          <w:szCs w:val="20"/>
          <w:color w:val="auto"/>
        </w:rPr>
      </w:pPr>
      <w:r>
        <w:rPr>
          <w:rFonts w:ascii="Arial" w:cs="Arial" w:eastAsia="Arial" w:hAnsi="Arial"/>
          <w:sz w:val="20"/>
          <w:szCs w:val="20"/>
          <w:color w:val="auto"/>
        </w:rPr>
        <w:t>assignee shall have consented to the applicable amendment, waiver or consent.</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Toro to require such assignment and delegation cease to apply.</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For the purposes of this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a “Non-Consenting Lender” means a Lender that fails to approve an amendment, waiver or consent requested by Toro that (a) requires the approval of all Lenders or all affected Lenders in accordance with the terms of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and (b) has been approved by the Required Lenders.</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1500" w:type="dxa"/>
            <w:vAlign w:val="bottom"/>
          </w:tcPr>
          <w:p>
            <w:pPr>
              <w:spacing w:after="0"/>
              <w:rPr>
                <w:sz w:val="20"/>
                <w:szCs w:val="20"/>
                <w:color w:val="auto"/>
              </w:rPr>
            </w:pPr>
            <w:r>
              <w:rPr>
                <w:rFonts w:ascii="Arial" w:cs="Arial" w:eastAsia="Arial" w:hAnsi="Arial"/>
                <w:sz w:val="20"/>
                <w:szCs w:val="20"/>
                <w:b w:val="1"/>
                <w:bCs w:val="1"/>
                <w:color w:val="auto"/>
              </w:rPr>
              <w:t>11.14</w:t>
            </w:r>
          </w:p>
        </w:tc>
        <w:tc>
          <w:tcPr>
            <w:tcW w:w="8860" w:type="dxa"/>
            <w:vAlign w:val="bottom"/>
            <w:gridSpan w:val="2"/>
          </w:tcPr>
          <w:p>
            <w:pPr>
              <w:ind w:left="220"/>
              <w:spacing w:after="0"/>
              <w:rPr>
                <w:sz w:val="20"/>
                <w:szCs w:val="20"/>
                <w:color w:val="auto"/>
              </w:rPr>
            </w:pPr>
            <w:r>
              <w:rPr>
                <w:rFonts w:ascii="Arial" w:cs="Arial" w:eastAsia="Arial" w:hAnsi="Arial"/>
                <w:sz w:val="20"/>
                <w:szCs w:val="20"/>
                <w:b w:val="1"/>
                <w:bCs w:val="1"/>
                <w:color w:val="auto"/>
              </w:rPr>
              <w:t>Governing Law; Jurisdiction; Etc.</w:t>
            </w:r>
          </w:p>
        </w:tc>
      </w:tr>
      <w:tr>
        <w:trPr>
          <w:trHeight w:val="401"/>
        </w:trPr>
        <w:tc>
          <w:tcPr>
            <w:tcW w:w="1500" w:type="dxa"/>
            <w:vAlign w:val="bottom"/>
          </w:tcPr>
          <w:p>
            <w:pPr>
              <w:spacing w:after="0"/>
              <w:rPr>
                <w:sz w:val="20"/>
                <w:szCs w:val="20"/>
                <w:color w:val="auto"/>
              </w:rPr>
            </w:pPr>
            <w:r>
              <w:rPr>
                <w:rFonts w:ascii="Arial" w:cs="Arial" w:eastAsia="Arial" w:hAnsi="Arial"/>
                <w:sz w:val="20"/>
                <w:szCs w:val="20"/>
                <w:color w:val="auto"/>
              </w:rPr>
              <w:t>(a)</w:t>
            </w:r>
          </w:p>
        </w:tc>
        <w:tc>
          <w:tcPr>
            <w:tcW w:w="8860" w:type="dxa"/>
            <w:vAlign w:val="bottom"/>
            <w:gridSpan w:val="2"/>
          </w:tcPr>
          <w:p>
            <w:pPr>
              <w:spacing w:after="0"/>
              <w:rPr>
                <w:sz w:val="20"/>
                <w:szCs w:val="20"/>
                <w:color w:val="auto"/>
              </w:rPr>
            </w:pPr>
            <w:r>
              <w:rPr>
                <w:rFonts w:ascii="Arial" w:cs="Arial" w:eastAsia="Arial" w:hAnsi="Arial"/>
                <w:sz w:val="20"/>
                <w:szCs w:val="20"/>
                <w:color w:val="auto"/>
                <w:w w:val="97"/>
              </w:rPr>
              <w:t>GOVERNING LAW. THIS AGREEMENT AND THE OTHER LOAN DOCUMENTS AND ANY CLAIMS,</w:t>
            </w:r>
          </w:p>
        </w:tc>
      </w:tr>
      <w:tr>
        <w:trPr>
          <w:trHeight w:val="20"/>
        </w:trPr>
        <w:tc>
          <w:tcPr>
            <w:tcW w:w="15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2" w:name="page133"/>
    <w:bookmarkEnd w:id="132"/>
    <w:p>
      <w:pPr>
        <w:jc w:val="both"/>
        <w:ind w:firstLine="864"/>
        <w:spacing w:after="0" w:line="254"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ANY OTHER LOAN PARTY OR ITS PROPERTIES IN THE COURTS OF ANY JURISDICTION.</w:t>
      </w:r>
    </w:p>
    <w:p>
      <w:pPr>
        <w:spacing w:after="0" w:line="18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WAIVER OF VENUE</w:t>
      </w:r>
      <w:r>
        <w:rPr>
          <w:rFonts w:ascii="Arial" w:cs="Arial" w:eastAsia="Arial" w:hAnsi="Arial"/>
          <w:sz w:val="20"/>
          <w:szCs w:val="20"/>
          <w:color w:val="auto"/>
        </w:rPr>
        <w:t xml:space="preserve">.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11.02</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180"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 xml:space="preserve">11.15 Waiver of Jury Trial. </w:t>
      </w:r>
      <w:r>
        <w:rPr>
          <w:rFonts w:ascii="Arial" w:cs="Arial" w:eastAsia="Arial" w:hAnsi="Arial"/>
          <w:sz w:val="19"/>
          <w:szCs w:val="19"/>
          <w:color w:val="auto"/>
        </w:rPr>
        <w:t>EACH PARTY HERETO HEREBY IRREVOCABLY WAIVES, TO THE FULLEST</w:t>
      </w:r>
      <w:r>
        <w:rPr>
          <w:rFonts w:ascii="Arial" w:cs="Arial" w:eastAsia="Arial" w:hAnsi="Arial"/>
          <w:sz w:val="19"/>
          <w:szCs w:val="19"/>
          <w:b w:val="1"/>
          <w:bCs w:val="1"/>
          <w:color w:val="auto"/>
        </w:rPr>
        <w:t xml:space="preserve"> </w:t>
      </w:r>
      <w:r>
        <w:rPr>
          <w:rFonts w:ascii="Arial" w:cs="Arial" w:eastAsia="Arial" w:hAnsi="Arial"/>
          <w:sz w:val="19"/>
          <w:szCs w:val="19"/>
          <w:color w:val="auto"/>
        </w:rPr>
        <w:t>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3" w:name="page134"/>
    <w:bookmarkEnd w:id="133"/>
    <w:p>
      <w:pPr>
        <w:jc w:val="both"/>
        <w:ind w:firstLine="864"/>
        <w:spacing w:after="0" w:line="244" w:lineRule="auto"/>
        <w:rPr>
          <w:sz w:val="20"/>
          <w:szCs w:val="20"/>
          <w:color w:val="auto"/>
        </w:rPr>
      </w:pPr>
      <w:r>
        <w:rPr>
          <w:rFonts w:ascii="Arial" w:cs="Arial" w:eastAsia="Arial" w:hAnsi="Arial"/>
          <w:sz w:val="20"/>
          <w:szCs w:val="20"/>
          <w:b w:val="1"/>
          <w:bCs w:val="1"/>
          <w:color w:val="auto"/>
        </w:rPr>
        <w:t xml:space="preserve">11.16 USA PATRIOT Act Notice. </w:t>
      </w:r>
      <w:r>
        <w:rPr>
          <w:rFonts w:ascii="Arial" w:cs="Arial" w:eastAsia="Arial" w:hAnsi="Arial"/>
          <w:sz w:val="20"/>
          <w:szCs w:val="20"/>
          <w:color w:val="auto"/>
        </w:rPr>
        <w:t>Each Lender that is subject to the Act and the Administrative Agent (for itself and not</w:t>
      </w:r>
      <w:r>
        <w:rPr>
          <w:rFonts w:ascii="Arial" w:cs="Arial" w:eastAsia="Arial" w:hAnsi="Arial"/>
          <w:sz w:val="20"/>
          <w:szCs w:val="20"/>
          <w:b w:val="1"/>
          <w:bCs w:val="1"/>
          <w:color w:val="auto"/>
        </w:rPr>
        <w:t xml:space="preserve"> </w:t>
      </w:r>
      <w:r>
        <w:rPr>
          <w:rFonts w:ascii="Arial" w:cs="Arial" w:eastAsia="Arial" w:hAnsi="Arial"/>
          <w:sz w:val="20"/>
          <w:szCs w:val="20"/>
          <w:color w:val="auto"/>
        </w:rPr>
        <w:t>on behalf of any Lender) hereby notifies the Borrowers that pursuant to the requirements of the Act,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11.17</w:t>
      </w:r>
      <w:r>
        <w:rPr>
          <w:sz w:val="20"/>
          <w:szCs w:val="20"/>
          <w:color w:val="auto"/>
        </w:rPr>
        <w:tab/>
      </w:r>
      <w:r>
        <w:rPr>
          <w:rFonts w:ascii="Arial" w:cs="Arial" w:eastAsia="Arial" w:hAnsi="Arial"/>
          <w:sz w:val="18"/>
          <w:szCs w:val="18"/>
          <w:b w:val="1"/>
          <w:bCs w:val="1"/>
          <w:color w:val="auto"/>
        </w:rPr>
        <w:t>Liability of the Borrowers.</w:t>
      </w:r>
    </w:p>
    <w:p>
      <w:pPr>
        <w:spacing w:after="0" w:line="2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(a) To the extent TCC becomes a Borrower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all obligations of Toro and TCC or either one of them under this Agreement and the other Loan Documents to which they are a party, shall be joint and several obligations of Toro and TCC (each of the foregoing, a “</w:t>
      </w:r>
      <w:r>
        <w:rPr>
          <w:rFonts w:ascii="Arial" w:cs="Arial" w:eastAsia="Arial" w:hAnsi="Arial"/>
          <w:sz w:val="19"/>
          <w:szCs w:val="19"/>
          <w:u w:val="single" w:color="auto"/>
          <w:color w:val="auto"/>
        </w:rPr>
        <w:t>Joint Borrower</w:t>
      </w:r>
      <w:r>
        <w:rPr>
          <w:rFonts w:ascii="Arial" w:cs="Arial" w:eastAsia="Arial" w:hAnsi="Arial"/>
          <w:sz w:val="19"/>
          <w:szCs w:val="19"/>
          <w:color w:val="auto"/>
        </w:rPr>
        <w:t xml:space="preserve">”). Only Toro shall be liable as a guarantor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hereof for the obligations of the Subsidiary Borrowers under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hereof. All obligations of the Subsidiary Borrowers (other than TCC) under this Agreement and all of the other Loan Documents shall be several and not joint, the result of which shall be that each such Subsidiary Borrower is obligated to repay only those Loans made by the Lenders to such Subsidiary Borrower and interest, fees, expenses and other obligations owing by such Subsidiary Borrower in connection with such Loans; and no Subsidiary Borrower (other than TCC) shall be liable, jointly with the Borrowers or otherwise, in respect of any Credit Extensions made to, or on behalf of, the Borrowers, or any interest, costs, fees, expenses, taxes, and indemnities related to such Credit Extensions.</w:t>
      </w:r>
    </w:p>
    <w:p>
      <w:pPr>
        <w:spacing w:after="0" w:line="18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 xml:space="preserve">(b) To the extent TCC becomes a Borrower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each Joint Borrower agrees that no Lender shall have any responsibility to inquire into the apportionment, allocation or disposition of the proceeds of any Credit Extension as among the Joint Borrowers, and acknowledges that its liability hereunder shall not be reduced or diminished by the identity of the Joint Borrower giving or receiving of notices and other communications, making requests for, or effecting conversions or continuations of, Loans or Letters of Credit, executing and delivering certificates, or receiving or allocating disbursements from the Lenders. Each Joint Borrower acknowledges that the handling of this credit facility on a joint borrowing basis as set forth in this Agreement is solely an accommodation to Joint Borrowers and is done at their request. Each Joint Borrower agrees that no Lender shall incur any liability to any Joint Borrower as a result thereof. Each Joint Borrower represents and warrants to the Lenders that the request for joint handling of the Loans, L/C Obligations and other Obligations made hereunder was made because the Joint Borrowers are engaged in related operations and are interdependent. Each Joint Borrower expects to derive benefit, directly or indirectly, from such availability because the successful operation of Joint Borrowers is dependent on the continued successful performance of the functions of the group.</w:t>
      </w:r>
    </w:p>
    <w:p>
      <w:pPr>
        <w:spacing w:after="0" w:line="18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(c) Each Borrower (including each Subsidiary Borrower) irrevocably appoints Toro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Borrower hereunder. Any acknowledgment, consent, direction, certification or other action which might otherwise be valid or effective only if given or taken by all Borrowers, or by each Borrower acting singly, shall be valid and effective if given or taken only by Toro, whether or not any such other Borrower joins therein. Any notice, demand, consent, acknowledgement, direction, certification or other communication delivered to Toro in accordance with the terms of this Agreement or any other Loan Document shall be deemed to have been delivered to each Borrower.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jc w:val="both"/>
        <w:ind w:firstLine="864"/>
        <w:spacing w:after="0" w:line="270" w:lineRule="auto"/>
        <w:rPr>
          <w:sz w:val="20"/>
          <w:szCs w:val="20"/>
          <w:color w:val="auto"/>
        </w:rPr>
      </w:pPr>
      <w:r>
        <w:rPr>
          <w:rFonts w:ascii="Arial" w:cs="Arial" w:eastAsia="Arial" w:hAnsi="Arial"/>
          <w:sz w:val="18"/>
          <w:szCs w:val="18"/>
          <w:b w:val="1"/>
          <w:bCs w:val="1"/>
          <w:color w:val="auto"/>
        </w:rPr>
        <w:t xml:space="preserve">11.18 Judgment Currency. </w:t>
      </w:r>
      <w:r>
        <w:rPr>
          <w:rFonts w:ascii="Arial" w:cs="Arial" w:eastAsia="Arial" w:hAnsi="Arial"/>
          <w:sz w:val="18"/>
          <w:szCs w:val="18"/>
          <w:color w:val="auto"/>
        </w:rPr>
        <w:t>If, for the purposes of obtaining judgment in any court, it is necessary to convert a sum due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the L/C Issuer or any Lender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the L/C Issuer or such Lender, as the case may be, of any sum adjudged to be so due in the Judgment Currency, the Administrative Agent, the L/C Issuer or such Lender, as the case may be, may in accordance with normal banking procedures purchase the Agreement Currency with the Judgment Currency. If the amount of the Agreement Currency so purchased is less than the sum originally due to the Administrative Agent, the L/C Issuer or any Lender from any Borrower in the Agreement Currency, such Borrower agrees, as a separate obligation and notwithstanding any such judgment, to indemnify the Administrative Agent, the L/C Issuer or such Lender, as the case may be, against such loss. If the amount of the Agreement Currency so purchased is greater than the sum originally due to the Administrative Agent, the L/C Issuer or any Lender in such currency, the Administrative Agent, the L/C Issuer or such Lender, as the case may be, agrees to return the amount of any excess to such Borrower (or to any other Person who may be entitled thereto under Applicable Law).</w:t>
      </w:r>
    </w:p>
    <w:p>
      <w:pPr>
        <w:spacing w:after="0" w:line="166"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b w:val="1"/>
          <w:bCs w:val="1"/>
          <w:color w:val="auto"/>
        </w:rPr>
        <w:t xml:space="preserve">11.19 Automatic Debits of Principal, Interest, Fees. </w:t>
      </w:r>
      <w:r>
        <w:rPr>
          <w:rFonts w:ascii="Arial" w:cs="Arial" w:eastAsia="Arial" w:hAnsi="Arial"/>
          <w:sz w:val="19"/>
          <w:szCs w:val="19"/>
          <w:color w:val="auto"/>
        </w:rPr>
        <w:t>With respect to any principal, any interest, the Facility Fee, any</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 fee, any letter of credit fee or any other fee, or any other cost or expense (including Attorney Costs) due and payable to the Administrative Agent, Bank of America, the Swing Line Lender, the L/C Issuer or any Arranger under the Loan Documents, the Borrowers hereby irrevocably authorize Bank of America to debit any deposit account of any Borrower with Bank of America in an amount such that the aggregate amount debited from all such deposit accounts does not exceed such principal, interest, fee or other cost or expense. If there are insufficient funds in such deposit accounts to cover the amount of the fee or other cost or expense then due, such debits will be reversed (in whole or in part, in Bank of America’s sole discretion) and such amount not debited shall be deemed to be unpaid. No such debit under this Section shall be deemed a set-off.</w:t>
      </w:r>
    </w:p>
    <w:p>
      <w:pPr>
        <w:spacing w:after="0" w:line="17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11.20 Termination of Existing Term Loan Credit Agreement. </w:t>
      </w:r>
      <w:r>
        <w:rPr>
          <w:rFonts w:ascii="Arial" w:cs="Arial" w:eastAsia="Arial" w:hAnsi="Arial"/>
          <w:sz w:val="20"/>
          <w:szCs w:val="20"/>
          <w:color w:val="auto"/>
        </w:rPr>
        <w:t>In connection with the delivery of evidence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termination of the Existing Term Loan Credit Agreement required as a condition to the effectiveness of this Agreement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4.01(a)(x)</w:t>
      </w:r>
      <w:r>
        <w:rPr>
          <w:rFonts w:ascii="Arial" w:cs="Arial" w:eastAsia="Arial" w:hAnsi="Arial"/>
          <w:sz w:val="20"/>
          <w:szCs w:val="20"/>
          <w:color w:val="auto"/>
        </w:rPr>
        <w:t>, each of the Lenders, upon delivery of such evidence, in its capacity as a Lender under the Existing Term Loan Credit Agreement, waives any notice requirement under the Existing Term Loan Credit Agreement with which the Borrowers would otherwise be obligated to comply in order to terminate the Existing Term Loan Credit Agreement.</w:t>
      </w:r>
    </w:p>
    <w:p>
      <w:pPr>
        <w:spacing w:after="0" w:line="18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b w:val="1"/>
          <w:bCs w:val="1"/>
          <w:color w:val="auto"/>
        </w:rPr>
        <w:t xml:space="preserve">11.21 No Advisory or Fiduciary Responsibility. </w:t>
      </w:r>
      <w:r>
        <w:rPr>
          <w:rFonts w:ascii="Arial" w:cs="Arial" w:eastAsia="Arial" w:hAnsi="Arial"/>
          <w:sz w:val="18"/>
          <w:szCs w:val="18"/>
          <w:color w:val="auto"/>
        </w:rPr>
        <w:t>In connection with all aspects of each transaction contemplated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 connection with any amendment, waiver or other modification hereof or of any other Loan Document), each Borrower and each other Loan Party acknowledges and agrees, and acknowledges its Affiliates’ understanding, that: (i) (A) the arranging and other services regarding this Agreement provided by the Administrative Agent and the Arrangers are arm’s-length commercial transactions between such Borrower, each other Loan Party and their respective Affiliates, on the one hand, and the Administrative Agent and the Arrangers on the other hand, (B) each of such Borrower and the other Loan Parties has consulted its own legal, accounting, regulatory and tax advisors to the extent it has deemed appropriate, and (C) such Borrower and each other Loan Party is capable of evaluating, and understands and accepts, the terms, risks and conditions of the transactions contemplated hereby and by the other Loan Documents; (ii)(A) the Administrative Agent and the Arrangers each is and has been acting solely as a principal and, except as expressly agreed in writing by the relevant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5" w:name="page136"/>
    <w:bookmarkEnd w:id="135"/>
    <w:p>
      <w:pPr>
        <w:jc w:val="both"/>
        <w:spacing w:after="0" w:line="255" w:lineRule="auto"/>
        <w:rPr>
          <w:sz w:val="20"/>
          <w:szCs w:val="20"/>
          <w:color w:val="auto"/>
        </w:rPr>
      </w:pPr>
      <w:r>
        <w:rPr>
          <w:rFonts w:ascii="Arial" w:cs="Arial" w:eastAsia="Arial" w:hAnsi="Arial"/>
          <w:sz w:val="19"/>
          <w:szCs w:val="19"/>
          <w:color w:val="auto"/>
        </w:rPr>
        <w:t>parties, has not been, is not, and will not be acting as an advisor, agent or fiduciary for such Borrower, any other Loan Party or any of their respective Affiliates or any other Person and (B) neither the Administrative Agent nor the Arrangers has any obligation to such Borrower, any other Loan Party or any of their respective Affiliates with respect to the transactions contemplated hereby except those obligations expressly set forth herein and in the other Loan Documents; and (iii) the Administrative Agent and the Arrangers and their respective Affiliates may be engaged in a broad range of transactions that involve interests that differ from those of such Borrower, the other Loan Parties and their respective Affiliates, and neither the Administrative Agent nor the Arrangers has any obligation to disclose any of such interests to such Borrower, any other Loan Party or any of their respective Affiliates. To the fullest extent permitted by law, each of the Borrowers and each other Loan Party hereby waives and releases any claims that it may have against the Administrative Agent or any Arranger with respect to any breach or alleged breach of agency or fiduciary duty in connection with any aspect of any transaction contemplated hereby.</w:t>
      </w:r>
    </w:p>
    <w:p>
      <w:pPr>
        <w:spacing w:after="0" w:line="18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b w:val="1"/>
          <w:bCs w:val="1"/>
          <w:color w:val="auto"/>
        </w:rPr>
        <w:t xml:space="preserve">11.22 Electronic Execution of Assignments and Certain Other Documents. </w:t>
      </w:r>
      <w:r>
        <w:rPr>
          <w:rFonts w:ascii="Arial" w:cs="Arial" w:eastAsia="Arial" w:hAnsi="Arial"/>
          <w:sz w:val="18"/>
          <w:szCs w:val="18"/>
          <w:color w:val="auto"/>
        </w:rPr>
        <w:t>This Agreement, any Loan Document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Communication, including Communications required to be in writing, may be in the form of an Electronic Record and may be executed using Electronic Signatures. Each of the Loan Parties and each of the Administrative Agent and each Credit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rFonts w:ascii="Arial" w:cs="Arial" w:eastAsia="Arial" w:hAnsi="Arial"/>
          <w:sz w:val="18"/>
          <w:szCs w:val="18"/>
          <w:u w:val="single" w:color="auto"/>
          <w:color w:val="auto"/>
        </w:rPr>
        <w:t>Electronic Copy</w:t>
      </w:r>
      <w:r>
        <w:rPr>
          <w:rFonts w:ascii="Arial" w:cs="Arial" w:eastAsia="Arial" w:hAnsi="Arial"/>
          <w:sz w:val="18"/>
          <w:szCs w:val="18"/>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the L/C Issuer nor Swing Line Lender is under any obligation to accept an Electronic Signature in any form or in any format unless expressly agreed to by such Person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without limiting the foregoing, (a) to the extent the Administrative Agent, L/C Issuer and/or Swing 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(b) upon the request of the Administrative Agent or any Credit Party, any Electronic Signature shall be promptly followed by such manually executed counterpart.</w:t>
      </w:r>
    </w:p>
    <w:p>
      <w:pPr>
        <w:spacing w:after="0" w:line="18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Neither the Administrative Agent,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6" w:name="page137"/>
    <w:bookmarkEnd w:id="136"/>
    <w:p>
      <w:pPr>
        <w:jc w:val="both"/>
        <w:spacing w:after="0" w:line="260" w:lineRule="auto"/>
        <w:rPr>
          <w:sz w:val="20"/>
          <w:szCs w:val="20"/>
          <w:color w:val="auto"/>
        </w:rPr>
      </w:pPr>
      <w:r>
        <w:rPr>
          <w:rFonts w:ascii="Arial" w:cs="Arial" w:eastAsia="Arial" w:hAnsi="Arial"/>
          <w:sz w:val="20"/>
          <w:szCs w:val="20"/>
          <w:color w:val="auto"/>
        </w:rPr>
        <w:t>telephone and believed by it to be genuine and signed or sent or otherwise authenticated (whether or not such Person in fact meets the requirements set forth in the Loan Documents for being the maker thereof).</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Each of the Loan Parties and each Credit Party hereby waives (i) any argument, defense or right to contest the legal effect, validity or enforceability of this Agreement and any other Loan Document based solely on the lack of paper original copies of this Agreement and/or such other Loan Document, and (ii) waives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9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11.23 ENTIRE AGREEMENT. </w:t>
      </w:r>
      <w:r>
        <w:rPr>
          <w:rFonts w:ascii="Arial" w:cs="Arial" w:eastAsia="Arial" w:hAnsi="Arial"/>
          <w:sz w:val="20"/>
          <w:szCs w:val="20"/>
          <w:color w:val="auto"/>
        </w:rPr>
        <w:t>THIS AGREEMENT AND THE OTHER LOAN DOCUMENTS REPRESENT THE</w:t>
      </w:r>
      <w:r>
        <w:rPr>
          <w:rFonts w:ascii="Arial" w:cs="Arial" w:eastAsia="Arial" w:hAnsi="Arial"/>
          <w:sz w:val="20"/>
          <w:szCs w:val="20"/>
          <w:b w:val="1"/>
          <w:bCs w:val="1"/>
          <w:color w:val="auto"/>
        </w:rPr>
        <w:t xml:space="preserve"> </w:t>
      </w:r>
      <w:r>
        <w:rPr>
          <w:rFonts w:ascii="Arial" w:cs="Arial" w:eastAsia="Arial" w:hAnsi="Arial"/>
          <w:sz w:val="20"/>
          <w:szCs w:val="20"/>
          <w:color w:val="auto"/>
        </w:rPr>
        <w:t>FINAL AGREEMENT AMONG THE PARTIES AND MAY NOT BE CONTRADICTED BY EVIDENCE OF PRIOR, CONTEMPORANEOUS, OR SUBSEQUENT ORAL AGREEMENTS OF THE PARTIES. THERE ARE NO UNWRITTEN ORAL AGREEMENTS AMONG THE PARTIES.</w:t>
      </w:r>
    </w:p>
    <w:p>
      <w:pPr>
        <w:spacing w:after="0" w:line="183"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b w:val="1"/>
          <w:bCs w:val="1"/>
          <w:color w:val="auto"/>
        </w:rPr>
        <w:t>11.24</w:t>
      </w:r>
      <w:r>
        <w:rPr>
          <w:sz w:val="20"/>
          <w:szCs w:val="20"/>
          <w:color w:val="auto"/>
        </w:rPr>
        <w:tab/>
      </w:r>
      <w:r>
        <w:rPr>
          <w:rFonts w:ascii="Arial" w:cs="Arial" w:eastAsia="Arial" w:hAnsi="Arial"/>
          <w:sz w:val="18"/>
          <w:szCs w:val="18"/>
          <w:b w:val="1"/>
          <w:bCs w:val="1"/>
          <w:color w:val="auto"/>
        </w:rPr>
        <w:t xml:space="preserve">Acknowledgement and Consent to Bail-In of Affected Financial Institutions. </w:t>
      </w:r>
      <w:r>
        <w:rPr>
          <w:rFonts w:ascii="Arial" w:cs="Arial" w:eastAsia="Arial" w:hAnsi="Arial"/>
          <w:sz w:val="18"/>
          <w:szCs w:val="18"/>
          <w:color w:val="auto"/>
        </w:rPr>
        <w:t>Notwithstanding anything</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4" w:lineRule="exact"/>
        <w:rPr>
          <w:sz w:val="20"/>
          <w:szCs w:val="20"/>
          <w:color w:val="auto"/>
        </w:rPr>
      </w:pPr>
    </w:p>
    <w:p>
      <w:pPr>
        <w:ind w:firstLine="872"/>
        <w:spacing w:after="0" w:line="260" w:lineRule="auto"/>
        <w:tabs>
          <w:tab w:leader="none" w:pos="1731"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76" w:lineRule="exact"/>
        <w:rPr>
          <w:rFonts w:ascii="Arial" w:cs="Arial" w:eastAsia="Arial" w:hAnsi="Arial"/>
          <w:sz w:val="20"/>
          <w:szCs w:val="20"/>
          <w:color w:val="auto"/>
        </w:rPr>
      </w:pPr>
    </w:p>
    <w:p>
      <w:pPr>
        <w:ind w:left="1760" w:hanging="888"/>
        <w:spacing w:after="0"/>
        <w:tabs>
          <w:tab w:leader="none" w:pos="176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500" w:hanging="831"/>
        <w:spacing w:after="0"/>
        <w:tabs>
          <w:tab w:leader="none" w:pos="250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880" w:firstLine="789"/>
        <w:spacing w:after="0" w:line="246" w:lineRule="auto"/>
        <w:tabs>
          <w:tab w:leader="none" w:pos="2567" w:val="left"/>
        </w:tabs>
        <w:numPr>
          <w:ilvl w:val="1"/>
          <w:numId w:val="164"/>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880" w:firstLine="789"/>
        <w:spacing w:after="0" w:line="260" w:lineRule="auto"/>
        <w:tabs>
          <w:tab w:leader="none" w:pos="2622" w:val="left"/>
        </w:tabs>
        <w:numPr>
          <w:ilvl w:val="1"/>
          <w:numId w:val="164"/>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b w:val="1"/>
          <w:bCs w:val="1"/>
          <w:color w:val="auto"/>
        </w:rPr>
        <w:t>11.25 Acknowledgement Regarding Any Supported QFCs</w:t>
      </w:r>
      <w:r>
        <w:rPr>
          <w:rFonts w:ascii="Arial" w:cs="Arial" w:eastAsia="Arial" w:hAnsi="Arial"/>
          <w:sz w:val="18"/>
          <w:szCs w:val="18"/>
          <w:color w:val="auto"/>
        </w:rPr>
        <w:t>. To the extent that the Loan Documents provide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guarantee or otherwise, for any Swap Contract or any other agreement or instrument that is a QFC (such support, “</w:t>
      </w:r>
      <w:r>
        <w:rPr>
          <w:rFonts w:ascii="Arial" w:cs="Arial" w:eastAsia="Arial" w:hAnsi="Arial"/>
          <w:sz w:val="18"/>
          <w:szCs w:val="18"/>
          <w:u w:val="single" w:color="auto"/>
          <w:color w:val="auto"/>
        </w:rPr>
        <w:t>QFC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7" w:name="page138"/>
    <w:bookmarkEnd w:id="137"/>
    <w:p>
      <w:pPr>
        <w:spacing w:after="0" w:line="260" w:lineRule="auto"/>
        <w:rPr>
          <w:sz w:val="20"/>
          <w:szCs w:val="20"/>
          <w:color w:val="auto"/>
        </w:rPr>
      </w:pPr>
      <w:r>
        <w:rPr>
          <w:rFonts w:ascii="Arial" w:cs="Arial" w:eastAsia="Arial" w:hAnsi="Arial"/>
          <w:sz w:val="20"/>
          <w:szCs w:val="20"/>
          <w:color w:val="auto"/>
        </w:rPr>
        <w:t>QFC may in fact be stated to be governed by the laws of the State of New York and/or of the United States or any other state of the United States):</w:t>
      </w:r>
    </w:p>
    <w:p>
      <w:pPr>
        <w:spacing w:after="0" w:line="177" w:lineRule="exact"/>
        <w:rPr>
          <w:sz w:val="20"/>
          <w:szCs w:val="20"/>
          <w:color w:val="auto"/>
        </w:rPr>
      </w:pPr>
    </w:p>
    <w:p>
      <w:pPr>
        <w:jc w:val="both"/>
        <w:ind w:firstLine="872"/>
        <w:spacing w:after="0" w:line="270" w:lineRule="auto"/>
        <w:tabs>
          <w:tab w:leader="none" w:pos="173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5" w:lineRule="exact"/>
        <w:rPr>
          <w:rFonts w:ascii="Arial" w:cs="Arial" w:eastAsia="Arial" w:hAnsi="Arial"/>
          <w:sz w:val="18"/>
          <w:szCs w:val="18"/>
          <w:color w:val="auto"/>
        </w:rPr>
      </w:pPr>
    </w:p>
    <w:p>
      <w:pPr>
        <w:ind w:left="1760" w:hanging="888"/>
        <w:spacing w:after="0"/>
        <w:tabs>
          <w:tab w:leader="none" w:pos="17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11.25</w:t>
      </w:r>
      <w:r>
        <w:rPr>
          <w:rFonts w:ascii="Arial" w:cs="Arial" w:eastAsia="Arial" w:hAnsi="Arial"/>
          <w:sz w:val="20"/>
          <w:szCs w:val="20"/>
          <w:color w:val="auto"/>
        </w:rPr>
        <w:t>, the following terms have the following meanings:</w:t>
      </w:r>
    </w:p>
    <w:p>
      <w:pPr>
        <w:spacing w:after="0" w:line="215" w:lineRule="exact"/>
        <w:rPr>
          <w:rFonts w:ascii="Arial" w:cs="Arial" w:eastAsia="Arial" w:hAnsi="Arial"/>
          <w:sz w:val="20"/>
          <w:szCs w:val="20"/>
          <w:color w:val="auto"/>
        </w:rPr>
      </w:pPr>
    </w:p>
    <w:p>
      <w:pPr>
        <w:ind w:left="880" w:right="20" w:firstLine="789"/>
        <w:spacing w:after="0" w:line="260" w:lineRule="auto"/>
        <w:tabs>
          <w:tab w:leader="none" w:pos="251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6" w:lineRule="exact"/>
        <w:rPr>
          <w:rFonts w:ascii="Arial" w:cs="Arial" w:eastAsia="Arial" w:hAnsi="Arial"/>
          <w:sz w:val="20"/>
          <w:szCs w:val="20"/>
          <w:color w:val="auto"/>
        </w:rPr>
      </w:pPr>
    </w:p>
    <w:p>
      <w:pPr>
        <w:ind w:left="880" w:right="20" w:firstLine="789"/>
        <w:spacing w:after="0" w:line="260" w:lineRule="auto"/>
        <w:tabs>
          <w:tab w:leader="none" w:pos="2567" w:val="left"/>
        </w:tabs>
        <w:numPr>
          <w:ilvl w:val="1"/>
          <w:numId w:val="1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6" w:lineRule="exact"/>
        <w:rPr>
          <w:rFonts w:ascii="Arial" w:cs="Arial" w:eastAsia="Arial" w:hAnsi="Arial"/>
          <w:sz w:val="20"/>
          <w:szCs w:val="20"/>
          <w:color w:val="auto"/>
        </w:rPr>
      </w:pPr>
    </w:p>
    <w:p>
      <w:pPr>
        <w:ind w:left="880" w:firstLine="789"/>
        <w:spacing w:after="0" w:line="260" w:lineRule="auto"/>
        <w:tabs>
          <w:tab w:leader="none" w:pos="262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 Signature pages to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00" w:lineRule="exact"/>
        <w:rPr>
          <w:sz w:val="20"/>
          <w:szCs w:val="20"/>
          <w:color w:val="auto"/>
        </w:rPr>
      </w:pPr>
    </w:p>
    <w:p>
      <w:pPr>
        <w:spacing w:after="0" w:line="262"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THE TORO COMPANY</w:t>
      </w:r>
    </w:p>
    <w:p>
      <w:pPr>
        <w:spacing w:after="0" w:line="235" w:lineRule="exact"/>
        <w:rPr>
          <w:sz w:val="20"/>
          <w:szCs w:val="20"/>
          <w:color w:val="auto"/>
        </w:rPr>
      </w:pPr>
    </w:p>
    <w:tbl>
      <w:tblPr>
        <w:tblLayout w:type="fixed"/>
        <w:tblInd w:w="474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Renee J. Peterson</w:t>
            </w:r>
          </w:p>
        </w:tc>
      </w:tr>
      <w:tr>
        <w:trPr>
          <w:trHeight w:val="206"/>
        </w:trPr>
        <w:tc>
          <w:tcPr>
            <w:tcW w:w="8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60" w:type="dxa"/>
            <w:vAlign w:val="bottom"/>
          </w:tcPr>
          <w:p>
            <w:pPr>
              <w:spacing w:after="0" w:line="207" w:lineRule="exact"/>
              <w:rPr>
                <w:sz w:val="20"/>
                <w:szCs w:val="20"/>
                <w:color w:val="auto"/>
              </w:rPr>
            </w:pPr>
            <w:r>
              <w:rPr>
                <w:rFonts w:ascii="Arial" w:cs="Arial" w:eastAsia="Arial" w:hAnsi="Arial"/>
                <w:sz w:val="20"/>
                <w:szCs w:val="20"/>
                <w:color w:val="auto"/>
              </w:rPr>
              <w:t>Renee J. Peterson</w:t>
            </w:r>
          </w:p>
        </w:tc>
      </w:tr>
      <w:tr>
        <w:trPr>
          <w:trHeight w:val="250"/>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4760" w:type="dxa"/>
            <w:vAlign w:val="bottom"/>
          </w:tcPr>
          <w:p>
            <w:pPr>
              <w:spacing w:after="0"/>
              <w:rPr>
                <w:sz w:val="20"/>
                <w:szCs w:val="20"/>
                <w:color w:val="auto"/>
              </w:rPr>
            </w:pPr>
            <w:r>
              <w:rPr>
                <w:rFonts w:ascii="Arial" w:cs="Arial" w:eastAsia="Arial" w:hAnsi="Arial"/>
                <w:sz w:val="20"/>
                <w:szCs w:val="20"/>
                <w:color w:val="auto"/>
              </w:rPr>
              <w:t>Vice President, Chief Financial Officer</w:t>
            </w:r>
          </w:p>
        </w:tc>
      </w:tr>
      <w:tr>
        <w:trPr>
          <w:trHeight w:val="455"/>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Julie A. Kerekes</w:t>
            </w:r>
          </w:p>
        </w:tc>
      </w:tr>
      <w:tr>
        <w:trPr>
          <w:trHeight w:val="206"/>
        </w:trPr>
        <w:tc>
          <w:tcPr>
            <w:tcW w:w="8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60" w:type="dxa"/>
            <w:vAlign w:val="bottom"/>
          </w:tcPr>
          <w:p>
            <w:pPr>
              <w:spacing w:after="0" w:line="207" w:lineRule="exact"/>
              <w:rPr>
                <w:sz w:val="20"/>
                <w:szCs w:val="20"/>
                <w:color w:val="auto"/>
              </w:rPr>
            </w:pPr>
            <w:r>
              <w:rPr>
                <w:rFonts w:ascii="Arial" w:cs="Arial" w:eastAsia="Arial" w:hAnsi="Arial"/>
                <w:sz w:val="20"/>
                <w:szCs w:val="20"/>
                <w:color w:val="auto"/>
              </w:rPr>
              <w:t>Julie A. Kerekes</w:t>
            </w:r>
          </w:p>
        </w:tc>
      </w:tr>
      <w:tr>
        <w:trPr>
          <w:trHeight w:val="229"/>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4760" w:type="dxa"/>
            <w:vAlign w:val="bottom"/>
          </w:tcPr>
          <w:p>
            <w:pPr>
              <w:spacing w:after="0"/>
              <w:rPr>
                <w:sz w:val="20"/>
                <w:szCs w:val="20"/>
                <w:color w:val="auto"/>
              </w:rPr>
            </w:pPr>
            <w:r>
              <w:rPr>
                <w:rFonts w:ascii="Arial" w:cs="Arial" w:eastAsia="Arial" w:hAnsi="Arial"/>
                <w:sz w:val="20"/>
                <w:szCs w:val="20"/>
                <w:color w:val="auto"/>
                <w:w w:val="97"/>
              </w:rPr>
              <w:t>Treasurer and Senior Managing Director, Global Tax &amp;</w:t>
            </w:r>
          </w:p>
        </w:tc>
      </w:tr>
      <w:tr>
        <w:trPr>
          <w:trHeight w:val="250"/>
        </w:trPr>
        <w:tc>
          <w:tcPr>
            <w:tcW w:w="86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Investor Relations</w:t>
            </w:r>
          </w:p>
        </w:tc>
      </w:tr>
      <w:tr>
        <w:trPr>
          <w:trHeight w:val="459"/>
        </w:trPr>
        <w:tc>
          <w:tcPr>
            <w:tcW w:w="5620" w:type="dxa"/>
            <w:vAlign w:val="bottom"/>
            <w:gridSpan w:val="2"/>
          </w:tcPr>
          <w:p>
            <w:pPr>
              <w:spacing w:after="0"/>
              <w:rPr>
                <w:sz w:val="20"/>
                <w:szCs w:val="20"/>
                <w:color w:val="auto"/>
              </w:rPr>
            </w:pPr>
            <w:r>
              <w:rPr>
                <w:rFonts w:ascii="Arial" w:cs="Arial" w:eastAsia="Arial" w:hAnsi="Arial"/>
                <w:sz w:val="20"/>
                <w:szCs w:val="20"/>
                <w:b w:val="1"/>
                <w:bCs w:val="1"/>
                <w:color w:val="auto"/>
              </w:rPr>
              <w:t>TORO LUXEMBOURG S.A.R.L.</w:t>
            </w:r>
          </w:p>
        </w:tc>
      </w:tr>
      <w:tr>
        <w:trPr>
          <w:trHeight w:val="455"/>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Julie A. Kerekes</w:t>
            </w:r>
          </w:p>
        </w:tc>
      </w:tr>
      <w:tr>
        <w:trPr>
          <w:trHeight w:val="206"/>
        </w:trPr>
        <w:tc>
          <w:tcPr>
            <w:tcW w:w="8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60" w:type="dxa"/>
            <w:vAlign w:val="bottom"/>
          </w:tcPr>
          <w:p>
            <w:pPr>
              <w:spacing w:after="0" w:line="207" w:lineRule="exact"/>
              <w:rPr>
                <w:sz w:val="20"/>
                <w:szCs w:val="20"/>
                <w:color w:val="auto"/>
              </w:rPr>
            </w:pPr>
            <w:r>
              <w:rPr>
                <w:rFonts w:ascii="Arial" w:cs="Arial" w:eastAsia="Arial" w:hAnsi="Arial"/>
                <w:sz w:val="20"/>
                <w:szCs w:val="20"/>
                <w:color w:val="auto"/>
              </w:rPr>
              <w:t>Julie A. Kerekes</w:t>
            </w:r>
          </w:p>
        </w:tc>
      </w:tr>
      <w:tr>
        <w:trPr>
          <w:trHeight w:val="250"/>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4760" w:type="dxa"/>
            <w:vAlign w:val="bottom"/>
          </w:tcPr>
          <w:p>
            <w:pPr>
              <w:spacing w:after="0"/>
              <w:rPr>
                <w:sz w:val="20"/>
                <w:szCs w:val="20"/>
                <w:color w:val="auto"/>
              </w:rPr>
            </w:pPr>
            <w:r>
              <w:rPr>
                <w:rFonts w:ascii="Arial" w:cs="Arial" w:eastAsia="Arial" w:hAnsi="Arial"/>
                <w:sz w:val="20"/>
                <w:szCs w:val="20"/>
                <w:color w:val="auto"/>
              </w:rPr>
              <w:t>Class A Manager</w:t>
            </w:r>
          </w:p>
        </w:tc>
      </w:tr>
      <w:tr>
        <w:trPr>
          <w:trHeight w:val="455"/>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Usama Ajan</w:t>
            </w:r>
          </w:p>
        </w:tc>
      </w:tr>
      <w:tr>
        <w:trPr>
          <w:trHeight w:val="206"/>
        </w:trPr>
        <w:tc>
          <w:tcPr>
            <w:tcW w:w="8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60" w:type="dxa"/>
            <w:vAlign w:val="bottom"/>
          </w:tcPr>
          <w:p>
            <w:pPr>
              <w:spacing w:after="0" w:line="207" w:lineRule="exact"/>
              <w:rPr>
                <w:sz w:val="20"/>
                <w:szCs w:val="20"/>
                <w:color w:val="auto"/>
              </w:rPr>
            </w:pPr>
            <w:r>
              <w:rPr>
                <w:rFonts w:ascii="Arial" w:cs="Arial" w:eastAsia="Arial" w:hAnsi="Arial"/>
                <w:sz w:val="20"/>
                <w:szCs w:val="20"/>
                <w:color w:val="auto"/>
              </w:rPr>
              <w:t>Usama Ajan</w:t>
            </w:r>
          </w:p>
        </w:tc>
      </w:tr>
      <w:tr>
        <w:trPr>
          <w:trHeight w:val="250"/>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4760" w:type="dxa"/>
            <w:vAlign w:val="bottom"/>
          </w:tcPr>
          <w:p>
            <w:pPr>
              <w:spacing w:after="0"/>
              <w:rPr>
                <w:sz w:val="20"/>
                <w:szCs w:val="20"/>
                <w:color w:val="auto"/>
              </w:rPr>
            </w:pPr>
            <w:r>
              <w:rPr>
                <w:rFonts w:ascii="Arial" w:cs="Arial" w:eastAsia="Arial" w:hAnsi="Arial"/>
                <w:sz w:val="20"/>
                <w:szCs w:val="20"/>
                <w:color w:val="auto"/>
              </w:rPr>
              <w:t>Class B Manager</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AMENDED AND RESTATED CREDIT AGREEMENT</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156210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55" w:right="339" w:bottom="1440" w:gutter="0" w:footer="0" w:header="0"/>
        </w:sectPr>
      </w:pPr>
    </w:p>
    <w:bookmarkStart w:id="139" w:name="page140"/>
    <w:bookmarkEnd w:id="139"/>
    <w:p>
      <w:pPr>
        <w:ind w:left="4500"/>
        <w:spacing w:after="0"/>
        <w:rPr>
          <w:sz w:val="20"/>
          <w:szCs w:val="20"/>
          <w:color w:val="auto"/>
        </w:rPr>
      </w:pPr>
      <w:r>
        <w:rPr>
          <w:rFonts w:ascii="Arial" w:cs="Arial" w:eastAsia="Arial" w:hAnsi="Arial"/>
          <w:sz w:val="20"/>
          <w:szCs w:val="20"/>
          <w:b w:val="1"/>
          <w:bCs w:val="1"/>
          <w:color w:val="auto"/>
        </w:rPr>
        <w:t xml:space="preserve">BANK OF AMERICA, N.A., </w:t>
      </w:r>
      <w:r>
        <w:rPr>
          <w:rFonts w:ascii="Arial" w:cs="Arial" w:eastAsia="Arial" w:hAnsi="Arial"/>
          <w:sz w:val="20"/>
          <w:szCs w:val="20"/>
          <w:color w:val="auto"/>
        </w:rPr>
        <w:t>as</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spacing w:after="0" w:line="243"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Angela Larkin</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Angela Larkin</w:t>
            </w: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CREDIT AGREEMENT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156210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9" w:right="339" w:bottom="1440" w:gutter="0" w:footer="0" w:header="0"/>
        </w:sectPr>
      </w:pPr>
    </w:p>
    <w:bookmarkStart w:id="140" w:name="page141"/>
    <w:bookmarkEnd w:id="140"/>
    <w:p>
      <w:pPr>
        <w:ind w:left="4500" w:right="400"/>
        <w:spacing w:after="0" w:line="267" w:lineRule="auto"/>
        <w:rPr>
          <w:sz w:val="20"/>
          <w:szCs w:val="20"/>
          <w:color w:val="auto"/>
        </w:rPr>
      </w:pPr>
      <w:r>
        <w:rPr>
          <w:rFonts w:ascii="Arial" w:cs="Arial" w:eastAsia="Arial" w:hAnsi="Arial"/>
          <w:sz w:val="20"/>
          <w:szCs w:val="20"/>
          <w:b w:val="1"/>
          <w:bCs w:val="1"/>
          <w:color w:val="auto"/>
        </w:rPr>
        <w:t xml:space="preserve">BANK OF AMERICA, N.A., </w:t>
      </w:r>
      <w:r>
        <w:rPr>
          <w:rFonts w:ascii="Arial" w:cs="Arial" w:eastAsia="Arial" w:hAnsi="Arial"/>
          <w:sz w:val="20"/>
          <w:szCs w:val="20"/>
          <w:color w:val="auto"/>
        </w:rPr>
        <w:t>as a Lender, L/C Issuer and Swing</w:t>
      </w:r>
      <w:r>
        <w:rPr>
          <w:rFonts w:ascii="Arial" w:cs="Arial" w:eastAsia="Arial" w:hAnsi="Arial"/>
          <w:sz w:val="20"/>
          <w:szCs w:val="20"/>
          <w:b w:val="1"/>
          <w:bCs w:val="1"/>
          <w:color w:val="auto"/>
        </w:rPr>
        <w:t xml:space="preserve"> </w:t>
      </w:r>
      <w:r>
        <w:rPr>
          <w:rFonts w:ascii="Arial" w:cs="Arial" w:eastAsia="Arial" w:hAnsi="Arial"/>
          <w:sz w:val="20"/>
          <w:szCs w:val="20"/>
          <w:color w:val="auto"/>
        </w:rPr>
        <w:t>Line Lender</w:t>
      </w:r>
    </w:p>
    <w:p>
      <w:pPr>
        <w:spacing w:after="0" w:line="200" w:lineRule="exact"/>
        <w:rPr>
          <w:sz w:val="20"/>
          <w:szCs w:val="20"/>
          <w:color w:val="auto"/>
        </w:rPr>
      </w:pPr>
    </w:p>
    <w:p>
      <w:pPr>
        <w:spacing w:after="0" w:line="212"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 Quinn Richardson</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A. Quinn Richardson</w:t>
            </w: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CREDIT AGREEMENT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156210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9" w:right="339" w:bottom="1440" w:gutter="0" w:footer="0" w:header="0"/>
        </w:sectPr>
      </w:pPr>
    </w:p>
    <w:bookmarkStart w:id="141" w:name="page142"/>
    <w:bookmarkEnd w:id="141"/>
    <w:p>
      <w:pPr>
        <w:ind w:left="450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265"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Peter I. Bystol</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Peter I. Bystol</w:t>
            </w: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CREDIT AGREEMENT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156210</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9" w:right="339" w:bottom="1440" w:gutter="0" w:footer="0" w:header="0"/>
        </w:sectPr>
      </w:pPr>
    </w:p>
    <w:bookmarkStart w:id="142" w:name="page143"/>
    <w:bookmarkEnd w:id="142"/>
    <w:p>
      <w:pPr>
        <w:ind w:left="4500"/>
        <w:spacing w:after="0"/>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spacing w:after="0" w:line="243"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Bradley Magnus</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Bradley Magnus</w:t>
            </w: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CREDIT AGREEMENT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156210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9" w:right="339" w:bottom="1440" w:gutter="0" w:footer="0" w:header="0"/>
        </w:sectPr>
      </w:pPr>
    </w:p>
    <w:bookmarkStart w:id="143" w:name="page144"/>
    <w:bookmarkEnd w:id="143"/>
    <w:p>
      <w:pPr>
        <w:ind w:left="4500"/>
        <w:spacing w:after="0"/>
        <w:rPr>
          <w:sz w:val="20"/>
          <w:szCs w:val="20"/>
          <w:color w:val="auto"/>
        </w:rPr>
      </w:pPr>
      <w:r>
        <w:rPr>
          <w:rFonts w:ascii="Arial" w:cs="Arial" w:eastAsia="Arial" w:hAnsi="Arial"/>
          <w:sz w:val="20"/>
          <w:szCs w:val="20"/>
          <w:b w:val="1"/>
          <w:bCs w:val="1"/>
          <w:color w:val="auto"/>
        </w:rPr>
        <w:t>BMO HARRIS BANK N.A.</w:t>
      </w:r>
      <w:r>
        <w:rPr>
          <w:rFonts w:ascii="Arial" w:cs="Arial" w:eastAsia="Arial" w:hAnsi="Arial"/>
          <w:sz w:val="20"/>
          <w:szCs w:val="20"/>
          <w:color w:val="auto"/>
        </w:rPr>
        <w:t>, as a Lender</w:t>
      </w:r>
    </w:p>
    <w:p>
      <w:pPr>
        <w:spacing w:after="0" w:line="200" w:lineRule="exact"/>
        <w:rPr>
          <w:sz w:val="20"/>
          <w:szCs w:val="20"/>
          <w:color w:val="auto"/>
        </w:rPr>
      </w:pPr>
    </w:p>
    <w:p>
      <w:pPr>
        <w:spacing w:after="0" w:line="265"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Corey Noland</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Corey Noland</w:t>
            </w: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CREDIT AGREEMENT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156210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778" w:right="339" w:bottom="1440" w:gutter="0" w:footer="0" w:header="0"/>
        </w:sectPr>
      </w:pPr>
    </w:p>
    <w:bookmarkStart w:id="144" w:name="page145"/>
    <w:bookmarkEnd w:id="144"/>
    <w:p>
      <w:pPr>
        <w:ind w:left="4500"/>
        <w:spacing w:after="0"/>
        <w:rPr>
          <w:sz w:val="20"/>
          <w:szCs w:val="20"/>
          <w:color w:val="auto"/>
        </w:rPr>
      </w:pPr>
      <w:r>
        <w:rPr>
          <w:rFonts w:ascii="Arial" w:cs="Arial" w:eastAsia="Arial" w:hAnsi="Arial"/>
          <w:sz w:val="20"/>
          <w:szCs w:val="20"/>
          <w:b w:val="1"/>
          <w:bCs w:val="1"/>
          <w:color w:val="auto"/>
        </w:rPr>
        <w:t>HSBC BANK USA,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Kyle Patterson</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Kyle Patterson</w:t>
            </w: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CREDIT AGREEMENT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156210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778" w:right="339" w:bottom="1440" w:gutter="0" w:footer="0" w:header="0"/>
        </w:sectPr>
      </w:pPr>
    </w:p>
    <w:bookmarkStart w:id="145" w:name="page146"/>
    <w:bookmarkEnd w:id="145"/>
    <w:p>
      <w:pPr>
        <w:ind w:left="4500"/>
        <w:spacing w:after="0"/>
        <w:rPr>
          <w:sz w:val="20"/>
          <w:szCs w:val="20"/>
          <w:color w:val="auto"/>
        </w:rPr>
      </w:pPr>
      <w:r>
        <w:rPr>
          <w:rFonts w:ascii="Arial" w:cs="Arial" w:eastAsia="Arial" w:hAnsi="Arial"/>
          <w:sz w:val="20"/>
          <w:szCs w:val="20"/>
          <w:b w:val="1"/>
          <w:bCs w:val="1"/>
          <w:color w:val="auto"/>
        </w:rPr>
        <w:t xml:space="preserve">JPMORGAN CHASE BANK, N.A. </w:t>
      </w:r>
      <w:r>
        <w:rPr>
          <w:rFonts w:ascii="Arial" w:cs="Arial" w:eastAsia="Arial" w:hAnsi="Arial"/>
          <w:sz w:val="20"/>
          <w:szCs w:val="20"/>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Gregory T. Martin</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Gregory T. Martin</w:t>
            </w: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CREDIT AGREEMENT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156210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9" w:right="339" w:bottom="1440" w:gutter="0" w:footer="0" w:header="0"/>
        </w:sectPr>
      </w:pPr>
    </w:p>
    <w:bookmarkStart w:id="146" w:name="page147"/>
    <w:bookmarkEnd w:id="146"/>
    <w:p>
      <w:pPr>
        <w:ind w:left="4500"/>
        <w:spacing w:after="0"/>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Donna Benson</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Donna Benson</w:t>
            </w: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CREDIT AGREEMENT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156210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49" w:right="339" w:bottom="1440" w:gutter="0" w:footer="0" w:header="0"/>
        </w:sectPr>
      </w:pPr>
    </w:p>
    <w:bookmarkStart w:id="147" w:name="page148"/>
    <w:bookmarkEnd w:id="147"/>
    <w:p>
      <w:pPr>
        <w:ind w:left="4500"/>
        <w:spacing w:after="0"/>
        <w:rPr>
          <w:sz w:val="20"/>
          <w:szCs w:val="20"/>
          <w:color w:val="auto"/>
        </w:rPr>
      </w:pPr>
      <w:r>
        <w:rPr>
          <w:rFonts w:ascii="Arial" w:cs="Arial" w:eastAsia="Arial" w:hAnsi="Arial"/>
          <w:sz w:val="20"/>
          <w:szCs w:val="20"/>
          <w:b w:val="1"/>
          <w:bCs w:val="1"/>
          <w:color w:val="auto"/>
        </w:rPr>
        <w:t>TRUIST BANK</w:t>
      </w:r>
      <w:r>
        <w:rPr>
          <w:rFonts w:ascii="Arial" w:cs="Arial" w:eastAsia="Arial" w:hAnsi="Arial"/>
          <w:sz w:val="20"/>
          <w:szCs w:val="20"/>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Jason Hembree</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Jason Hembree</w:t>
            </w: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74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CREDIT AGREEMENT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sectPr>
      <w:pgSz w:w="11900" w:h="16838" w:orient="portrait"/>
      <w:cols w:equalWidth="0" w:num="1">
        <w:col w:w="10120"/>
      </w:cols>
      <w:pgMar w:left="144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1)"/>
      <w:numFmt w:val="lowerRoman"/>
      <w:start w:val="2"/>
    </w:lvl>
  </w:abstractNum>
  <w:abstractNum w:abstractNumId="2">
    <w:nsid w:val="100F59DC"/>
    <w:multiLevelType w:val="hybridMultilevel"/>
    <w:lvl w:ilvl="0">
      <w:lvlJc w:val="left"/>
      <w:lvlText w:val="%1"/>
      <w:numFmt w:val="decimal"/>
      <w:start w:val="104"/>
    </w:lvl>
  </w:abstractNum>
  <w:abstractNum w:abstractNumId="3">
    <w:nsid w:val="7FB7E0AA"/>
    <w:multiLevelType w:val="hybridMultilevel"/>
    <w:lvl w:ilvl="0">
      <w:lvlJc w:val="left"/>
      <w:lvlText w:val="A"/>
      <w:numFmt w:val="bullet"/>
      <w:start w:val="1"/>
    </w:lvl>
  </w:abstractNum>
  <w:abstractNum w:abstractNumId="4">
    <w:nsid w:val="6EB5BD4"/>
    <w:multiLevelType w:val="hybridMultilevel"/>
    <w:lvl w:ilvl="0">
      <w:lvlJc w:val="left"/>
      <w:lvlText w:val="B"/>
      <w:numFmt w:val="bullet"/>
      <w:start w:val="1"/>
    </w:lvl>
  </w:abstractNum>
  <w:abstractNum w:abstractNumId="5">
    <w:nsid w:val="6F6DD9AC"/>
    <w:multiLevelType w:val="hybridMultilevel"/>
    <w:lvl w:ilvl="0">
      <w:lvlJc w:val="left"/>
      <w:lvlText w:val="D"/>
      <w:numFmt w:val="bullet"/>
      <w:start w:val="1"/>
    </w:lvl>
  </w:abstractNum>
  <w:abstractNum w:abstractNumId="6">
    <w:nsid w:val="94211F2"/>
    <w:multiLevelType w:val="hybridMultilevel"/>
    <w:lvl w:ilvl="0">
      <w:lvlJc w:val="left"/>
      <w:lvlText w:val="E"/>
      <w:numFmt w:val="bullet"/>
      <w:start w:val="1"/>
    </w:lvl>
  </w:abstractNum>
  <w:abstractNum w:abstractNumId="7">
    <w:nsid w:val="885E1B"/>
    <w:multiLevelType w:val="hybridMultilevel"/>
    <w:lvl w:ilvl="0">
      <w:lvlJc w:val="left"/>
      <w:lvlText w:val="F"/>
      <w:numFmt w:val="bullet"/>
      <w:start w:val="1"/>
    </w:lvl>
  </w:abstractNum>
  <w:abstractNum w:abstractNumId="8">
    <w:nsid w:val="76272110"/>
    <w:multiLevelType w:val="hybridMultilevel"/>
    <w:lvl w:ilvl="0">
      <w:lvlJc w:val="left"/>
      <w:lvlText w:val="G"/>
      <w:numFmt w:val="bullet"/>
      <w:start w:val="1"/>
    </w:lvl>
  </w:abstractNum>
  <w:abstractNum w:abstractNumId="9">
    <w:nsid w:val="4C04A8AF"/>
    <w:multiLevelType w:val="hybridMultilevel"/>
    <w:lvl w:ilvl="0">
      <w:lvlJc w:val="left"/>
      <w:lvlText w:val="I"/>
      <w:numFmt w:val="bullet"/>
      <w:start w:val="1"/>
    </w:lvl>
  </w:abstractNum>
  <w:abstractNum w:abstractNumId="10">
    <w:nsid w:val="1716703B"/>
    <w:multiLevelType w:val="hybridMultilevel"/>
    <w:lvl w:ilvl="0">
      <w:lvlJc w:val="left"/>
      <w:lvlText w:val="(%1)"/>
      <w:numFmt w:val="lowerLetter"/>
      <w:start w:val="1"/>
    </w:lvl>
  </w:abstractNum>
  <w:abstractNum w:abstractNumId="11">
    <w:nsid w:val="14E17E33"/>
    <w:multiLevelType w:val="hybridMultilevel"/>
    <w:lvl w:ilvl="0">
      <w:lvlJc w:val="left"/>
      <w:lvlText w:val="(%1)"/>
      <w:numFmt w:val="lowerRoman"/>
      <w:start w:val="4"/>
    </w:lvl>
  </w:abstractNum>
  <w:abstractNum w:abstractNumId="12">
    <w:nsid w:val="3222E7CD"/>
    <w:multiLevelType w:val="hybridMultilevel"/>
    <w:lvl w:ilvl="0">
      <w:lvlJc w:val="left"/>
      <w:lvlText w:val="(%1)"/>
      <w:numFmt w:val="lowerLetter"/>
      <w:start w:val="2"/>
    </w:lvl>
  </w:abstractNum>
  <w:abstractNum w:abstractNumId="13">
    <w:nsid w:val="74DE0EE3"/>
    <w:multiLevelType w:val="hybridMultilevel"/>
    <w:lvl w:ilvl="0">
      <w:lvlJc w:val="left"/>
      <w:lvlText w:val="(%1)"/>
      <w:numFmt w:val="lowerLetter"/>
      <w:start w:val="1"/>
    </w:lvl>
    <w:lvl w:ilvl="1">
      <w:lvlJc w:val="left"/>
      <w:lvlText w:val="(%2)"/>
      <w:numFmt w:val="lowerLetter"/>
      <w:start w:val="2"/>
    </w:lvl>
  </w:abstractNum>
  <w:abstractNum w:abstractNumId="14">
    <w:nsid w:val="68EBC550"/>
    <w:multiLevelType w:val="hybridMultilevel"/>
    <w:lvl w:ilvl="0">
      <w:lvlJc w:val="left"/>
      <w:lvlText w:val="(%1)"/>
      <w:numFmt w:val="decimal"/>
      <w:start w:val="2"/>
    </w:lvl>
  </w:abstractNum>
  <w:abstractNum w:abstractNumId="15">
    <w:nsid w:val="2DF6D648"/>
    <w:multiLevelType w:val="hybridMultilevel"/>
    <w:lvl w:ilvl="0">
      <w:lvlJc w:val="left"/>
      <w:lvlText w:val="(%1)"/>
      <w:numFmt w:val="lowerLetter"/>
      <w:start w:val="1"/>
    </w:lvl>
  </w:abstractNum>
  <w:abstractNum w:abstractNumId="16">
    <w:nsid w:val="46B7D447"/>
    <w:multiLevelType w:val="hybridMultilevel"/>
    <w:lvl w:ilvl="0">
      <w:lvlJc w:val="left"/>
      <w:lvlText w:val="(%1)"/>
      <w:numFmt w:val="lowerRoman"/>
      <w:start w:val="1"/>
    </w:lvl>
  </w:abstractNum>
  <w:abstractNum w:abstractNumId="17">
    <w:nsid w:val="4A2AC315"/>
    <w:multiLevelType w:val="hybridMultilevel"/>
    <w:lvl w:ilvl="0">
      <w:lvlJc w:val="left"/>
      <w:lvlText w:val="(%1)"/>
      <w:numFmt w:val="decimal"/>
      <w:start w:val="2"/>
    </w:lvl>
  </w:abstractNum>
  <w:abstractNum w:abstractNumId="18">
    <w:nsid w:val="39EE015C"/>
    <w:multiLevelType w:val="hybridMultilevel"/>
    <w:lvl w:ilvl="0">
      <w:lvlJc w:val="left"/>
      <w:lvlText w:val="(%1)"/>
      <w:numFmt w:val="lowerLetter"/>
      <w:start w:val="1"/>
    </w:lvl>
  </w:abstractNum>
  <w:abstractNum w:abstractNumId="19">
    <w:nsid w:val="57FC4FBB"/>
    <w:multiLevelType w:val="hybridMultilevel"/>
    <w:lvl w:ilvl="0">
      <w:lvlJc w:val="left"/>
      <w:lvlText w:val="(%1)"/>
      <w:numFmt w:val="lowerLetter"/>
      <w:start w:val="2"/>
    </w:lvl>
  </w:abstractNum>
  <w:abstractNum w:abstractNumId="20">
    <w:nsid w:val="CC1016F"/>
    <w:multiLevelType w:val="hybridMultilevel"/>
    <w:lvl w:ilvl="0">
      <w:lvlJc w:val="left"/>
      <w:lvlText w:val="(%1)"/>
      <w:numFmt w:val="lowerLetter"/>
      <w:start w:val="3"/>
    </w:lvl>
  </w:abstractNum>
  <w:abstractNum w:abstractNumId="21">
    <w:nsid w:val="43F18422"/>
    <w:multiLevelType w:val="hybridMultilevel"/>
    <w:lvl w:ilvl="0">
      <w:lvlJc w:val="left"/>
      <w:lvlText w:val="(%1)"/>
      <w:numFmt w:val="lowerLetter"/>
      <w:start w:val="7"/>
    </w:lvl>
  </w:abstractNum>
  <w:abstractNum w:abstractNumId="22">
    <w:nsid w:val="60EF0119"/>
    <w:multiLevelType w:val="hybridMultilevel"/>
    <w:lvl w:ilvl="0">
      <w:lvlJc w:val="left"/>
      <w:lvlText w:val="(%1)"/>
      <w:numFmt w:val="lowerLetter"/>
      <w:start w:val="1"/>
    </w:lvl>
  </w:abstractNum>
  <w:abstractNum w:abstractNumId="23">
    <w:nsid w:val="26F324BA"/>
    <w:multiLevelType w:val="hybridMultilevel"/>
    <w:lvl w:ilvl="0">
      <w:lvlJc w:val="left"/>
      <w:lvlText w:val="(%1)"/>
      <w:numFmt w:val="lowerRoman"/>
      <w:start w:val="2"/>
    </w:lvl>
  </w:abstractNum>
  <w:abstractNum w:abstractNumId="24">
    <w:nsid w:val="7F01579B"/>
    <w:multiLevelType w:val="hybridMultilevel"/>
    <w:lvl w:ilvl="0">
      <w:lvlJc w:val="left"/>
      <w:lvlText w:val="(%1)"/>
      <w:numFmt w:val="lowerLetter"/>
      <w:start w:val="1"/>
    </w:lvl>
  </w:abstractNum>
  <w:abstractNum w:abstractNumId="25">
    <w:nsid w:val="49DA307D"/>
    <w:multiLevelType w:val="hybridMultilevel"/>
    <w:lvl w:ilvl="0">
      <w:lvlJc w:val="left"/>
      <w:lvlText w:val="(%1)"/>
      <w:numFmt w:val="lowerLetter"/>
      <w:start w:val="4"/>
    </w:lvl>
  </w:abstractNum>
  <w:abstractNum w:abstractNumId="26">
    <w:nsid w:val="7055A5F5"/>
    <w:multiLevelType w:val="hybridMultilevel"/>
    <w:lvl w:ilvl="0">
      <w:lvlJc w:val="left"/>
      <w:lvlText w:val="(%1)"/>
      <w:numFmt w:val="lowerRoman"/>
      <w:start w:val="1"/>
    </w:lvl>
  </w:abstractNum>
  <w:abstractNum w:abstractNumId="27">
    <w:nsid w:val="5FB8370B"/>
    <w:multiLevelType w:val="hybridMultilevel"/>
    <w:lvl w:ilvl="0">
      <w:lvlJc w:val="left"/>
      <w:lvlText w:val="(%1)"/>
      <w:numFmt w:val="lowerLetter"/>
      <w:start w:val="23"/>
    </w:lvl>
  </w:abstractNum>
  <w:abstractNum w:abstractNumId="28">
    <w:nsid w:val="50801EE1"/>
    <w:multiLevelType w:val="hybridMultilevel"/>
    <w:lvl w:ilvl="0">
      <w:lvlJc w:val="left"/>
      <w:lvlText w:val="(%1)"/>
      <w:numFmt w:val="lowerLetter"/>
      <w:start w:val="1"/>
    </w:lvl>
  </w:abstractNum>
  <w:abstractNum w:abstractNumId="29">
    <w:nsid w:val="488AC1A"/>
    <w:multiLevelType w:val="hybridMultilevel"/>
    <w:lvl w:ilvl="0">
      <w:lvlJc w:val="left"/>
      <w:lvlText w:val="(%1)"/>
      <w:numFmt w:val="lowerLetter"/>
      <w:start w:val="4"/>
    </w:lvl>
  </w:abstractNum>
  <w:abstractNum w:abstractNumId="30">
    <w:nsid w:val="5FB8011C"/>
    <w:multiLevelType w:val="hybridMultilevel"/>
    <w:lvl w:ilvl="0">
      <w:lvlJc w:val="left"/>
      <w:lvlText w:val="(%1)"/>
      <w:numFmt w:val="lowerLetter"/>
      <w:start w:val="2"/>
    </w:lvl>
    <w:lvl w:ilvl="1">
      <w:lvlJc w:val="left"/>
      <w:lvlText w:val="(%2)"/>
      <w:numFmt w:val="lowerRoman"/>
      <w:start w:val="1"/>
    </w:lvl>
  </w:abstractNum>
  <w:abstractNum w:abstractNumId="31">
    <w:nsid w:val="6AA78F7F"/>
    <w:multiLevelType w:val="hybridMultilevel"/>
    <w:lvl w:ilvl="0">
      <w:lvlJc w:val="left"/>
      <w:lvlText w:val="(%1)"/>
      <w:numFmt w:val="lowerLetter"/>
      <w:start w:val="5"/>
    </w:lvl>
    <w:lvl w:ilvl="1">
      <w:lvlJc w:val="left"/>
      <w:lvlText w:val="(%2)"/>
      <w:numFmt w:val="lowerRoman"/>
      <w:start w:val="1"/>
    </w:lvl>
  </w:abstractNum>
  <w:abstractNum w:abstractNumId="32">
    <w:nsid w:val="7672BD23"/>
    <w:multiLevelType w:val="hybridMultilevel"/>
    <w:lvl w:ilvl="0">
      <w:lvlJc w:val="left"/>
      <w:lvlText w:val="(%1)"/>
      <w:numFmt w:val="lowerLetter"/>
      <w:start w:val="6"/>
    </w:lvl>
  </w:abstractNum>
  <w:abstractNum w:abstractNumId="33">
    <w:nsid w:val="6FC75AF8"/>
    <w:multiLevelType w:val="hybridMultilevel"/>
    <w:lvl w:ilvl="0">
      <w:lvlJc w:val="left"/>
      <w:lvlText w:val="(%1)"/>
      <w:numFmt w:val="lowerLetter"/>
      <w:start w:val="2"/>
    </w:lvl>
  </w:abstractNum>
  <w:abstractNum w:abstractNumId="34">
    <w:nsid w:val="6A5F7029"/>
    <w:multiLevelType w:val="hybridMultilevel"/>
    <w:lvl w:ilvl="0">
      <w:lvlJc w:val="left"/>
      <w:lvlText w:val="(%1)"/>
      <w:numFmt w:val="lowerLetter"/>
      <w:start w:val="1"/>
    </w:lvl>
  </w:abstractNum>
  <w:abstractNum w:abstractNumId="35">
    <w:nsid w:val="7D5E18F8"/>
    <w:multiLevelType w:val="hybridMultilevel"/>
    <w:lvl w:ilvl="0">
      <w:lvlJc w:val="left"/>
      <w:lvlText w:val="(%1)"/>
      <w:numFmt w:val="lowerLetter"/>
      <w:start w:val="2"/>
    </w:lvl>
  </w:abstractNum>
  <w:abstractNum w:abstractNumId="36">
    <w:nsid w:val="5F3534A4"/>
    <w:multiLevelType w:val="hybridMultilevel"/>
    <w:lvl w:ilvl="0">
      <w:lvlJc w:val="left"/>
      <w:lvlText w:val="(%1)"/>
      <w:numFmt w:val="lowerLetter"/>
      <w:start w:val="1"/>
    </w:lvl>
  </w:abstractNum>
  <w:abstractNum w:abstractNumId="37">
    <w:nsid w:val="73A1821B"/>
    <w:multiLevelType w:val="hybridMultilevel"/>
    <w:lvl w:ilvl="0">
      <w:lvlJc w:val="left"/>
      <w:lvlText w:val="(%1)"/>
      <w:numFmt w:val="lowerLetter"/>
      <w:start w:val="2"/>
    </w:lvl>
  </w:abstractNum>
  <w:abstractNum w:abstractNumId="38">
    <w:nsid w:val="7DE67713"/>
    <w:multiLevelType w:val="hybridMultilevel"/>
    <w:lvl w:ilvl="0">
      <w:lvlJc w:val="left"/>
      <w:lvlText w:val="(%1)"/>
      <w:numFmt w:val="lowerLetter"/>
      <w:start w:val="1"/>
    </w:lvl>
  </w:abstractNum>
  <w:abstractNum w:abstractNumId="39">
    <w:nsid w:val="555C55B5"/>
    <w:multiLevelType w:val="hybridMultilevel"/>
    <w:lvl w:ilvl="0">
      <w:lvlJc w:val="left"/>
      <w:lvlText w:val="(%1)"/>
      <w:numFmt w:val="lowerLetter"/>
      <w:start w:val="1"/>
    </w:lvl>
  </w:abstractNum>
  <w:abstractNum w:abstractNumId="40">
    <w:nsid w:val="3FA62ACA"/>
    <w:multiLevelType w:val="hybridMultilevel"/>
    <w:lvl w:ilvl="0">
      <w:lvlJc w:val="left"/>
      <w:lvlText w:val="(%1)"/>
      <w:numFmt w:val="lowerLetter"/>
      <w:start w:val="2"/>
    </w:lvl>
  </w:abstractNum>
  <w:abstractNum w:abstractNumId="41">
    <w:nsid w:val="14FCE74E"/>
    <w:multiLevelType w:val="hybridMultilevel"/>
    <w:lvl w:ilvl="0">
      <w:lvlJc w:val="left"/>
      <w:lvlText w:val="(%1)"/>
      <w:numFmt w:val="lowerLetter"/>
      <w:start w:val="3"/>
    </w:lvl>
  </w:abstractNum>
  <w:abstractNum w:abstractNumId="42">
    <w:nsid w:val="6A3DD3E8"/>
    <w:multiLevelType w:val="hybridMultilevel"/>
    <w:lvl w:ilvl="0">
      <w:lvlJc w:val="left"/>
      <w:lvlText w:val="(%1)"/>
      <w:numFmt w:val="lowerLetter"/>
      <w:start w:val="1"/>
    </w:lvl>
    <w:lvl w:ilvl="1">
      <w:lvlJc w:val="left"/>
      <w:lvlText w:val="(%2)"/>
      <w:numFmt w:val="lowerLetter"/>
      <w:start w:val="9"/>
    </w:lvl>
  </w:abstractNum>
  <w:abstractNum w:abstractNumId="43">
    <w:nsid w:val="71C91298"/>
    <w:multiLevelType w:val="hybridMultilevel"/>
    <w:lvl w:ilvl="0">
      <w:lvlJc w:val="left"/>
      <w:lvlText w:val="(%1)"/>
      <w:numFmt w:val="lowerRoman"/>
      <w:start w:val="2"/>
    </w:lvl>
    <w:lvl w:ilvl="1">
      <w:lvlJc w:val="left"/>
      <w:lvlText w:val="(%2)"/>
      <w:numFmt w:val="upperLetter"/>
      <w:start w:val="1"/>
    </w:lvl>
  </w:abstractNum>
  <w:abstractNum w:abstractNumId="44">
    <w:nsid w:val="9DAF6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45">
    <w:nsid w:val="5329993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6">
    <w:nsid w:val="1FBFE8E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7">
    <w:nsid w:val="5092CA79"/>
    <w:multiLevelType w:val="hybridMultilevel"/>
    <w:lvl w:ilvl="0">
      <w:lvlJc w:val="left"/>
      <w:lvlText w:val="(%1)"/>
      <w:numFmt w:val="lowerRoman"/>
      <w:start w:val="2"/>
    </w:lvl>
  </w:abstractNum>
  <w:abstractNum w:abstractNumId="48">
    <w:nsid w:val="1D545C4D"/>
    <w:multiLevelType w:val="hybridMultilevel"/>
    <w:lvl w:ilvl="0">
      <w:lvlJc w:val="left"/>
      <w:lvlText w:val="(%1)"/>
      <w:numFmt w:val="lowerLetter"/>
      <w:start w:val="3"/>
    </w:lvl>
    <w:lvl w:ilvl="1">
      <w:lvlJc w:val="left"/>
      <w:lvlText w:val="(%2)"/>
      <w:numFmt w:val="lowerRoman"/>
      <w:start w:val="1"/>
    </w:lvl>
  </w:abstractNum>
  <w:abstractNum w:abstractNumId="49">
    <w:nsid w:val="59ADEA3D"/>
    <w:multiLevelType w:val="hybridMultilevel"/>
    <w:lvl w:ilvl="0">
      <w:lvlJc w:val="left"/>
      <w:lvlText w:val="%1"/>
      <w:numFmt w:val="lowerLetter"/>
      <w:start w:val="1"/>
    </w:lvl>
    <w:lvl w:ilvl="1">
      <w:lvlJc w:val="left"/>
      <w:lvlText w:val="(%2)"/>
      <w:numFmt w:val="lowerRoman"/>
      <w:start w:val="4"/>
    </w:lvl>
  </w:abstractNum>
  <w:abstractNum w:abstractNumId="50">
    <w:nsid w:val="288F1A34"/>
    <w:multiLevelType w:val="hybridMultilevel"/>
    <w:lvl w:ilvl="0">
      <w:lvlJc w:val="left"/>
      <w:lvlText w:val="(%1)"/>
      <w:numFmt w:val="lowerLetter"/>
      <w:start w:val="4"/>
    </w:lvl>
    <w:lvl w:ilvl="1">
      <w:lvlJc w:val="left"/>
      <w:lvlText w:val="(%2)"/>
      <w:numFmt w:val="lowerRoman"/>
      <w:start w:val="1"/>
    </w:lvl>
  </w:abstractNum>
  <w:abstractNum w:abstractNumId="51">
    <w:nsid w:val="2A155DBC"/>
    <w:multiLevelType w:val="hybridMultilevel"/>
    <w:lvl w:ilvl="0">
      <w:lvlJc w:val="left"/>
      <w:lvlText w:val="%1"/>
      <w:numFmt w:val="lowerLetter"/>
      <w:start w:val="1"/>
    </w:lvl>
    <w:lvl w:ilvl="1">
      <w:lvlJc w:val="left"/>
      <w:lvlText w:val="(%2)"/>
      <w:numFmt w:val="lowerLetter"/>
      <w:start w:val="35"/>
    </w:lvl>
  </w:abstractNum>
  <w:abstractNum w:abstractNumId="52">
    <w:nsid w:val="1D9F6E5F"/>
    <w:multiLevelType w:val="hybridMultilevel"/>
    <w:lvl w:ilvl="0">
      <w:lvlJc w:val="left"/>
      <w:lvlText w:val="(%1)"/>
      <w:numFmt w:val="lowerLetter"/>
      <w:start w:val="5"/>
    </w:lvl>
    <w:lvl w:ilvl="1">
      <w:lvlJc w:val="left"/>
      <w:lvlText w:val="(%2)"/>
      <w:numFmt w:val="lowerLetter"/>
      <w:start w:val="9"/>
    </w:lvl>
  </w:abstractNum>
  <w:abstractNum w:abstractNumId="53">
    <w:nsid w:val="97E1B4E"/>
    <w:multiLevelType w:val="hybridMultilevel"/>
    <w:lvl w:ilvl="0">
      <w:lvlJc w:val="left"/>
      <w:lvlText w:val="(%1)"/>
      <w:numFmt w:val="lowerRoman"/>
      <w:start w:val="2"/>
    </w:lvl>
  </w:abstractNum>
  <w:abstractNum w:abstractNumId="54">
    <w:nsid w:val="51088277"/>
    <w:multiLevelType w:val="hybridMultilevel"/>
    <w:lvl w:ilvl="0">
      <w:lvlJc w:val="left"/>
      <w:lvlText w:val="(%1)"/>
      <w:numFmt w:val="lowerRoman"/>
      <w:start w:val="8"/>
    </w:lvl>
  </w:abstractNum>
  <w:abstractNum w:abstractNumId="55">
    <w:nsid w:val="1CA0C5FA"/>
    <w:multiLevelType w:val="hybridMultilevel"/>
    <w:lvl w:ilvl="0">
      <w:lvlJc w:val="left"/>
      <w:lvlText w:val="(%1)"/>
      <w:numFmt w:val="lowerLetter"/>
      <w:start w:val="6"/>
    </w:lvl>
  </w:abstractNum>
  <w:abstractNum w:abstractNumId="56">
    <w:nsid w:val="53584BCB"/>
    <w:multiLevelType w:val="hybridMultilevel"/>
    <w:lvl w:ilvl="0">
      <w:lvlJc w:val="left"/>
      <w:lvlText w:val="(%1)"/>
      <w:numFmt w:val="lowerLetter"/>
      <w:start w:val="8"/>
    </w:lvl>
  </w:abstractNum>
  <w:abstractNum w:abstractNumId="57">
    <w:nsid w:val="415E286C"/>
    <w:multiLevelType w:val="hybridMultilevel"/>
    <w:lvl w:ilvl="0">
      <w:lvlJc w:val="left"/>
      <w:lvlText w:val="(%1)"/>
      <w:numFmt w:val="lowerRoman"/>
      <w:start w:val="1"/>
    </w:lvl>
  </w:abstractNum>
  <w:abstractNum w:abstractNumId="58">
    <w:nsid w:val="7C58FD05"/>
    <w:multiLevelType w:val="hybridMultilevel"/>
    <w:lvl w:ilvl="0">
      <w:lvlJc w:val="left"/>
      <w:lvlText w:val="%1"/>
      <w:numFmt w:val="lowerLetter"/>
      <w:start w:val="1"/>
    </w:lvl>
    <w:lvl w:ilvl="1">
      <w:lvlJc w:val="left"/>
      <w:lvlText w:val="(%2)"/>
      <w:numFmt w:val="lowerRoman"/>
      <w:start w:val="2"/>
    </w:lvl>
  </w:abstractNum>
  <w:abstractNum w:abstractNumId="59">
    <w:nsid w:val="23D86AAC"/>
    <w:multiLevelType w:val="hybridMultilevel"/>
    <w:lvl w:ilvl="0">
      <w:lvlJc w:val="left"/>
      <w:lvlText w:val="(%1)"/>
      <w:numFmt w:val="lowerLetter"/>
      <w:start w:val="4"/>
    </w:lvl>
    <w:lvl w:ilvl="1">
      <w:lvlJc w:val="left"/>
      <w:lvlText w:val="(%2)"/>
      <w:numFmt w:val="lowerRoman"/>
      <w:start w:val="1"/>
    </w:lvl>
  </w:abstractNum>
  <w:abstractNum w:abstractNumId="60">
    <w:nsid w:val="45E6D486"/>
    <w:multiLevelType w:val="hybridMultilevel"/>
    <w:lvl w:ilvl="0">
      <w:lvlJc w:val="left"/>
      <w:lvlText w:val="(%1)"/>
      <w:numFmt w:val="lowerLetter"/>
      <w:start w:val="5"/>
    </w:lvl>
  </w:abstractNum>
  <w:abstractNum w:abstractNumId="61">
    <w:nsid w:val="5C10FE2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5"/>
    </w:lvl>
  </w:abstractNum>
  <w:abstractNum w:abstractNumId="62">
    <w:nsid w:val="E7FFA2B"/>
    <w:multiLevelType w:val="hybridMultilevel"/>
    <w:lvl w:ilvl="0">
      <w:lvlJc w:val="left"/>
      <w:lvlText w:val="(%1)"/>
      <w:numFmt w:val="lowerLetter"/>
      <w:start w:val="1"/>
    </w:lvl>
  </w:abstractNum>
  <w:abstractNum w:abstractNumId="63">
    <w:nsid w:val="3C5991AA"/>
    <w:multiLevelType w:val="hybridMultilevel"/>
    <w:lvl w:ilvl="0">
      <w:lvlJc w:val="left"/>
      <w:lvlText w:val="(%1)"/>
      <w:numFmt w:val="lowerLetter"/>
      <w:start w:val="1"/>
    </w:lvl>
  </w:abstractNum>
  <w:abstractNum w:abstractNumId="64">
    <w:nsid w:val="4BD8591A"/>
    <w:multiLevelType w:val="hybridMultilevel"/>
    <w:lvl w:ilvl="0">
      <w:lvlJc w:val="left"/>
      <w:lvlText w:val="(%1)"/>
      <w:numFmt w:val="lowerLetter"/>
      <w:start w:val="2"/>
    </w:lvl>
  </w:abstractNum>
  <w:abstractNum w:abstractNumId="65">
    <w:nsid w:val="78DF6A55"/>
    <w:multiLevelType w:val="hybridMultilevel"/>
    <w:lvl w:ilvl="0">
      <w:lvlJc w:val="left"/>
      <w:lvlText w:val="(%1)"/>
      <w:numFmt w:val="lowerLetter"/>
      <w:start w:val="2"/>
    </w:lvl>
  </w:abstractNum>
  <w:abstractNum w:abstractNumId="66">
    <w:nsid w:val="39B7AAA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67">
    <w:nsid w:val="2B0D8DBE"/>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68">
    <w:nsid w:val="6C80EC7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9">
    <w:nsid w:val="379E21B5"/>
    <w:multiLevelType w:val="hybridMultilevel"/>
    <w:lvl w:ilvl="0">
      <w:lvlJc w:val="left"/>
      <w:lvlText w:val="(%1)"/>
      <w:numFmt w:val="lowerLetter"/>
      <w:start w:val="1"/>
    </w:lvl>
  </w:abstractNum>
  <w:abstractNum w:abstractNumId="70">
    <w:nsid w:val="69E373"/>
    <w:multiLevelType w:val="hybridMultilevel"/>
    <w:lvl w:ilvl="0">
      <w:lvlJc w:val="left"/>
      <w:lvlText w:val="(%1)"/>
      <w:numFmt w:val="lowerRoman"/>
      <w:start w:val="2"/>
    </w:lvl>
  </w:abstractNum>
  <w:abstractNum w:abstractNumId="71">
    <w:nsid w:val="2C27173B"/>
    <w:multiLevelType w:val="hybridMultilevel"/>
    <w:lvl w:ilvl="0">
      <w:lvlJc w:val="left"/>
      <w:lvlText w:val="(%1)"/>
      <w:numFmt w:val="lowerLetter"/>
      <w:start w:val="2"/>
    </w:lvl>
  </w:abstractNum>
  <w:abstractNum w:abstractNumId="72">
    <w:nsid w:val="4C9B0904"/>
    <w:multiLevelType w:val="hybridMultilevel"/>
    <w:lvl w:ilvl="0">
      <w:lvlJc w:val="left"/>
      <w:lvlText w:val="(%1)"/>
      <w:numFmt w:val="lowerLetter"/>
      <w:start w:val="2"/>
    </w:lvl>
  </w:abstractNum>
  <w:abstractNum w:abstractNumId="73">
    <w:nsid w:val="6AA7B75C"/>
    <w:multiLevelType w:val="hybridMultilevel"/>
    <w:lvl w:ilvl="0">
      <w:lvlJc w:val="left"/>
      <w:lvlText w:val="(%1)"/>
      <w:numFmt w:val="lowerLetter"/>
      <w:start w:val="2"/>
    </w:lvl>
  </w:abstractNum>
  <w:abstractNum w:abstractNumId="74">
    <w:nsid w:val="1DF029D3"/>
    <w:multiLevelType w:val="hybridMultilevel"/>
    <w:lvl w:ilvl="0">
      <w:lvlJc w:val="left"/>
      <w:lvlText w:val="(%1)"/>
      <w:numFmt w:val="lowerRoman"/>
      <w:start w:val="2"/>
    </w:lvl>
  </w:abstractNum>
  <w:abstractNum w:abstractNumId="75">
    <w:nsid w:val="5675FF36"/>
    <w:multiLevelType w:val="hybridMultilevel"/>
    <w:lvl w:ilvl="0">
      <w:lvlJc w:val="left"/>
      <w:lvlText w:val="(%1)"/>
      <w:numFmt w:val="lowerLetter"/>
      <w:start w:val="3"/>
    </w:lvl>
  </w:abstractNum>
  <w:abstractNum w:abstractNumId="76">
    <w:nsid w:val="3DD15094"/>
    <w:multiLevelType w:val="hybridMultilevel"/>
    <w:lvl w:ilvl="0">
      <w:lvlJc w:val="left"/>
      <w:lvlText w:val="(%1)"/>
      <w:numFmt w:val="lowerLetter"/>
      <w:start w:val="1"/>
    </w:lvl>
  </w:abstractNum>
  <w:abstractNum w:abstractNumId="77">
    <w:nsid w:val="3DB012B3"/>
    <w:multiLevelType w:val="hybridMultilevel"/>
    <w:lvl w:ilvl="0">
      <w:lvlJc w:val="left"/>
      <w:lvlText w:val="(%1)"/>
      <w:numFmt w:val="lowerRoman"/>
      <w:start w:val="1"/>
    </w:lvl>
  </w:abstractNum>
  <w:abstractNum w:abstractNumId="78">
    <w:nsid w:val="2708C9AF"/>
    <w:multiLevelType w:val="hybridMultilevel"/>
    <w:lvl w:ilvl="0">
      <w:lvlJc w:val="left"/>
      <w:lvlText w:val="%1"/>
      <w:numFmt w:val="upperLetter"/>
      <w:start w:val="1"/>
    </w:lvl>
    <w:lvl w:ilvl="1">
      <w:lvlJc w:val="left"/>
      <w:lvlText w:val="(%2)"/>
      <w:numFmt w:val="lowerLetter"/>
      <w:start w:val="2"/>
    </w:lvl>
  </w:abstractNum>
  <w:abstractNum w:abstractNumId="79">
    <w:nsid w:val="5B25ACE2"/>
    <w:multiLevelType w:val="hybridMultilevel"/>
    <w:lvl w:ilvl="0">
      <w:lvlJc w:val="left"/>
      <w:lvlText w:val="(%1)"/>
      <w:numFmt w:val="upperLetter"/>
      <w:start w:val="1"/>
    </w:lvl>
    <w:lvl w:ilvl="1">
      <w:lvlJc w:val="left"/>
      <w:lvlText w:val="%2"/>
      <w:numFmt w:val="lowerLetter"/>
      <w:start w:val="1"/>
    </w:lvl>
  </w:abstractNum>
  <w:abstractNum w:abstractNumId="80">
    <w:nsid w:val="175DFCF0"/>
    <w:multiLevelType w:val="hybridMultilevel"/>
    <w:lvl w:ilvl="0">
      <w:lvlJc w:val="left"/>
      <w:lvlText w:val="(%1)"/>
      <w:numFmt w:val="lowerLetter"/>
      <w:start w:val="3"/>
    </w:lvl>
    <w:lvl w:ilvl="1">
      <w:lvlJc w:val="left"/>
      <w:lvlText w:val="(%2)"/>
      <w:numFmt w:val="lowerRoman"/>
      <w:start w:val="1"/>
    </w:lvl>
  </w:abstractNum>
  <w:abstractNum w:abstractNumId="81">
    <w:nsid w:val="4F97E3E4"/>
    <w:multiLevelType w:val="hybridMultilevel"/>
    <w:lvl w:ilvl="0">
      <w:lvlJc w:val="left"/>
      <w:lvlText w:val="(%1)"/>
      <w:numFmt w:val="lowerLetter"/>
      <w:start w:val="4"/>
    </w:lvl>
  </w:abstractNum>
  <w:abstractNum w:abstractNumId="82">
    <w:nsid w:val="53B0A9E"/>
    <w:multiLevelType w:val="hybridMultilevel"/>
    <w:lvl w:ilvl="0">
      <w:lvlJc w:val="left"/>
      <w:lvlText w:val="(%1)"/>
      <w:numFmt w:val="lowerLetter"/>
      <w:start w:val="5"/>
    </w:lvl>
  </w:abstractNum>
  <w:abstractNum w:abstractNumId="83">
    <w:nsid w:val="34FD6B4F"/>
    <w:multiLevelType w:val="hybridMultilevel"/>
    <w:lvl w:ilvl="0">
      <w:lvlJc w:val="left"/>
      <w:lvlText w:val="(%1)"/>
      <w:numFmt w:val="lowerLetter"/>
      <w:start w:val="1"/>
    </w:lvl>
  </w:abstractNum>
  <w:abstractNum w:abstractNumId="84">
    <w:nsid w:val="5915FF32"/>
    <w:multiLevelType w:val="hybridMultilevel"/>
    <w:lvl w:ilvl="0">
      <w:lvlJc w:val="left"/>
      <w:lvlText w:val="(%1)"/>
      <w:numFmt w:val="lowerLetter"/>
      <w:start w:val="3"/>
    </w:lvl>
  </w:abstractNum>
  <w:abstractNum w:abstractNumId="85">
    <w:nsid w:val="56438D15"/>
    <w:multiLevelType w:val="hybridMultilevel"/>
    <w:lvl w:ilvl="0">
      <w:lvlJc w:val="left"/>
      <w:lvlText w:val="(%1)"/>
      <w:numFmt w:val="lowerLetter"/>
      <w:start w:val="1"/>
    </w:lvl>
    <w:lvl w:ilvl="1">
      <w:lvlJc w:val="left"/>
      <w:lvlText w:val="(%2)"/>
      <w:numFmt w:val="lowerRoman"/>
      <w:start w:val="1"/>
    </w:lvl>
  </w:abstractNum>
  <w:abstractNum w:abstractNumId="86">
    <w:nsid w:val="519E3149"/>
    <w:multiLevelType w:val="hybridMultilevel"/>
    <w:lvl w:ilvl="0">
      <w:lvlJc w:val="left"/>
      <w:lvlText w:val="(%1)"/>
      <w:numFmt w:val="lowerRoman"/>
      <w:start w:val="3"/>
    </w:lvl>
    <w:lvl w:ilvl="1">
      <w:lvlJc w:val="left"/>
      <w:lvlText w:val="(%2)"/>
      <w:numFmt w:val="upperLetter"/>
      <w:start w:val="1"/>
    </w:lvl>
  </w:abstractNum>
  <w:abstractNum w:abstractNumId="87">
    <w:nsid w:val="2C6E4AFD"/>
    <w:multiLevelType w:val="hybridMultilevel"/>
    <w:lvl w:ilvl="0">
      <w:lvlJc w:val="left"/>
      <w:lvlText w:val="%1"/>
      <w:numFmt w:val="lowerLetter"/>
      <w:start w:val="1"/>
    </w:lvl>
    <w:lvl w:ilvl="1">
      <w:lvlJc w:val="left"/>
      <w:lvlText w:val="(%2)"/>
      <w:numFmt w:val="lowerLetter"/>
      <w:start w:val="22"/>
    </w:lvl>
  </w:abstractNum>
  <w:abstractNum w:abstractNumId="88">
    <w:nsid w:val="17A1B582"/>
    <w:multiLevelType w:val="hybridMultilevel"/>
    <w:lvl w:ilvl="0">
      <w:lvlJc w:val="left"/>
      <w:lvlText w:val="(%1)"/>
      <w:numFmt w:val="lowerLetter"/>
      <w:start w:val="25"/>
    </w:lvl>
    <w:lvl w:ilvl="1">
      <w:lvlJc w:val="left"/>
      <w:lvlText w:val="%2"/>
      <w:numFmt w:val="lowerLetter"/>
      <w:start w:val="1"/>
    </w:lvl>
  </w:abstractNum>
  <w:abstractNum w:abstractNumId="89">
    <w:nsid w:val="4DF72E4E"/>
    <w:multiLevelType w:val="hybridMultilevel"/>
    <w:lvl w:ilvl="0">
      <w:lvlJc w:val="left"/>
      <w:lvlText w:val="(%1)"/>
      <w:numFmt w:val="lowerLetter"/>
      <w:start w:val="2"/>
    </w:lvl>
  </w:abstractNum>
  <w:abstractNum w:abstractNumId="90">
    <w:nsid w:val="5046B5A9"/>
    <w:multiLevelType w:val="hybridMultilevel"/>
    <w:lvl w:ilvl="0">
      <w:lvlJc w:val="left"/>
      <w:lvlText w:val="(%1)"/>
      <w:numFmt w:val="lowerLetter"/>
      <w:start w:val="2"/>
    </w:lvl>
  </w:abstractNum>
  <w:abstractNum w:abstractNumId="91">
    <w:nsid w:val="5D888A08"/>
    <w:multiLevelType w:val="hybridMultilevel"/>
    <w:lvl w:ilvl="0">
      <w:lvlJc w:val="left"/>
      <w:lvlText w:val="(%1)"/>
      <w:numFmt w:val="lowerLetter"/>
      <w:start w:val="1"/>
    </w:lvl>
  </w:abstractNum>
  <w:abstractNum w:abstractNumId="92">
    <w:nsid w:val="2A082C70"/>
    <w:multiLevelType w:val="hybridMultilevel"/>
    <w:lvl w:ilvl="0">
      <w:lvlJc w:val="left"/>
      <w:lvlText w:val="%1"/>
      <w:numFmt w:val="lowerLetter"/>
      <w:start w:val="1"/>
    </w:lvl>
    <w:lvl w:ilvl="1">
      <w:lvlJc w:val="left"/>
      <w:lvlText w:val="(%2)"/>
      <w:numFmt w:val="lowerRoman"/>
      <w:start w:val="1"/>
    </w:lvl>
  </w:abstractNum>
  <w:abstractNum w:abstractNumId="93">
    <w:nsid w:val="5EC6AFD4"/>
    <w:multiLevelType w:val="hybridMultilevel"/>
    <w:lvl w:ilvl="0">
      <w:lvlJc w:val="left"/>
      <w:lvlText w:val="(%1)"/>
      <w:numFmt w:val="lowerLetter"/>
      <w:start w:val="2"/>
    </w:lvl>
    <w:lvl w:ilvl="1">
      <w:lvlJc w:val="left"/>
      <w:lvlText w:val="%2"/>
      <w:numFmt w:val="lowerRoman"/>
      <w:start w:val="1"/>
    </w:lvl>
  </w:abstractNum>
  <w:abstractNum w:abstractNumId="94">
    <w:nsid w:val="19E21BB2"/>
    <w:multiLevelType w:val="hybridMultilevel"/>
    <w:lvl w:ilvl="0">
      <w:lvlJc w:val="left"/>
      <w:lvlText w:val="(%1)"/>
      <w:numFmt w:val="lowerLetter"/>
      <w:start w:val="1"/>
    </w:lvl>
    <w:lvl w:ilvl="1">
      <w:lvlJc w:val="left"/>
      <w:lvlText w:val="(%2)"/>
      <w:numFmt w:val="lowerRoman"/>
      <w:start w:val="1"/>
    </w:lvl>
  </w:abstractNum>
  <w:abstractNum w:abstractNumId="95">
    <w:nsid w:val="75E0858A"/>
    <w:multiLevelType w:val="hybridMultilevel"/>
    <w:lvl w:ilvl="0">
      <w:lvlJc w:val="left"/>
      <w:lvlText w:val="%1"/>
      <w:numFmt w:val="lowerLetter"/>
      <w:start w:val="1"/>
    </w:lvl>
    <w:lvl w:ilvl="1">
      <w:lvlJc w:val="left"/>
      <w:lvlText w:val="(%2)"/>
      <w:numFmt w:val="lowerLetter"/>
      <w:start w:val="61"/>
    </w:lvl>
  </w:abstractNum>
  <w:abstractNum w:abstractNumId="96">
    <w:nsid w:val="57A61A29"/>
    <w:multiLevelType w:val="hybridMultilevel"/>
    <w:lvl w:ilvl="0">
      <w:lvlJc w:val="left"/>
      <w:lvlText w:val="(%1)"/>
      <w:numFmt w:val="lowerLetter"/>
      <w:start w:val="2"/>
    </w:lvl>
    <w:lvl w:ilvl="1">
      <w:lvlJc w:val="left"/>
      <w:lvlText w:val="(%2)"/>
      <w:numFmt w:val="lowerLetter"/>
      <w:start w:val="9"/>
    </w:lvl>
  </w:abstractNum>
  <w:abstractNum w:abstractNumId="97">
    <w:nsid w:val="5399C654"/>
    <w:multiLevelType w:val="hybridMultilevel"/>
    <w:lvl w:ilvl="0">
      <w:lvlJc w:val="left"/>
      <w:lvlText w:val="(%1)"/>
      <w:numFmt w:val="lowerRoman"/>
      <w:start w:val="2"/>
    </w:lvl>
  </w:abstractNum>
  <w:abstractNum w:abstractNumId="98">
    <w:nsid w:val="20EE134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9">
    <w:nsid w:val="4427069A"/>
    <w:multiLevelType w:val="hybridMultilevel"/>
    <w:lvl w:ilvl="0">
      <w:lvlJc w:val="left"/>
      <w:lvlText w:val="(%1)"/>
      <w:numFmt w:val="upperLetter"/>
      <w:start w:val="9"/>
    </w:lvl>
  </w:abstractNum>
  <w:abstractNum w:abstractNumId="100">
    <w:nsid w:val="B37E80A"/>
    <w:multiLevelType w:val="hybridMultilevel"/>
    <w:lvl w:ilvl="0">
      <w:lvlJc w:val="left"/>
      <w:lvlText w:val="(%1)"/>
      <w:numFmt w:val="upperLetter"/>
      <w:start w:val="35"/>
    </w:lvl>
  </w:abstractNum>
  <w:abstractNum w:abstractNumId="101">
    <w:nsid w:val="2157F6BC"/>
    <w:multiLevelType w:val="hybridMultilevel"/>
    <w:lvl w:ilvl="0">
      <w:lvlJc w:val="left"/>
      <w:lvlText w:val="(%1)"/>
      <w:numFmt w:val="upperLetter"/>
      <w:start w:val="61"/>
    </w:lvl>
  </w:abstractNum>
  <w:abstractNum w:abstractNumId="102">
    <w:nsid w:val="704E1DD5"/>
    <w:multiLevelType w:val="hybridMultilevel"/>
    <w:lvl w:ilvl="0">
      <w:lvlJc w:val="left"/>
      <w:lvlText w:val="%1"/>
      <w:numFmt w:val="upperLetter"/>
      <w:start w:val="1"/>
    </w:lvl>
    <w:lvl w:ilvl="1">
      <w:lvlJc w:val="left"/>
      <w:lvlText w:val="(%2)"/>
      <w:numFmt w:val="upperLetter"/>
      <w:start w:val="22"/>
    </w:lvl>
  </w:abstractNum>
  <w:abstractNum w:abstractNumId="103">
    <w:nsid w:val="57D2F10E"/>
    <w:multiLevelType w:val="hybridMultilevel"/>
    <w:lvl w:ilvl="0">
      <w:lvlJc w:val="left"/>
      <w:lvlText w:val="(%1)"/>
      <w:numFmt w:val="upperLetter"/>
      <w:start w:val="3"/>
    </w:lvl>
    <w:lvl w:ilvl="1">
      <w:lvlJc w:val="left"/>
      <w:lvlText w:val="%2"/>
      <w:numFmt w:val="upperLetter"/>
      <w:start w:val="1"/>
    </w:lvl>
  </w:abstractNum>
  <w:abstractNum w:abstractNumId="104">
    <w:nsid w:val="BFFAE18"/>
    <w:multiLevelType w:val="hybridMultilevel"/>
    <w:lvl w:ilvl="0">
      <w:lvlJc w:val="left"/>
      <w:lvlText w:val="%1"/>
      <w:numFmt w:val="lowerLetter"/>
      <w:start w:val="1"/>
    </w:lvl>
    <w:lvl w:ilvl="1">
      <w:lvlJc w:val="left"/>
      <w:lvlText w:val="(%2)"/>
      <w:numFmt w:val="lowerLetter"/>
      <w:start w:val="61"/>
    </w:lvl>
  </w:abstractNum>
  <w:abstractNum w:abstractNumId="105">
    <w:nsid w:val="E3E47A8"/>
    <w:multiLevelType w:val="hybridMultilevel"/>
    <w:lvl w:ilvl="0">
      <w:lvlJc w:val="left"/>
      <w:lvlText w:val="(%1)"/>
      <w:numFmt w:val="lowerLetter"/>
      <w:start w:val="6"/>
    </w:lvl>
    <w:lvl w:ilvl="1">
      <w:lvlJc w:val="left"/>
      <w:lvlText w:val="%2"/>
      <w:numFmt w:val="lowerLetter"/>
      <w:start w:val="1"/>
    </w:lvl>
  </w:abstractNum>
  <w:abstractNum w:abstractNumId="106">
    <w:nsid w:val="2E48F044"/>
    <w:multiLevelType w:val="hybridMultilevel"/>
    <w:lvl w:ilvl="0">
      <w:lvlJc w:val="left"/>
      <w:lvlText w:val="(%1)"/>
      <w:numFmt w:val="lowerLetter"/>
      <w:start w:val="1"/>
    </w:lvl>
  </w:abstractNum>
  <w:abstractNum w:abstractNumId="107">
    <w:nsid w:val="49D0FEAC"/>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lvl w:ilvl="3">
      <w:lvlJc w:val="left"/>
      <w:lvlText w:val="(%4)"/>
      <w:numFmt w:val="lowerLetter"/>
      <w:start w:val="25"/>
    </w:lvl>
  </w:abstractNum>
  <w:abstractNum w:abstractNumId="108">
    <w:nsid w:val="4BEE5A5B"/>
    <w:multiLevelType w:val="hybridMultilevel"/>
    <w:lvl w:ilvl="0">
      <w:lvlJc w:val="left"/>
      <w:lvlText w:val="(%1)"/>
      <w:numFmt w:val="lowerRoman"/>
      <w:start w:val="3"/>
    </w:lvl>
  </w:abstractNum>
  <w:abstractNum w:abstractNumId="109">
    <w:nsid w:val="5551B9F3"/>
    <w:multiLevelType w:val="hybridMultilevel"/>
    <w:lvl w:ilvl="0">
      <w:lvlJc w:val="left"/>
      <w:lvlText w:val="%1"/>
      <w:numFmt w:val="lowerLetter"/>
      <w:start w:val="1"/>
    </w:lvl>
    <w:lvl w:ilvl="1">
      <w:lvlJc w:val="left"/>
      <w:lvlText w:val="(%2)"/>
      <w:numFmt w:val="lowerRoman"/>
      <w:start w:val="4"/>
    </w:lvl>
  </w:abstractNum>
  <w:abstractNum w:abstractNumId="110">
    <w:nsid w:val="24F6AB8E"/>
    <w:multiLevelType w:val="hybridMultilevel"/>
    <w:lvl w:ilvl="0">
      <w:lvlJc w:val="left"/>
      <w:lvlText w:val="(%1)"/>
      <w:numFmt w:val="lowerLetter"/>
      <w:start w:val="4"/>
    </w:lvl>
    <w:lvl w:ilvl="1">
      <w:lvlJc w:val="left"/>
      <w:lvlText w:val="%2"/>
      <w:numFmt w:val="lowerRoman"/>
      <w:start w:val="1"/>
    </w:lvl>
  </w:abstractNum>
  <w:abstractNum w:abstractNumId="111">
    <w:nsid w:val="634C574C"/>
    <w:multiLevelType w:val="hybridMultilevel"/>
    <w:lvl w:ilvl="0">
      <w:lvlJc w:val="left"/>
      <w:lvlText w:val="(%1)"/>
      <w:numFmt w:val="lowerLetter"/>
      <w:start w:val="5"/>
    </w:lvl>
    <w:lvl w:ilvl="1">
      <w:lvlJc w:val="left"/>
      <w:lvlText w:val="(%2)"/>
      <w:numFmt w:val="lowerRoman"/>
      <w:start w:val="1"/>
    </w:lvl>
  </w:abstractNum>
  <w:abstractNum w:abstractNumId="112">
    <w:nsid w:val="24E99DD7"/>
    <w:multiLevelType w:val="hybridMultilevel"/>
    <w:lvl w:ilvl="0">
      <w:lvlJc w:val="left"/>
      <w:lvlText w:val="(%1)"/>
      <w:numFmt w:val="lowerLetter"/>
      <w:start w:val="1"/>
    </w:lvl>
    <w:lvl w:ilvl="1">
      <w:lvlJc w:val="left"/>
      <w:lvlText w:val="(%2)"/>
      <w:numFmt w:val="lowerRoman"/>
      <w:start w:val="1"/>
    </w:lvl>
  </w:abstractNum>
  <w:abstractNum w:abstractNumId="113">
    <w:nsid w:val="2A31B62D"/>
    <w:multiLevelType w:val="hybridMultilevel"/>
    <w:lvl w:ilvl="0">
      <w:lvlJc w:val="left"/>
      <w:lvlText w:val="%1"/>
      <w:numFmt w:val="lowerLetter"/>
      <w:start w:val="1"/>
    </w:lvl>
    <w:lvl w:ilvl="1">
      <w:lvlJc w:val="left"/>
      <w:lvlText w:val="(%2)"/>
      <w:numFmt w:val="lowerLetter"/>
      <w:start w:val="2"/>
    </w:lvl>
  </w:abstractNum>
  <w:abstractNum w:abstractNumId="114">
    <w:nsid w:val="1849C29B"/>
    <w:multiLevelType w:val="hybridMultilevel"/>
    <w:lvl w:ilvl="0">
      <w:lvlJc w:val="left"/>
      <w:lvlText w:val="(%1)"/>
      <w:numFmt w:val="lowerLetter"/>
      <w:start w:val="9"/>
    </w:lvl>
    <w:lvl w:ilvl="1">
      <w:lvlJc w:val="left"/>
      <w:lvlText w:val="%2"/>
      <w:numFmt w:val="lowerLetter"/>
      <w:start w:val="1"/>
    </w:lvl>
  </w:abstractNum>
  <w:abstractNum w:abstractNumId="115">
    <w:nsid w:val="7DFF9D09"/>
    <w:multiLevelType w:val="hybridMultilevel"/>
    <w:lvl w:ilvl="0">
      <w:lvlJc w:val="left"/>
      <w:lvlText w:val="(%1)"/>
      <w:numFmt w:val="lowerLetter"/>
      <w:start w:val="6"/>
    </w:lvl>
  </w:abstractNum>
  <w:abstractNum w:abstractNumId="116">
    <w:nsid w:val="754342"/>
    <w:multiLevelType w:val="hybridMultilevel"/>
    <w:lvl w:ilvl="0">
      <w:lvlJc w:val="left"/>
      <w:lvlText w:val="(%1)"/>
      <w:numFmt w:val="lowerLetter"/>
      <w:start w:val="1"/>
    </w:lvl>
  </w:abstractNum>
  <w:abstractNum w:abstractNumId="117">
    <w:nsid w:val="69E7F3E5"/>
    <w:multiLevelType w:val="hybridMultilevel"/>
    <w:lvl w:ilvl="0">
      <w:lvlJc w:val="left"/>
      <w:lvlText w:val="(%1)"/>
      <w:numFmt w:val="lowerLetter"/>
      <w:start w:val="1"/>
    </w:lvl>
  </w:abstractNum>
  <w:abstractNum w:abstractNumId="118">
    <w:nsid w:val="2A6DE806"/>
    <w:multiLevelType w:val="hybridMultilevel"/>
    <w:lvl w:ilvl="0">
      <w:lvlJc w:val="left"/>
      <w:lvlText w:val="(%1)"/>
      <w:numFmt w:val="lowerLetter"/>
      <w:start w:val="2"/>
    </w:lvl>
  </w:abstractNum>
  <w:abstractNum w:abstractNumId="119">
    <w:nsid w:val="1816F8C4"/>
    <w:multiLevelType w:val="hybridMultilevel"/>
    <w:lvl w:ilvl="0">
      <w:lvlJc w:val="left"/>
      <w:lvlText w:val="(%1)"/>
      <w:numFmt w:val="lowerLetter"/>
      <w:start w:val="1"/>
    </w:lvl>
    <w:lvl w:ilvl="1">
      <w:lvlJc w:val="left"/>
      <w:lvlText w:val="(%2)"/>
      <w:numFmt w:val="lowerRoman"/>
      <w:start w:val="1"/>
    </w:lvl>
  </w:abstractNum>
  <w:abstractNum w:abstractNumId="120">
    <w:nsid w:val="37DF2233"/>
    <w:multiLevelType w:val="hybridMultilevel"/>
    <w:lvl w:ilvl="0">
      <w:lvlJc w:val="left"/>
      <w:lvlText w:val="(%1)"/>
      <w:numFmt w:val="lowerRoman"/>
      <w:start w:val="7"/>
    </w:lvl>
  </w:abstractNum>
  <w:abstractNum w:abstractNumId="121">
    <w:nsid w:val="7AB49DAF"/>
    <w:multiLevelType w:val="hybridMultilevel"/>
    <w:lvl w:ilvl="0">
      <w:lvlJc w:val="left"/>
      <w:lvlText w:val="%1"/>
      <w:numFmt w:val="lowerRoman"/>
      <w:start w:val="1"/>
    </w:lvl>
    <w:lvl w:ilvl="1">
      <w:lvlJc w:val="left"/>
      <w:lvlText w:val="(%2)"/>
      <w:numFmt w:val="upperLetter"/>
      <w:start w:val="2"/>
    </w:lvl>
  </w:abstractNum>
  <w:abstractNum w:abstractNumId="122">
    <w:nsid w:val="759F82CD"/>
    <w:multiLevelType w:val="hybridMultilevel"/>
    <w:lvl w:ilvl="0">
      <w:lvlJc w:val="left"/>
      <w:lvlText w:val="(%1)"/>
      <w:numFmt w:val="lowerRoman"/>
      <w:start w:val="12"/>
    </w:lvl>
    <w:lvl w:ilvl="1">
      <w:lvlJc w:val="left"/>
      <w:lvlText w:val="%2"/>
      <w:numFmt w:val="upperLetter"/>
      <w:start w:val="1"/>
    </w:lvl>
  </w:abstractNum>
  <w:abstractNum w:abstractNumId="123">
    <w:nsid w:val="61E74EA3"/>
    <w:multiLevelType w:val="hybridMultilevel"/>
    <w:lvl w:ilvl="0">
      <w:lvlJc w:val="left"/>
      <w:lvlText w:val="(%1)"/>
      <w:numFmt w:val="lowerRoman"/>
      <w:start w:val="7"/>
    </w:lvl>
    <w:lvl w:ilvl="1">
      <w:lvlJc w:val="left"/>
      <w:lvlText w:val="(%2)"/>
      <w:numFmt w:val="lowerLetter"/>
      <w:start w:val="2"/>
    </w:lvl>
  </w:abstractNum>
  <w:abstractNum w:abstractNumId="124">
    <w:nsid w:val="597B4D84"/>
    <w:multiLevelType w:val="hybridMultilevel"/>
    <w:lvl w:ilvl="0">
      <w:lvlJc w:val="left"/>
      <w:lvlText w:val="(%1)"/>
      <w:numFmt w:val="lowerLetter"/>
      <w:start w:val="3"/>
    </w:lvl>
  </w:abstractNum>
  <w:abstractNum w:abstractNumId="125">
    <w:nsid w:val="F819E7F"/>
    <w:multiLevelType w:val="hybridMultilevel"/>
    <w:lvl w:ilvl="0">
      <w:lvlJc w:val="left"/>
      <w:lvlText w:val="(%1)"/>
      <w:numFmt w:val="lowerLetter"/>
      <w:start w:val="1"/>
    </w:lvl>
  </w:abstractNum>
  <w:abstractNum w:abstractNumId="126">
    <w:nsid w:val="57C7D42D"/>
    <w:multiLevelType w:val="hybridMultilevel"/>
    <w:lvl w:ilvl="0">
      <w:lvlJc w:val="left"/>
      <w:lvlText w:val="(%1)"/>
      <w:numFmt w:val="lowerLetter"/>
      <w:start w:val="1"/>
    </w:lvl>
  </w:abstractNum>
  <w:abstractNum w:abstractNumId="127">
    <w:nsid w:val="312167AD"/>
    <w:multiLevelType w:val="hybridMultilevel"/>
    <w:lvl w:ilvl="0">
      <w:lvlJc w:val="left"/>
      <w:lvlText w:val="(%1)"/>
      <w:numFmt w:val="lowerLetter"/>
      <w:start w:val="3"/>
    </w:lvl>
  </w:abstractNum>
  <w:abstractNum w:abstractNumId="128">
    <w:nsid w:val="631B64D4"/>
    <w:multiLevelType w:val="hybridMultilevel"/>
    <w:lvl w:ilvl="0">
      <w:lvlJc w:val="left"/>
      <w:lvlText w:val="(%1)"/>
      <w:numFmt w:val="lowerLetter"/>
      <w:start w:val="1"/>
    </w:lvl>
  </w:abstractNum>
  <w:abstractNum w:abstractNumId="129">
    <w:nsid w:val="78B5E776"/>
    <w:multiLevelType w:val="hybridMultilevel"/>
    <w:lvl w:ilvl="0">
      <w:lvlJc w:val="left"/>
      <w:lvlText w:val="(%1)"/>
      <w:numFmt w:val="lowerLetter"/>
      <w:start w:val="1"/>
    </w:lvl>
  </w:abstractNum>
  <w:abstractNum w:abstractNumId="130">
    <w:nsid w:val="75486E47"/>
    <w:multiLevelType w:val="hybridMultilevel"/>
    <w:lvl w:ilvl="0">
      <w:lvlJc w:val="left"/>
      <w:lvlText w:val="(%1)"/>
      <w:numFmt w:val="lowerLetter"/>
      <w:start w:val="1"/>
    </w:lvl>
  </w:abstractNum>
  <w:abstractNum w:abstractNumId="131">
    <w:nsid w:val="6E534CDE"/>
    <w:multiLevelType w:val="hybridMultilevel"/>
    <w:lvl w:ilvl="0">
      <w:lvlJc w:val="left"/>
      <w:lvlText w:val="(%1)"/>
      <w:numFmt w:val="lowerLetter"/>
      <w:start w:val="2"/>
    </w:lvl>
  </w:abstractNum>
  <w:abstractNum w:abstractNumId="132">
    <w:nsid w:val="1A0DDE32"/>
    <w:multiLevelType w:val="hybridMultilevel"/>
    <w:lvl w:ilvl="0">
      <w:lvlJc w:val="left"/>
      <w:lvlText w:val="(%1)"/>
      <w:numFmt w:val="lowerLetter"/>
      <w:start w:val="1"/>
    </w:lvl>
  </w:abstractNum>
  <w:abstractNum w:abstractNumId="133">
    <w:nsid w:val="65968C1C"/>
    <w:multiLevelType w:val="hybridMultilevel"/>
    <w:lvl w:ilvl="0">
      <w:lvlJc w:val="left"/>
      <w:lvlText w:val="(%1)"/>
      <w:numFmt w:val="lowerLetter"/>
      <w:start w:val="1"/>
    </w:lvl>
    <w:lvl w:ilvl="1">
      <w:lvlJc w:val="left"/>
      <w:lvlText w:val="(%2)"/>
      <w:numFmt w:val="lowerRoman"/>
      <w:start w:val="1"/>
    </w:lvl>
  </w:abstractNum>
  <w:abstractNum w:abstractNumId="134">
    <w:nsid w:val="46263DEC"/>
    <w:multiLevelType w:val="hybridMultilevel"/>
    <w:lvl w:ilvl="0">
      <w:lvlJc w:val="left"/>
      <w:lvlText w:val="%1"/>
      <w:numFmt w:val="lowerLetter"/>
      <w:start w:val="1"/>
    </w:lvl>
    <w:lvl w:ilvl="1">
      <w:lvlJc w:val="left"/>
      <w:lvlText w:val="(%2)"/>
      <w:numFmt w:val="lowerRoman"/>
      <w:start w:val="4"/>
    </w:lvl>
  </w:abstractNum>
  <w:abstractNum w:abstractNumId="135">
    <w:nsid w:val="260D8C4A"/>
    <w:multiLevelType w:val="hybridMultilevel"/>
    <w:lvl w:ilvl="0">
      <w:lvlJc w:val="left"/>
      <w:lvlText w:val="(%1)"/>
      <w:numFmt w:val="lowerLetter"/>
      <w:start w:val="4"/>
    </w:lvl>
    <w:lvl w:ilvl="1">
      <w:lvlJc w:val="left"/>
      <w:lvlText w:val="%2"/>
      <w:numFmt w:val="lowerRoman"/>
      <w:start w:val="1"/>
    </w:lvl>
  </w:abstractNum>
  <w:abstractNum w:abstractNumId="136">
    <w:nsid w:val="73D4D3C4"/>
    <w:multiLevelType w:val="hybridMultilevel"/>
    <w:lvl w:ilvl="0">
      <w:lvlJc w:val="left"/>
      <w:lvlText w:val="(%1)"/>
      <w:numFmt w:val="lowerRoman"/>
      <w:start w:val="2"/>
    </w:lvl>
  </w:abstractNum>
  <w:abstractNum w:abstractNumId="137">
    <w:nsid w:val="746F2E30"/>
    <w:multiLevelType w:val="hybridMultilevel"/>
    <w:lvl w:ilvl="0">
      <w:lvlJc w:val="left"/>
      <w:lvlText w:val="(%1)"/>
      <w:numFmt w:val="lowerLetter"/>
      <w:start w:val="1"/>
    </w:lvl>
  </w:abstractNum>
  <w:abstractNum w:abstractNumId="138">
    <w:nsid w:val="6FDE8AF6"/>
    <w:multiLevelType w:val="hybridMultilevel"/>
    <w:lvl w:ilvl="0">
      <w:lvlJc w:val="left"/>
      <w:lvlText w:val="(%1)"/>
      <w:numFmt w:val="lowerLetter"/>
      <w:start w:val="10"/>
    </w:lvl>
  </w:abstractNum>
  <w:abstractNum w:abstractNumId="139">
    <w:nsid w:val="3FC32E20"/>
    <w:multiLevelType w:val="hybridMultilevel"/>
    <w:lvl w:ilvl="0">
      <w:lvlJc w:val="left"/>
      <w:lvlText w:val="(%1)"/>
      <w:numFmt w:val="lowerLetter"/>
      <w:start w:val="12"/>
    </w:lvl>
  </w:abstractNum>
  <w:abstractNum w:abstractNumId="140">
    <w:nsid w:val="49C0E823"/>
    <w:multiLevelType w:val="hybridMultilevel"/>
    <w:lvl w:ilvl="0">
      <w:lvlJc w:val="left"/>
      <w:lvlText w:val="(%1)"/>
      <w:numFmt w:val="lowerLetter"/>
      <w:start w:val="1"/>
    </w:lvl>
  </w:abstractNum>
  <w:abstractNum w:abstractNumId="141">
    <w:nsid w:val="14D53685"/>
    <w:multiLevelType w:val="hybridMultilevel"/>
    <w:lvl w:ilvl="0">
      <w:lvlJc w:val="left"/>
      <w:lvlText w:val="%1"/>
      <w:numFmt w:val="lowerRoman"/>
      <w:start w:val="1"/>
    </w:lvl>
    <w:lvl w:ilvl="1">
      <w:lvlJc w:val="left"/>
      <w:lvlText w:val="(%2)"/>
      <w:numFmt w:val="lowerLetter"/>
      <w:start w:val="5"/>
    </w:lvl>
  </w:abstractNum>
  <w:abstractNum w:abstractNumId="142">
    <w:nsid w:val="230F856C"/>
    <w:multiLevelType w:val="hybridMultilevel"/>
    <w:lvl w:ilvl="0">
      <w:lvlJc w:val="left"/>
      <w:lvlText w:val="(%1)"/>
      <w:numFmt w:val="lowerRoman"/>
      <w:start w:val="7"/>
    </w:lvl>
    <w:lvl w:ilvl="1">
      <w:lvlJc w:val="left"/>
      <w:lvlText w:val="(%2)"/>
      <w:numFmt w:val="lowerLetter"/>
      <w:start w:val="6"/>
    </w:lvl>
  </w:abstractNum>
  <w:abstractNum w:abstractNumId="143">
    <w:nsid w:val="6EAA85FB"/>
    <w:multiLevelType w:val="hybridMultilevel"/>
    <w:lvl w:ilvl="0">
      <w:lvlJc w:val="left"/>
      <w:lvlText w:val="(%1)"/>
      <w:numFmt w:val="lowerLetter"/>
      <w:start w:val="9"/>
    </w:lvl>
  </w:abstractNum>
  <w:abstractNum w:abstractNumId="144">
    <w:nsid w:val="3F06ECB2"/>
    <w:multiLevelType w:val="hybridMultilevel"/>
    <w:lvl w:ilvl="0">
      <w:lvlJc w:val="left"/>
      <w:lvlText w:val="(%1)"/>
      <w:numFmt w:val="lowerLetter"/>
      <w:start w:val="1"/>
    </w:lvl>
  </w:abstractNum>
  <w:abstractNum w:abstractNumId="145">
    <w:nsid w:val="3B594807"/>
    <w:multiLevelType w:val="hybridMultilevel"/>
    <w:lvl w:ilvl="0">
      <w:lvlJc w:val="left"/>
      <w:lvlText w:val="(%1)"/>
      <w:numFmt w:val="lowerLetter"/>
      <w:start w:val="3"/>
    </w:lvl>
  </w:abstractNum>
  <w:abstractNum w:abstractNumId="146">
    <w:nsid w:val="6CAA2304"/>
    <w:multiLevelType w:val="hybridMultilevel"/>
    <w:lvl w:ilvl="0">
      <w:lvlJc w:val="left"/>
      <w:lvlText w:val="(%1)"/>
      <w:numFmt w:val="lowerLetter"/>
      <w:start w:val="1"/>
    </w:lvl>
  </w:abstractNum>
  <w:abstractNum w:abstractNumId="147">
    <w:nsid w:val="3F7C2FF4"/>
    <w:multiLevelType w:val="hybridMultilevel"/>
    <w:lvl w:ilvl="0">
      <w:lvlJc w:val="left"/>
      <w:lvlText w:val="(%1)"/>
      <w:numFmt w:val="lowerLetter"/>
      <w:start w:val="3"/>
    </w:lvl>
  </w:abstractNum>
  <w:abstractNum w:abstractNumId="148">
    <w:nsid w:val="25413BEC"/>
    <w:multiLevelType w:val="hybridMultilevel"/>
    <w:lvl w:ilvl="0">
      <w:lvlJc w:val="left"/>
      <w:lvlText w:val="(%1)"/>
      <w:numFmt w:val="lowerLetter"/>
      <w:start w:val="1"/>
    </w:lvl>
    <w:lvl w:ilvl="1">
      <w:lvlJc w:val="left"/>
      <w:lvlText w:val="(%2)"/>
      <w:numFmt w:val="lowerLetter"/>
      <w:start w:val="2"/>
    </w:lvl>
  </w:abstractNum>
  <w:abstractNum w:abstractNumId="149">
    <w:nsid w:val="17180B0B"/>
    <w:multiLevelType w:val="hybridMultilevel"/>
    <w:lvl w:ilvl="0">
      <w:lvlJc w:val="left"/>
      <w:lvlText w:val="(%1)"/>
      <w:numFmt w:val="lowerLetter"/>
      <w:start w:val="3"/>
    </w:lvl>
  </w:abstractNum>
  <w:abstractNum w:abstractNumId="150">
    <w:nsid w:val="579328B9"/>
    <w:multiLevelType w:val="hybridMultilevel"/>
    <w:lvl w:ilvl="0">
      <w:lvlJc w:val="left"/>
      <w:lvlText w:val="(%1)"/>
      <w:numFmt w:val="lowerLetter"/>
      <w:start w:val="2"/>
    </w:lvl>
  </w:abstractNum>
  <w:abstractNum w:abstractNumId="151">
    <w:nsid w:val="5D205E20"/>
    <w:multiLevelType w:val="hybridMultilevel"/>
    <w:lvl w:ilvl="0">
      <w:lvlJc w:val="left"/>
      <w:lvlText w:val="(%1)"/>
      <w:numFmt w:val="lowerLetter"/>
      <w:start w:val="4"/>
    </w:lvl>
  </w:abstractNum>
  <w:abstractNum w:abstractNumId="152">
    <w:nsid w:val="11CCA8BA"/>
    <w:multiLevelType w:val="hybridMultilevel"/>
    <w:lvl w:ilvl="0">
      <w:lvlJc w:val="left"/>
      <w:lvlText w:val="(%1)"/>
      <w:numFmt w:val="lowerLetter"/>
      <w:start w:val="1"/>
    </w:lvl>
  </w:abstractNum>
  <w:abstractNum w:abstractNumId="153">
    <w:nsid w:val="4D32AB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4">
    <w:nsid w:val="3F07ACC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5">
    <w:nsid w:val="6B47F63E"/>
    <w:multiLevelType w:val="hybridMultilevel"/>
    <w:lvl w:ilvl="0">
      <w:lvlJc w:val="left"/>
      <w:lvlText w:val="(%1)"/>
      <w:numFmt w:val="lowerLetter"/>
      <w:start w:val="1"/>
    </w:lvl>
  </w:abstractNum>
  <w:abstractNum w:abstractNumId="156">
    <w:nsid w:val="5CB44A05"/>
    <w:multiLevelType w:val="hybridMultilevel"/>
    <w:lvl w:ilvl="0">
      <w:lvlJc w:val="left"/>
      <w:lvlText w:val="(%1)"/>
      <w:numFmt w:val="lowerRoman"/>
      <w:start w:val="1"/>
    </w:lvl>
  </w:abstractNum>
  <w:abstractNum w:abstractNumId="157">
    <w:nsid w:val="16CF80F1"/>
    <w:multiLevelType w:val="hybridMultilevel"/>
    <w:lvl w:ilvl="0">
      <w:lvlJc w:val="left"/>
      <w:lvlText w:val="%1"/>
      <w:numFmt w:val="lowerLetter"/>
      <w:start w:val="1"/>
    </w:lvl>
    <w:lvl w:ilvl="1">
      <w:lvlJc w:val="left"/>
      <w:lvlText w:val="(%2)"/>
      <w:numFmt w:val="lowerLetter"/>
      <w:start w:val="1"/>
    </w:lvl>
  </w:abstractNum>
  <w:abstractNum w:abstractNumId="158">
    <w:nsid w:val="1C695DEC"/>
    <w:multiLevelType w:val="hybridMultilevel"/>
    <w:lvl w:ilvl="0">
      <w:lvlJc w:val="left"/>
      <w:lvlText w:val="(%1)"/>
      <w:numFmt w:val="lowerLetter"/>
      <w:start w:val="2"/>
    </w:lvl>
    <w:lvl w:ilvl="1">
      <w:lvlJc w:val="left"/>
      <w:lvlText w:val="%2"/>
      <w:numFmt w:val="lowerLetter"/>
      <w:start w:val="1"/>
    </w:lvl>
  </w:abstractNum>
  <w:abstractNum w:abstractNumId="159">
    <w:nsid w:val="3FCFAED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0">
    <w:nsid w:val="F856867"/>
    <w:multiLevelType w:val="hybridMultilevel"/>
    <w:lvl w:ilvl="0">
      <w:lvlJc w:val="left"/>
      <w:lvlText w:val="%1"/>
      <w:numFmt w:val="lowerRoman"/>
      <w:start w:val="1"/>
    </w:lvl>
    <w:lvl w:ilvl="1">
      <w:lvlJc w:val="left"/>
      <w:lvlText w:val="(%2)"/>
      <w:numFmt w:val="upperLetter"/>
      <w:start w:val="3"/>
    </w:lvl>
  </w:abstractNum>
  <w:abstractNum w:abstractNumId="161">
    <w:nsid w:val="11B1CC33"/>
    <w:multiLevelType w:val="hybridMultilevel"/>
    <w:lvl w:ilvl="0">
      <w:lvlJc w:val="left"/>
      <w:lvlText w:val="(%1)"/>
      <w:numFmt w:val="lowerRoman"/>
      <w:start w:val="4"/>
    </w:lvl>
    <w:lvl w:ilvl="1">
      <w:lvlJc w:val="left"/>
      <w:lvlText w:val="%2"/>
      <w:numFmt w:val="upperLetter"/>
      <w:start w:val="1"/>
    </w:lvl>
  </w:abstractNum>
  <w:abstractNum w:abstractNumId="162">
    <w:nsid w:val="2E22FBB7"/>
    <w:multiLevelType w:val="hybridMultilevel"/>
    <w:lvl w:ilvl="0">
      <w:lvlJc w:val="left"/>
      <w:lvlText w:val="(%1)"/>
      <w:numFmt w:val="lowerRoman"/>
      <w:start w:val="3"/>
    </w:lvl>
  </w:abstractNum>
  <w:abstractNum w:abstractNumId="163">
    <w:nsid w:val="29934699"/>
    <w:multiLevelType w:val="hybridMultilevel"/>
    <w:lvl w:ilvl="0">
      <w:lvlJc w:val="left"/>
      <w:lvlText w:val="(%1)"/>
      <w:numFmt w:val="lowerLetter"/>
      <w:start w:val="1"/>
    </w:lvl>
    <w:lvl w:ilvl="1">
      <w:lvlJc w:val="left"/>
      <w:lvlText w:val="(%2)"/>
      <w:numFmt w:val="lowerRoman"/>
      <w:start w:val="1"/>
    </w:lvl>
  </w:abstractNum>
  <w:abstractNum w:abstractNumId="164">
    <w:nsid w:val="77485850"/>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2021-10-06T05:24:46Z</dcterms:created>
  <dcterms:modified xsi:type="dcterms:W3CDTF">2021-10-06T05:24:46Z</dcterms:modified>
</cp:coreProperties>
</file>