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JANEY GREGORY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Group VP, Contractor &amp; Res</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01/11/2023</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1,630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4,337.834</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01/11/2023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1,630</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115.31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2,707.834</w:t>
            </w:r>
            <w:r>
              <w:rPr>
                <w:rFonts w:ascii="Times New Roman" w:cs="Times New Roman" w:eastAsia="Times New Roman" w:hAnsi="Times New Roman"/>
                <w:sz w:val="21"/>
                <w:szCs w:val="21"/>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2,104.835</w:t>
            </w:r>
            <w:r>
              <w:rPr>
                <w:rFonts w:ascii="Times New Roman" w:cs="Times New Roman" w:eastAsia="Times New Roman" w:hAnsi="Times New Roman"/>
                <w:sz w:val="21"/>
                <w:szCs w:val="21"/>
                <w:color w:val="008000"/>
                <w:w w:val="94"/>
                <w:vertAlign w:val="superscript"/>
              </w:rPr>
              <w:t>(2)</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2,654.262</w:t>
            </w:r>
            <w:r>
              <w:rPr>
                <w:rFonts w:ascii="Times New Roman" w:cs="Times New Roman" w:eastAsia="Times New Roman" w:hAnsi="Times New Roman"/>
                <w:sz w:val="21"/>
                <w:szCs w:val="21"/>
                <w:color w:val="008000"/>
                <w:w w:val="94"/>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01/11/2023</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1,630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12/06/2023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1,630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1.142 shares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6.130 net shares acquired by the reporting person since the date of his last report under the dividend reinvestment feature of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4.156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6, 2013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01/13/2023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2023-01-13T10:16:04Z</dcterms:created>
  <dcterms:modified xsi:type="dcterms:W3CDTF">2023-01-13T10:16:04Z</dcterms:modified>
</cp:coreProperties>
</file>