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63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63130"/>
                    </a:xfrm>
                    <a:prstGeom prst="rect">
                      <a:avLst/>
                    </a:prstGeom>
                    <a:noFill/>
                  </pic:spPr>
                </pic:pic>
              </a:graphicData>
            </a:graphic>
          </wp:anchor>
        </w:drawing>
      </w:r>
    </w:p>
    <w:p>
      <w:pPr>
        <w:spacing w:after="0" w:line="96" w:lineRule="exact"/>
        <w:rPr>
          <w:sz w:val="24"/>
          <w:szCs w:val="24"/>
          <w:color w:val="auto"/>
        </w:rPr>
      </w:pPr>
    </w:p>
    <w:p>
      <w:pPr>
        <w:sectPr>
          <w:pgSz w:w="11900" w:h="1689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TWOMEY CHRISTOPHER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97" w:orient="portrait"/>
          <w:cols w:equalWidth="0" w:num="3">
            <w:col w:w="3360" w:space="720"/>
            <w:col w:w="3257" w:space="720"/>
            <w:col w:w="3463"/>
          </w:cols>
          <w:pgMar w:left="240" w:top="226" w:right="139" w:bottom="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97"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jc w:val="center"/>
              <w:ind w:left="52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6"/>
              <w:spacing w:after="0"/>
              <w:rPr>
                <w:sz w:val="20"/>
                <w:szCs w:val="20"/>
                <w:color w:val="auto"/>
              </w:rPr>
            </w:pPr>
            <w:r>
              <w:rPr>
                <w:rFonts w:ascii="Arial" w:cs="Arial" w:eastAsia="Arial" w:hAnsi="Arial"/>
                <w:sz w:val="18"/>
                <w:szCs w:val="18"/>
                <w:color w:val="0000FF"/>
                <w:w w:val="88"/>
              </w:rPr>
              <w:t>05/30/2014</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7,092</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18.695</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7,092</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center"/>
              <w:ind w:left="526"/>
              <w:spacing w:after="0"/>
              <w:rPr>
                <w:sz w:val="20"/>
                <w:szCs w:val="20"/>
                <w:color w:val="auto"/>
              </w:rPr>
            </w:pPr>
            <w:r>
              <w:rPr>
                <w:rFonts w:ascii="Arial" w:cs="Arial" w:eastAsia="Arial" w:hAnsi="Arial"/>
                <w:sz w:val="18"/>
                <w:szCs w:val="18"/>
                <w:color w:val="0000FF"/>
                <w:w w:val="88"/>
              </w:rPr>
              <w:t>05/30/2014</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7,092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64.559</w:t>
            </w:r>
            <w:r>
              <w:rPr>
                <w:rFonts w:ascii="Arial" w:cs="Arial" w:eastAsia="Arial" w:hAnsi="Arial"/>
                <w:sz w:val="22"/>
                <w:szCs w:val="22"/>
                <w:color w:val="008000"/>
                <w:w w:val="86"/>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Twomey</w:t>
            </w:r>
          </w:p>
        </w:tc>
        <w:tc>
          <w:tcPr>
            <w:tcW w:w="0" w:type="dxa"/>
            <w:vAlign w:val="bottom"/>
          </w:tcPr>
          <w:p>
            <w:pPr>
              <w:spacing w:after="0"/>
              <w:rPr>
                <w:sz w:val="1"/>
                <w:szCs w:val="1"/>
                <w:color w:val="auto"/>
              </w:rPr>
            </w:pPr>
          </w:p>
        </w:tc>
      </w:tr>
      <w:tr>
        <w:trPr>
          <w:trHeight w:val="230"/>
        </w:trPr>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6"/>
              <w:spacing w:after="0"/>
              <w:rPr>
                <w:sz w:val="20"/>
                <w:szCs w:val="20"/>
                <w:color w:val="auto"/>
              </w:rPr>
            </w:pPr>
            <w:r>
              <w:rPr>
                <w:rFonts w:ascii="Arial" w:cs="Arial" w:eastAsia="Arial" w:hAnsi="Arial"/>
                <w:sz w:val="18"/>
                <w:szCs w:val="18"/>
                <w:color w:val="0000FF"/>
                <w:w w:val="88"/>
              </w:rPr>
              <w:t>05/30/2014</w:t>
            </w:r>
          </w:p>
        </w:tc>
        <w:tc>
          <w:tcPr>
            <w:tcW w:w="114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10,715</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line="230"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64.413</w:t>
            </w:r>
            <w:r>
              <w:rPr>
                <w:rFonts w:ascii="Arial" w:cs="Arial" w:eastAsia="Arial" w:hAnsi="Arial"/>
                <w:sz w:val="22"/>
                <w:szCs w:val="22"/>
                <w:color w:val="008000"/>
                <w:w w:val="86"/>
                <w:vertAlign w:val="superscript"/>
              </w:rPr>
              <w:t>(2)</w:t>
            </w:r>
          </w:p>
        </w:tc>
        <w:tc>
          <w:tcPr>
            <w:tcW w:w="1160" w:type="dxa"/>
            <w:vAlign w:val="bottom"/>
          </w:tcPr>
          <w:p>
            <w:pPr>
              <w:jc w:val="center"/>
              <w:spacing w:after="0"/>
              <w:rPr>
                <w:sz w:val="20"/>
                <w:szCs w:val="20"/>
                <w:color w:val="auto"/>
              </w:rPr>
            </w:pPr>
            <w:r>
              <w:rPr>
                <w:rFonts w:ascii="Arial" w:cs="Arial" w:eastAsia="Arial" w:hAnsi="Arial"/>
                <w:sz w:val="18"/>
                <w:szCs w:val="18"/>
                <w:color w:val="0000FF"/>
                <w:w w:val="99"/>
              </w:rPr>
              <w:t>0</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2012</w:t>
            </w: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Charitable</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Remainder</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Trust</w:t>
      </w:r>
    </w:p>
    <w:p>
      <w:pPr>
        <w:spacing w:after="0" w:line="138"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Held by</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Christopher</w:t>
      </w:r>
    </w:p>
    <w:p>
      <w:pPr>
        <w:spacing w:after="0" w:line="9" w:lineRule="exact"/>
        <w:rPr>
          <w:sz w:val="24"/>
          <w:szCs w:val="24"/>
          <w:color w:val="auto"/>
        </w:rPr>
      </w:pPr>
    </w:p>
    <w:p>
      <w:pPr>
        <w:ind w:left="80"/>
        <w:spacing w:after="0"/>
        <w:tabs>
          <w:tab w:leader="none" w:pos="864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29,285</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A. Twomey</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Revocable</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Trust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325"/>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4,631.656</w:t>
            </w:r>
            <w:r>
              <w:rPr>
                <w:rFonts w:ascii="Arial" w:cs="Arial" w:eastAsia="Arial" w:hAnsi="Arial"/>
                <w:sz w:val="22"/>
                <w:szCs w:val="22"/>
                <w:color w:val="008000"/>
                <w:vertAlign w:val="superscript"/>
              </w:rPr>
              <w:t>(3)</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9"/>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8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7"/>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18.695</w:t>
            </w:r>
          </w:p>
        </w:tc>
        <w:tc>
          <w:tcPr>
            <w:tcW w:w="1080" w:type="dxa"/>
            <w:vAlign w:val="bottom"/>
          </w:tcPr>
          <w:p>
            <w:pPr>
              <w:ind w:left="200"/>
              <w:spacing w:after="0"/>
              <w:rPr>
                <w:sz w:val="20"/>
                <w:szCs w:val="20"/>
                <w:color w:val="auto"/>
              </w:rPr>
            </w:pPr>
            <w:r>
              <w:rPr>
                <w:rFonts w:ascii="Arial" w:cs="Arial" w:eastAsia="Arial" w:hAnsi="Arial"/>
                <w:sz w:val="14"/>
                <w:szCs w:val="14"/>
                <w:color w:val="0000FF"/>
              </w:rPr>
              <w:t>05/30/2014</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7,092</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11/01/2015</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7,092</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tcPr>
          <w:p>
            <w:pPr>
              <w:ind w:left="460"/>
              <w:spacing w:after="0"/>
              <w:rPr>
                <w:sz w:val="20"/>
                <w:szCs w:val="20"/>
                <w:color w:val="auto"/>
              </w:rPr>
            </w:pPr>
            <w:r>
              <w:rPr>
                <w:rFonts w:ascii="Arial" w:cs="Arial" w:eastAsia="Arial" w:hAnsi="Arial"/>
                <w:sz w:val="14"/>
                <w:szCs w:val="14"/>
                <w:color w:val="0000FF"/>
              </w:rPr>
              <w:t>0</w:t>
            </w:r>
          </w:p>
        </w:tc>
        <w:tc>
          <w:tcPr>
            <w:tcW w:w="880" w:type="dxa"/>
            <w:vAlign w:val="bottom"/>
          </w:tcPr>
          <w:p>
            <w:pPr>
              <w:ind w:left="460"/>
              <w:spacing w:after="0"/>
              <w:rPr>
                <w:sz w:val="20"/>
                <w:szCs w:val="20"/>
                <w:color w:val="auto"/>
              </w:rPr>
            </w:pPr>
            <w:r>
              <w:rPr>
                <w:rFonts w:ascii="Arial" w:cs="Arial" w:eastAsia="Arial" w:hAnsi="Arial"/>
                <w:sz w:val="14"/>
                <w:szCs w:val="14"/>
                <w:color w:val="0000FF"/>
              </w:rPr>
              <w: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$64.45 to $64.58,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$64.33 to $64.53,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29.05 common stock units acquired by the reporting person under the dividend reinvestment feature of The Toro Company Deferred Compensation Plan for Non-Employee Directors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2006.</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06/03/2014</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7"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2019-12-17T02:52:23Z</dcterms:created>
  <dcterms:modified xsi:type="dcterms:W3CDTF">2019-12-17T02:52:23Z</dcterms:modified>
</cp:coreProperties>
</file>