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Happe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05/28/2010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VP, Commercial Business</w:t>
      </w:r>
    </w:p>
    <w:p>
      <w:pPr>
        <w:spacing w:after="0" w:line="315"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Arial" w:cs="Arial" w:eastAsia="Arial" w:hAnsi="Arial"/>
                <w:sz w:val="18"/>
                <w:szCs w:val="18"/>
                <w:color w:val="0000FF"/>
              </w:rPr>
              <w:t>05/28/2010</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ind w:left="240"/>
              <w:spacing w:after="0"/>
              <w:rPr>
                <w:sz w:val="20"/>
                <w:szCs w:val="20"/>
                <w:color w:val="auto"/>
              </w:rPr>
            </w:pPr>
            <w:r>
              <w:rPr>
                <w:rFonts w:ascii="Arial" w:cs="Arial" w:eastAsia="Arial" w:hAnsi="Arial"/>
                <w:sz w:val="18"/>
                <w:szCs w:val="18"/>
                <w:color w:val="0000FF"/>
              </w:rPr>
              <w:t>865</w:t>
            </w:r>
          </w:p>
        </w:tc>
        <w:tc>
          <w:tcPr>
            <w:tcW w:w="520" w:type="dxa"/>
            <w:vAlign w:val="bottom"/>
          </w:tcPr>
          <w:p>
            <w:pPr>
              <w:ind w:left="180"/>
              <w:spacing w:after="0"/>
              <w:rPr>
                <w:sz w:val="20"/>
                <w:szCs w:val="20"/>
                <w:color w:val="auto"/>
              </w:rPr>
            </w:pPr>
            <w:r>
              <w:rPr>
                <w:rFonts w:ascii="Arial" w:cs="Arial" w:eastAsia="Arial" w:hAnsi="Arial"/>
                <w:sz w:val="18"/>
                <w:szCs w:val="18"/>
                <w:color w:val="0000FF"/>
              </w:rPr>
              <w:t>A</w:t>
            </w:r>
          </w:p>
        </w:tc>
        <w:tc>
          <w:tcPr>
            <w:tcW w:w="740" w:type="dxa"/>
            <w:vAlign w:val="bottom"/>
            <w:gridSpan w:val="2"/>
          </w:tcPr>
          <w:p>
            <w:pPr>
              <w:jc w:val="center"/>
              <w:ind w:right="1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40.19</w:t>
            </w:r>
          </w:p>
        </w:tc>
        <w:tc>
          <w:tcPr>
            <w:tcW w:w="40" w:type="dxa"/>
            <w:vAlign w:val="bottom"/>
          </w:tcPr>
          <w:p>
            <w:pPr>
              <w:spacing w:after="0"/>
              <w:rPr>
                <w:sz w:val="23"/>
                <w:szCs w:val="23"/>
                <w:color w:val="auto"/>
              </w:rPr>
            </w:pPr>
          </w:p>
        </w:tc>
        <w:tc>
          <w:tcPr>
            <w:tcW w:w="760" w:type="dxa"/>
            <w:vAlign w:val="bottom"/>
            <w:gridSpan w:val="2"/>
          </w:tcPr>
          <w:p>
            <w:pPr>
              <w:jc w:val="center"/>
              <w:ind w:left="429"/>
              <w:spacing w:after="0"/>
              <w:rPr>
                <w:sz w:val="20"/>
                <w:szCs w:val="20"/>
                <w:color w:val="auto"/>
              </w:rPr>
            </w:pPr>
            <w:r>
              <w:rPr>
                <w:rFonts w:ascii="Arial" w:cs="Arial" w:eastAsia="Arial" w:hAnsi="Arial"/>
                <w:sz w:val="18"/>
                <w:szCs w:val="18"/>
                <w:color w:val="0000FF"/>
                <w:w w:val="86"/>
              </w:rPr>
              <w:t>865</w:t>
            </w: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05/28/2010</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865</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53.826</w:t>
            </w:r>
            <w:r>
              <w:rPr>
                <w:rFonts w:ascii="Arial" w:cs="Arial" w:eastAsia="Arial" w:hAnsi="Arial"/>
                <w:sz w:val="22"/>
                <w:szCs w:val="22"/>
                <w:color w:val="008000"/>
                <w:w w:val="89"/>
                <w:vertAlign w:val="superscript"/>
              </w:rPr>
              <w:t>(1)</w:t>
            </w:r>
          </w:p>
        </w:tc>
        <w:tc>
          <w:tcPr>
            <w:tcW w:w="76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8"/>
                <w:szCs w:val="18"/>
                <w:color w:val="0000FF"/>
                <w:w w:val="99"/>
              </w:rPr>
              <w:t>0</w:t>
            </w: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0000FF"/>
              </w:rPr>
              <w:t>The Toro</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0000FF"/>
              </w:rPr>
              <w:t>Company</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3"/>
              </w:rPr>
              <w:t>3,855.584</w:t>
            </w:r>
            <w:r>
              <w:rPr>
                <w:rFonts w:ascii="Arial" w:cs="Arial" w:eastAsia="Arial" w:hAnsi="Arial"/>
                <w:sz w:val="22"/>
                <w:szCs w:val="22"/>
                <w:color w:val="008000"/>
                <w:w w:val="83"/>
                <w:vertAlign w:val="superscript"/>
              </w:rPr>
              <w:t>(2)</w:t>
            </w:r>
          </w:p>
        </w:tc>
        <w:tc>
          <w:tcPr>
            <w:tcW w:w="340" w:type="dxa"/>
            <w:vAlign w:val="bottom"/>
          </w:tcPr>
          <w:p>
            <w:pPr>
              <w:spacing w:after="0"/>
              <w:rPr>
                <w:sz w:val="18"/>
                <w:szCs w:val="18"/>
                <w:color w:val="auto"/>
              </w:rPr>
            </w:pPr>
          </w:p>
        </w:tc>
        <w:tc>
          <w:tcPr>
            <w:tcW w:w="560" w:type="dxa"/>
            <w:vAlign w:val="bottom"/>
          </w:tcPr>
          <w:p>
            <w:pPr>
              <w:jc w:val="center"/>
              <w:ind w:right="310"/>
              <w:spacing w:after="0"/>
              <w:rPr>
                <w:sz w:val="20"/>
                <w:szCs w:val="20"/>
                <w:color w:val="auto"/>
              </w:rPr>
            </w:pPr>
            <w:r>
              <w:rPr>
                <w:rFonts w:ascii="Arial" w:cs="Arial" w:eastAsia="Arial" w:hAnsi="Arial"/>
                <w:sz w:val="18"/>
                <w:szCs w:val="18"/>
                <w:color w:val="0000FF"/>
              </w:rPr>
              <w:t>I</w:t>
            </w:r>
          </w:p>
        </w:tc>
        <w:tc>
          <w:tcPr>
            <w:tcW w:w="980" w:type="dxa"/>
            <w:vAlign w:val="bottom"/>
            <w:gridSpan w:val="3"/>
          </w:tcPr>
          <w:p>
            <w:pPr>
              <w:ind w:left="60"/>
              <w:spacing w:after="0"/>
              <w:rPr>
                <w:sz w:val="20"/>
                <w:szCs w:val="20"/>
                <w:color w:val="auto"/>
              </w:rPr>
            </w:pPr>
            <w:r>
              <w:rPr>
                <w:rFonts w:ascii="Arial" w:cs="Arial" w:eastAsia="Arial" w:hAnsi="Arial"/>
                <w:sz w:val="18"/>
                <w:szCs w:val="18"/>
                <w:color w:val="0000FF"/>
                <w:w w:val="96"/>
              </w:rPr>
              <w:t>Investment,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0000FF"/>
              </w:rPr>
              <w:t>Savings &amp;</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0000FF"/>
              </w:rPr>
              <w:t>ESOP</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40.19</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05/28/2010</w:t>
            </w:r>
          </w:p>
        </w:tc>
        <w:tc>
          <w:tcPr>
            <w:tcW w:w="1140" w:type="dxa"/>
            <w:vAlign w:val="bottom"/>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2"/>
                <w:szCs w:val="12"/>
                <w:color w:val="auto"/>
              </w:rPr>
            </w:pPr>
          </w:p>
        </w:tc>
        <w:tc>
          <w:tcPr>
            <w:tcW w:w="680" w:type="dxa"/>
            <w:vAlign w:val="bottom"/>
            <w:vMerge w:val="restart"/>
          </w:tcPr>
          <w:p>
            <w:pPr>
              <w:ind w:left="440"/>
              <w:spacing w:after="0"/>
              <w:rPr>
                <w:sz w:val="20"/>
                <w:szCs w:val="20"/>
                <w:color w:val="auto"/>
              </w:rPr>
            </w:pPr>
            <w:r>
              <w:rPr>
                <w:rFonts w:ascii="Arial" w:cs="Arial" w:eastAsia="Arial" w:hAnsi="Arial"/>
                <w:sz w:val="14"/>
                <w:szCs w:val="14"/>
                <w:color w:val="0000FF"/>
                <w:w w:val="94"/>
              </w:rPr>
              <w:t>865</w:t>
            </w:r>
          </w:p>
        </w:tc>
        <w:tc>
          <w:tcPr>
            <w:tcW w:w="840" w:type="dxa"/>
            <w:vAlign w:val="bottom"/>
            <w:vMerge w:val="restart"/>
          </w:tcPr>
          <w:p>
            <w:pPr>
              <w:ind w:left="160"/>
              <w:spacing w:after="0"/>
              <w:rPr>
                <w:sz w:val="20"/>
                <w:szCs w:val="20"/>
                <w:color w:val="auto"/>
              </w:rPr>
            </w:pPr>
            <w:r>
              <w:rPr>
                <w:rFonts w:ascii="Arial" w:cs="Arial" w:eastAsia="Arial" w:hAnsi="Arial"/>
                <w:sz w:val="14"/>
                <w:szCs w:val="14"/>
                <w:color w:val="0000FF"/>
                <w:w w:val="94"/>
              </w:rPr>
              <w:t>11/30/2007</w:t>
            </w:r>
          </w:p>
        </w:tc>
        <w:tc>
          <w:tcPr>
            <w:tcW w:w="780" w:type="dxa"/>
            <w:vAlign w:val="bottom"/>
            <w:vMerge w:val="restart"/>
          </w:tcPr>
          <w:p>
            <w:pPr>
              <w:ind w:left="100"/>
              <w:spacing w:after="0"/>
              <w:rPr>
                <w:sz w:val="20"/>
                <w:szCs w:val="20"/>
                <w:color w:val="auto"/>
              </w:rPr>
            </w:pPr>
            <w:r>
              <w:rPr>
                <w:rFonts w:ascii="Arial" w:cs="Arial" w:eastAsia="Arial" w:hAnsi="Arial"/>
                <w:sz w:val="14"/>
                <w:szCs w:val="14"/>
                <w:color w:val="0000FF"/>
                <w:w w:val="94"/>
              </w:rPr>
              <w:t>11/30/2010</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0000FF"/>
              </w:rPr>
              <w:t>865</w:t>
            </w:r>
          </w:p>
        </w:tc>
        <w:tc>
          <w:tcPr>
            <w:tcW w:w="40" w:type="dxa"/>
            <w:vAlign w:val="bottom"/>
          </w:tcPr>
          <w:p>
            <w:pPr>
              <w:spacing w:after="0"/>
              <w:rPr>
                <w:sz w:val="12"/>
                <w:szCs w:val="12"/>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4"/>
                <w:szCs w:val="14"/>
                <w:color w:val="0000FF"/>
              </w:rPr>
              <w:t>0</w:t>
            </w:r>
          </w:p>
        </w:tc>
        <w:tc>
          <w:tcPr>
            <w:tcW w:w="340" w:type="dxa"/>
            <w:vAlign w:val="bottom"/>
          </w:tcPr>
          <w:p>
            <w:pPr>
              <w:spacing w:after="0"/>
              <w:rPr>
                <w:sz w:val="12"/>
                <w:szCs w:val="12"/>
                <w:color w:val="auto"/>
              </w:rPr>
            </w:pPr>
          </w:p>
        </w:tc>
        <w:tc>
          <w:tcPr>
            <w:tcW w:w="560" w:type="dxa"/>
            <w:vAlign w:val="bottom"/>
            <w:vMerge w:val="restart"/>
          </w:tcPr>
          <w:p>
            <w:pPr>
              <w:ind w:left="40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20" w:type="dxa"/>
            <w:vAlign w:val="bottom"/>
            <w:vMerge w:val="restart"/>
          </w:tcPr>
          <w:p>
            <w:pPr>
              <w:ind w:left="18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$53.82 to $53.85,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5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11.564 shares acquired under the dividend reinvestment feature of The Toro Company Investment, Savings &amp; ESOP (IS&amp;ESOP); and 95.182 shares acquired through individual and issuer matching contributions to the IS&amp;ESOP.</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06/02/2010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2019-12-17T00:17:09Z</dcterms:created>
  <dcterms:modified xsi:type="dcterms:W3CDTF">2019-12-17T00:17:09Z</dcterms:modified>
</cp:coreProperties>
</file>