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Olson Richard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6"/>
        <w:spacing w:after="0"/>
        <w:rPr>
          <w:sz w:val="20"/>
          <w:szCs w:val="20"/>
          <w:color w:val="auto"/>
        </w:rPr>
      </w:pPr>
      <w:r>
        <w:rPr>
          <w:rFonts w:ascii="Arial" w:cs="Arial" w:eastAsia="Arial" w:hAnsi="Arial"/>
          <w:sz w:val="17"/>
          <w:szCs w:val="17"/>
          <w:color w:val="0000FF"/>
        </w:rPr>
        <w:t>Group VP, Intl, MIB &amp; DD</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12/04/2014</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3,115</w:t>
            </w:r>
            <w:r>
              <w:rPr>
                <w:rFonts w:ascii="Arial" w:cs="Arial" w:eastAsia="Arial" w:hAnsi="Arial"/>
                <w:sz w:val="22"/>
                <w:szCs w:val="22"/>
                <w:color w:val="008000"/>
                <w:w w:val="89"/>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6,385.314</w:t>
            </w:r>
            <w:r>
              <w:rPr>
                <w:rFonts w:ascii="Arial" w:cs="Arial" w:eastAsia="Arial" w:hAnsi="Arial"/>
                <w:sz w:val="22"/>
                <w:szCs w:val="22"/>
                <w:color w:val="008000"/>
                <w:w w:val="87"/>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jc w:val="center"/>
              <w:ind w:left="354"/>
              <w:spacing w:after="0"/>
              <w:rPr>
                <w:sz w:val="20"/>
                <w:szCs w:val="20"/>
                <w:color w:val="auto"/>
              </w:rPr>
            </w:pPr>
            <w:r>
              <w:rPr>
                <w:rFonts w:ascii="Arial" w:cs="Arial" w:eastAsia="Arial" w:hAnsi="Arial"/>
                <w:sz w:val="17"/>
                <w:szCs w:val="17"/>
                <w:color w:val="0000FF"/>
                <w:w w:val="91"/>
              </w:rPr>
              <w:t>344</w:t>
            </w: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7,413.221</w:t>
            </w:r>
            <w:r>
              <w:rPr>
                <w:rFonts w:ascii="Arial" w:cs="Arial" w:eastAsia="Arial" w:hAnsi="Arial"/>
                <w:sz w:val="22"/>
                <w:szCs w:val="22"/>
                <w:color w:val="008000"/>
                <w:w w:val="87"/>
                <w:vertAlign w:val="superscript"/>
              </w:rPr>
              <w:t>(3)</w:t>
            </w:r>
          </w:p>
        </w:tc>
        <w:tc>
          <w:tcPr>
            <w:tcW w:w="340" w:type="dxa"/>
            <w:vAlign w:val="bottom"/>
          </w:tcPr>
          <w:p>
            <w:pPr>
              <w:spacing w:after="0"/>
              <w:rPr>
                <w:sz w:val="18"/>
                <w:szCs w:val="18"/>
                <w:color w:val="auto"/>
              </w:rPr>
            </w:pPr>
          </w:p>
        </w:tc>
        <w:tc>
          <w:tcPr>
            <w:tcW w:w="600" w:type="dxa"/>
            <w:vAlign w:val="bottom"/>
          </w:tcPr>
          <w:p>
            <w:pPr>
              <w:jc w:val="center"/>
              <w:ind w:right="35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0"/>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12/05/2014</w:t>
            </w:r>
          </w:p>
        </w:tc>
        <w:tc>
          <w:tcPr>
            <w:tcW w:w="118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Arial" w:cs="Arial" w:eastAsia="Arial" w:hAnsi="Arial"/>
                <w:sz w:val="11"/>
                <w:szCs w:val="11"/>
                <w:color w:val="008000"/>
              </w:rPr>
              <w:t>(4)</w:t>
            </w:r>
          </w:p>
        </w:tc>
        <w:tc>
          <w:tcPr>
            <w:tcW w:w="740" w:type="dxa"/>
            <w:vAlign w:val="bottom"/>
          </w:tcPr>
          <w:p>
            <w:pPr>
              <w:ind w:left="40"/>
              <w:spacing w:after="0"/>
              <w:rPr>
                <w:sz w:val="20"/>
                <w:szCs w:val="20"/>
                <w:color w:val="auto"/>
              </w:rPr>
            </w:pPr>
            <w:r>
              <w:rPr>
                <w:rFonts w:ascii="Arial" w:cs="Arial" w:eastAsia="Arial" w:hAnsi="Arial"/>
                <w:sz w:val="13"/>
                <w:szCs w:val="13"/>
                <w:color w:val="0000FF"/>
              </w:rPr>
              <w:t>12/05/2024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10,000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2012 to Fiscal 2014 Performance Period under The Toro Company 2010 Equity and Incentive Plan, as amended, as approved by the registrant's Compensation &amp; Human Resources Committee of its Board of Directors on December 2, 2014, and which was conditioned upon and subject to confirmation by the registrant's Fiscal 2014 financial results that were released on December 4, 2014.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21.971 performance share units acquired by the reporting person since the date of his last report under the dividend reinvestment feature of the Deferred Plan.</w:t>
      </w:r>
    </w:p>
    <w:p>
      <w:pPr>
        <w:spacing w:after="0" w:line="51" w:lineRule="exact"/>
        <w:rPr>
          <w:rFonts w:ascii="Arial" w:cs="Arial" w:eastAsia="Arial" w:hAnsi="Arial"/>
          <w:sz w:val="13"/>
          <w:szCs w:val="13"/>
          <w:color w:val="008000"/>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49.06 net shares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12/08/2014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2019-12-17T03:17:00Z</dcterms:created>
  <dcterms:modified xsi:type="dcterms:W3CDTF">2019-12-17T03:17:00Z</dcterms:modified>
</cp:coreProperties>
</file>