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24, 2007</w:t>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7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500" w:type="dxa"/>
            <w:vAlign w:val="bottom"/>
          </w:tcPr>
          <w:p>
            <w:pPr>
              <w:jc w:val="center"/>
              <w:ind w:right="610"/>
              <w:spacing w:after="0"/>
              <w:rPr>
                <w:sz w:val="20"/>
                <w:szCs w:val="20"/>
                <w:color w:val="auto"/>
              </w:rPr>
            </w:pPr>
            <w:r>
              <w:rPr>
                <w:rFonts w:ascii="Arial" w:cs="Arial" w:eastAsia="Arial" w:hAnsi="Arial"/>
                <w:sz w:val="18"/>
                <w:szCs w:val="18"/>
                <w:b w:val="1"/>
                <w:bCs w:val="1"/>
                <w:color w:val="auto"/>
                <w:w w:val="91"/>
              </w:rPr>
              <w:t>Delaware</w:t>
            </w:r>
          </w:p>
        </w:tc>
        <w:tc>
          <w:tcPr>
            <w:tcW w:w="2880" w:type="dxa"/>
            <w:vAlign w:val="bottom"/>
          </w:tcPr>
          <w:p>
            <w:pPr>
              <w:jc w:val="right"/>
              <w:ind w:right="1330"/>
              <w:spacing w:after="0"/>
              <w:rPr>
                <w:sz w:val="20"/>
                <w:szCs w:val="20"/>
                <w:color w:val="auto"/>
              </w:rPr>
            </w:pPr>
            <w:r>
              <w:rPr>
                <w:rFonts w:ascii="Arial" w:cs="Arial" w:eastAsia="Arial" w:hAnsi="Arial"/>
                <w:sz w:val="18"/>
                <w:szCs w:val="18"/>
                <w:b w:val="1"/>
                <w:bCs w:val="1"/>
                <w:color w:val="auto"/>
              </w:rPr>
              <w:t>1-8649</w:t>
            </w:r>
          </w:p>
        </w:tc>
        <w:tc>
          <w:tcPr>
            <w:tcW w:w="4040" w:type="dxa"/>
            <w:vAlign w:val="bottom"/>
          </w:tcPr>
          <w:p>
            <w:pPr>
              <w:jc w:val="right"/>
              <w:ind w:right="1370"/>
              <w:spacing w:after="0"/>
              <w:rPr>
                <w:sz w:val="20"/>
                <w:szCs w:val="20"/>
                <w:color w:val="auto"/>
              </w:rPr>
            </w:pPr>
            <w:r>
              <w:rPr>
                <w:rFonts w:ascii="Arial" w:cs="Arial" w:eastAsia="Arial" w:hAnsi="Arial"/>
                <w:sz w:val="18"/>
                <w:szCs w:val="18"/>
                <w:b w:val="1"/>
                <w:bCs w:val="1"/>
                <w:color w:val="auto"/>
              </w:rPr>
              <w:t>41-0580470</w:t>
            </w:r>
          </w:p>
        </w:tc>
      </w:tr>
      <w:tr>
        <w:trPr>
          <w:trHeight w:val="230"/>
        </w:trPr>
        <w:tc>
          <w:tcPr>
            <w:tcW w:w="4500" w:type="dxa"/>
            <w:vAlign w:val="bottom"/>
          </w:tcPr>
          <w:p>
            <w:pPr>
              <w:jc w:val="center"/>
              <w:ind w:right="590"/>
              <w:spacing w:after="0"/>
              <w:rPr>
                <w:sz w:val="20"/>
                <w:szCs w:val="20"/>
                <w:color w:val="auto"/>
              </w:rPr>
            </w:pPr>
            <w:r>
              <w:rPr>
                <w:rFonts w:ascii="Arial" w:cs="Arial" w:eastAsia="Arial" w:hAnsi="Arial"/>
                <w:sz w:val="18"/>
                <w:szCs w:val="18"/>
                <w:color w:val="auto"/>
                <w:w w:val="92"/>
              </w:rPr>
              <w:t>(State of Incorporation)</w:t>
            </w:r>
          </w:p>
        </w:tc>
        <w:tc>
          <w:tcPr>
            <w:tcW w:w="2880" w:type="dxa"/>
            <w:vAlign w:val="bottom"/>
          </w:tcPr>
          <w:p>
            <w:pPr>
              <w:jc w:val="center"/>
              <w:ind w:right="370"/>
              <w:spacing w:after="0"/>
              <w:rPr>
                <w:sz w:val="20"/>
                <w:szCs w:val="20"/>
                <w:color w:val="auto"/>
              </w:rPr>
            </w:pPr>
            <w:r>
              <w:rPr>
                <w:rFonts w:ascii="Arial" w:cs="Arial" w:eastAsia="Arial" w:hAnsi="Arial"/>
                <w:sz w:val="18"/>
                <w:szCs w:val="18"/>
                <w:color w:val="auto"/>
                <w:w w:val="92"/>
              </w:rPr>
              <w:t>(Commission File Number)</w:t>
            </w:r>
          </w:p>
        </w:tc>
        <w:tc>
          <w:tcPr>
            <w:tcW w:w="4040" w:type="dxa"/>
            <w:vAlign w:val="bottom"/>
          </w:tcPr>
          <w:p>
            <w:pPr>
              <w:jc w:val="center"/>
              <w:ind w:left="130"/>
              <w:spacing w:after="0"/>
              <w:rPr>
                <w:sz w:val="20"/>
                <w:szCs w:val="20"/>
                <w:color w:val="auto"/>
              </w:rPr>
            </w:pPr>
            <w:r>
              <w:rPr>
                <w:rFonts w:ascii="Arial" w:cs="Arial" w:eastAsia="Arial" w:hAnsi="Arial"/>
                <w:sz w:val="18"/>
                <w:szCs w:val="18"/>
                <w:color w:val="auto"/>
                <w:w w:val="93"/>
              </w:rPr>
              <w:t>(I.R.S. Employer Identification Number)</w:t>
            </w:r>
          </w:p>
        </w:tc>
      </w:tr>
      <w:tr>
        <w:trPr>
          <w:trHeight w:val="684"/>
        </w:trPr>
        <w:tc>
          <w:tcPr>
            <w:tcW w:w="4500" w:type="dxa"/>
            <w:vAlign w:val="bottom"/>
          </w:tcPr>
          <w:p>
            <w:pPr>
              <w:jc w:val="center"/>
              <w:ind w:left="1130"/>
              <w:spacing w:after="0"/>
              <w:rPr>
                <w:sz w:val="20"/>
                <w:szCs w:val="20"/>
                <w:color w:val="auto"/>
              </w:rPr>
            </w:pPr>
            <w:r>
              <w:rPr>
                <w:rFonts w:ascii="Arial" w:cs="Arial" w:eastAsia="Arial" w:hAnsi="Arial"/>
                <w:sz w:val="18"/>
                <w:szCs w:val="18"/>
                <w:b w:val="1"/>
                <w:bCs w:val="1"/>
                <w:color w:val="auto"/>
                <w:w w:val="88"/>
              </w:rPr>
              <w:t>8111 Lyndale Avenue South</w:t>
            </w:r>
          </w:p>
        </w:tc>
        <w:tc>
          <w:tcPr>
            <w:tcW w:w="288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220"/>
        </w:trPr>
        <w:tc>
          <w:tcPr>
            <w:tcW w:w="4500" w:type="dxa"/>
            <w:vAlign w:val="bottom"/>
          </w:tcPr>
          <w:p>
            <w:pPr>
              <w:jc w:val="center"/>
              <w:ind w:left="1130"/>
              <w:spacing w:after="0"/>
              <w:rPr>
                <w:sz w:val="20"/>
                <w:szCs w:val="20"/>
                <w:color w:val="auto"/>
              </w:rPr>
            </w:pPr>
            <w:r>
              <w:rPr>
                <w:rFonts w:ascii="Arial" w:cs="Arial" w:eastAsia="Arial" w:hAnsi="Arial"/>
                <w:sz w:val="18"/>
                <w:szCs w:val="18"/>
                <w:b w:val="1"/>
                <w:bCs w:val="1"/>
                <w:color w:val="auto"/>
                <w:w w:val="89"/>
              </w:rPr>
              <w:t>Bloomington, Minnesota</w:t>
            </w:r>
          </w:p>
        </w:tc>
        <w:tc>
          <w:tcPr>
            <w:tcW w:w="2880" w:type="dxa"/>
            <w:vAlign w:val="bottom"/>
          </w:tcPr>
          <w:p>
            <w:pPr>
              <w:spacing w:after="0"/>
              <w:rPr>
                <w:sz w:val="19"/>
                <w:szCs w:val="19"/>
                <w:color w:val="auto"/>
              </w:rPr>
            </w:pPr>
          </w:p>
        </w:tc>
        <w:tc>
          <w:tcPr>
            <w:tcW w:w="4040" w:type="dxa"/>
            <w:vAlign w:val="bottom"/>
          </w:tcPr>
          <w:p>
            <w:pPr>
              <w:jc w:val="right"/>
              <w:ind w:right="2550"/>
              <w:spacing w:after="0"/>
              <w:rPr>
                <w:sz w:val="20"/>
                <w:szCs w:val="20"/>
                <w:color w:val="auto"/>
              </w:rPr>
            </w:pPr>
            <w:r>
              <w:rPr>
                <w:rFonts w:ascii="Arial" w:cs="Arial" w:eastAsia="Arial" w:hAnsi="Arial"/>
                <w:sz w:val="18"/>
                <w:szCs w:val="18"/>
                <w:b w:val="1"/>
                <w:bCs w:val="1"/>
                <w:color w:val="auto"/>
              </w:rPr>
              <w:t>55420</w:t>
            </w:r>
          </w:p>
        </w:tc>
      </w:tr>
      <w:tr>
        <w:trPr>
          <w:trHeight w:val="264"/>
        </w:trPr>
        <w:tc>
          <w:tcPr>
            <w:tcW w:w="4500" w:type="dxa"/>
            <w:vAlign w:val="bottom"/>
            <w:tcBorders>
              <w:bottom w:val="single" w:sz="8" w:color="auto"/>
            </w:tcBorders>
          </w:tcPr>
          <w:p>
            <w:pPr>
              <w:jc w:val="center"/>
              <w:ind w:left="1110"/>
              <w:spacing w:after="0"/>
              <w:rPr>
                <w:sz w:val="20"/>
                <w:szCs w:val="20"/>
                <w:color w:val="auto"/>
              </w:rPr>
            </w:pPr>
            <w:r>
              <w:rPr>
                <w:rFonts w:ascii="Arial" w:cs="Arial" w:eastAsia="Arial" w:hAnsi="Arial"/>
                <w:sz w:val="18"/>
                <w:szCs w:val="18"/>
                <w:color w:val="auto"/>
                <w:w w:val="92"/>
              </w:rPr>
              <w:t>(Address of principal executive offices)</w:t>
            </w:r>
          </w:p>
        </w:tc>
        <w:tc>
          <w:tcPr>
            <w:tcW w:w="2880" w:type="dxa"/>
            <w:vAlign w:val="bottom"/>
            <w:tcBorders>
              <w:bottom w:val="single" w:sz="8" w:color="auto"/>
            </w:tcBorders>
          </w:tcPr>
          <w:p>
            <w:pPr>
              <w:spacing w:after="0"/>
              <w:rPr>
                <w:sz w:val="22"/>
                <w:szCs w:val="22"/>
                <w:color w:val="auto"/>
              </w:rPr>
            </w:pPr>
          </w:p>
        </w:tc>
        <w:tc>
          <w:tcPr>
            <w:tcW w:w="4040" w:type="dxa"/>
            <w:vAlign w:val="bottom"/>
            <w:tcBorders>
              <w:bottom w:val="single" w:sz="8" w:color="auto"/>
            </w:tcBorders>
          </w:tcPr>
          <w:p>
            <w:pPr>
              <w:jc w:val="center"/>
              <w:ind w:right="1590"/>
              <w:spacing w:after="0"/>
              <w:rPr>
                <w:sz w:val="20"/>
                <w:szCs w:val="20"/>
                <w:color w:val="auto"/>
              </w:rPr>
            </w:pPr>
            <w:r>
              <w:rPr>
                <w:rFonts w:ascii="Arial" w:cs="Arial" w:eastAsia="Arial" w:hAnsi="Arial"/>
                <w:sz w:val="18"/>
                <w:szCs w:val="18"/>
                <w:color w:val="auto"/>
                <w:w w:val="94"/>
              </w:rPr>
              <w:t>(Zip Code)</w:t>
            </w:r>
          </w:p>
        </w:tc>
      </w:tr>
      <w:tr>
        <w:trPr>
          <w:trHeight w:val="459"/>
        </w:trPr>
        <w:tc>
          <w:tcPr>
            <w:tcW w:w="4500" w:type="dxa"/>
            <w:vAlign w:val="bottom"/>
          </w:tcPr>
          <w:p>
            <w:pPr>
              <w:ind w:left="400"/>
              <w:spacing w:after="0"/>
              <w:rPr>
                <w:sz w:val="20"/>
                <w:szCs w:val="20"/>
                <w:color w:val="auto"/>
              </w:rPr>
            </w:pPr>
            <w:r>
              <w:rPr>
                <w:rFonts w:ascii="Arial" w:cs="Arial" w:eastAsia="Arial" w:hAnsi="Arial"/>
                <w:sz w:val="18"/>
                <w:szCs w:val="18"/>
                <w:color w:val="auto"/>
                <w:w w:val="98"/>
              </w:rPr>
              <w:t>Registrant’s telephone number, including area code:</w:t>
            </w:r>
          </w:p>
        </w:tc>
        <w:tc>
          <w:tcPr>
            <w:tcW w:w="2880" w:type="dxa"/>
            <w:vAlign w:val="bottom"/>
          </w:tcPr>
          <w:p>
            <w:pPr>
              <w:spacing w:after="0"/>
              <w:rPr>
                <w:sz w:val="24"/>
                <w:szCs w:val="24"/>
                <w:color w:val="auto"/>
              </w:rPr>
            </w:pPr>
          </w:p>
        </w:tc>
        <w:tc>
          <w:tcPr>
            <w:tcW w:w="4040" w:type="dxa"/>
            <w:vAlign w:val="bottom"/>
          </w:tcPr>
          <w:p>
            <w:pPr>
              <w:jc w:val="right"/>
              <w:ind w:right="310"/>
              <w:spacing w:after="0"/>
              <w:rPr>
                <w:sz w:val="20"/>
                <w:szCs w:val="20"/>
                <w:color w:val="auto"/>
              </w:rPr>
            </w:pPr>
            <w:r>
              <w:rPr>
                <w:rFonts w:ascii="Arial" w:cs="Arial" w:eastAsia="Arial" w:hAnsi="Arial"/>
                <w:sz w:val="18"/>
                <w:szCs w:val="18"/>
                <w:b w:val="1"/>
                <w:bCs w:val="1"/>
                <w:color w:val="auto"/>
              </w:rPr>
              <w:t>(952) 888-8801</w:t>
            </w:r>
          </w:p>
        </w:tc>
      </w:tr>
    </w:tbl>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2592070</wp:posOffset>
            </wp:positionH>
            <wp:positionV relativeFrom="paragraph">
              <wp:posOffset>-10160</wp:posOffset>
            </wp:positionV>
            <wp:extent cx="20726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72640" cy="8890"/>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724535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52" w:lineRule="exact"/>
        <w:rPr>
          <w:sz w:val="20"/>
          <w:szCs w:val="20"/>
          <w:color w:val="auto"/>
        </w:rPr>
      </w:pPr>
    </w:p>
    <w:p>
      <w:pPr>
        <w:ind w:left="60"/>
        <w:spacing w:after="0"/>
        <w:tabs>
          <w:tab w:leader="none" w:pos="23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On May 24, 2007, The Toro Company announced its earnings for the three and six months ended May 4, 2007.</w:t>
      </w:r>
    </w:p>
    <w:p>
      <w:pPr>
        <w:spacing w:after="0" w:line="252" w:lineRule="exact"/>
        <w:rPr>
          <w:sz w:val="20"/>
          <w:szCs w:val="20"/>
          <w:color w:val="auto"/>
        </w:rPr>
      </w:pPr>
    </w:p>
    <w:p>
      <w:pPr>
        <w:ind w:left="820" w:right="40"/>
        <w:spacing w:after="0" w:line="257" w:lineRule="auto"/>
        <w:rPr>
          <w:sz w:val="20"/>
          <w:szCs w:val="20"/>
          <w:color w:val="auto"/>
        </w:rPr>
      </w:pPr>
      <w:r>
        <w:rPr>
          <w:rFonts w:ascii="Arial" w:cs="Arial" w:eastAsia="Arial" w:hAnsi="Arial"/>
          <w:sz w:val="18"/>
          <w:szCs w:val="18"/>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ectPr>
          <w:pgSz w:w="11900" w:h="16838" w:orient="portrait"/>
          <w:cols w:equalWidth="0" w:num="1">
            <w:col w:w="11380"/>
          </w:cols>
          <w:pgMar w:left="240" w:top="850" w:right="279" w:bottom="1440" w:gutter="0" w:footer="0" w:header="0"/>
        </w:sectPr>
      </w:pPr>
    </w:p>
    <w:p>
      <w:pPr>
        <w:spacing w:after="0" w:line="211" w:lineRule="exact"/>
        <w:rPr>
          <w:sz w:val="20"/>
          <w:szCs w:val="20"/>
          <w:color w:val="auto"/>
        </w:rPr>
      </w:pPr>
    </w:p>
    <w:p>
      <w:pPr>
        <w:ind w:left="60" w:hanging="44"/>
        <w:spacing w:after="0" w:line="534" w:lineRule="auto"/>
        <w:rPr>
          <w:sz w:val="20"/>
          <w:szCs w:val="20"/>
          <w:color w:val="auto"/>
        </w:rPr>
      </w:pPr>
      <w:r>
        <w:rPr>
          <w:rFonts w:ascii="Arial" w:cs="Arial" w:eastAsia="Arial" w:hAnsi="Arial"/>
          <w:sz w:val="18"/>
          <w:szCs w:val="18"/>
          <w:b w:val="1"/>
          <w:bCs w:val="1"/>
          <w:color w:val="auto"/>
        </w:rPr>
        <w:t>Section 7 — Regulation FD Item 7.01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 FD Disclosure.</w:t>
      </w:r>
    </w:p>
    <w:p>
      <w:pPr>
        <w:spacing w:after="0" w:line="278" w:lineRule="exact"/>
        <w:rPr>
          <w:sz w:val="20"/>
          <w:szCs w:val="20"/>
          <w:color w:val="auto"/>
        </w:rPr>
      </w:pPr>
    </w:p>
    <w:p>
      <w:pPr>
        <w:sectPr>
          <w:pgSz w:w="11900" w:h="16838" w:orient="portrait"/>
          <w:cols w:equalWidth="0" w:num="2">
            <w:col w:w="2180" w:space="220"/>
            <w:col w:w="8980"/>
          </w:cols>
          <w:pgMar w:left="240" w:top="850" w:right="279" w:bottom="1440" w:gutter="0" w:footer="0" w:header="0"/>
          <w:type w:val="continuous"/>
        </w:sectPr>
      </w:pPr>
    </w:p>
    <w:p>
      <w:pPr>
        <w:ind w:left="820" w:right="40"/>
        <w:spacing w:after="0" w:line="264" w:lineRule="auto"/>
        <w:rPr>
          <w:sz w:val="20"/>
          <w:szCs w:val="20"/>
          <w:color w:val="auto"/>
        </w:rPr>
      </w:pPr>
      <w:r>
        <w:rPr>
          <w:rFonts w:ascii="Arial" w:cs="Arial" w:eastAsia="Arial" w:hAnsi="Arial"/>
          <w:sz w:val="18"/>
          <w:szCs w:val="18"/>
          <w:color w:val="auto"/>
        </w:rPr>
        <w:t>On May 22, 2007, the company’s Board of Directors authorized the repurchase of an additional 3,000,000 shares of the company’s common stock in open-market or in privately negotiated transactions. This program has no expiration date but may be terminated by the company’s Board of Directors at any time.</w:t>
      </w:r>
    </w:p>
    <w:p>
      <w:pPr>
        <w:spacing w:after="0" w:line="208" w:lineRule="exact"/>
        <w:rPr>
          <w:sz w:val="20"/>
          <w:szCs w:val="20"/>
          <w:color w:val="auto"/>
        </w:rPr>
      </w:pPr>
    </w:p>
    <w:p>
      <w:pPr>
        <w:ind w:left="820" w:right="20"/>
        <w:spacing w:after="0" w:line="277" w:lineRule="auto"/>
        <w:rPr>
          <w:sz w:val="20"/>
          <w:szCs w:val="20"/>
          <w:color w:val="auto"/>
        </w:rPr>
      </w:pPr>
      <w:r>
        <w:rPr>
          <w:rFonts w:ascii="Arial" w:cs="Arial" w:eastAsia="Arial" w:hAnsi="Arial"/>
          <w:sz w:val="18"/>
          <w:szCs w:val="18"/>
          <w:color w:val="auto"/>
        </w:rPr>
        <w:t>On May 22, 2007, the company’s Board of Directors also declared a regular quarterly cash dividend of 12 cents per share payable July 12, 2007 to stockholders of record as of June 20, 2007.</w:t>
      </w:r>
    </w:p>
    <w:p>
      <w:pPr>
        <w:spacing w:after="0" w:line="197" w:lineRule="exact"/>
        <w:rPr>
          <w:sz w:val="20"/>
          <w:szCs w:val="20"/>
          <w:color w:val="auto"/>
        </w:rPr>
      </w:pPr>
    </w:p>
    <w:p>
      <w:pPr>
        <w:ind w:left="820" w:right="260"/>
        <w:spacing w:after="0" w:line="257" w:lineRule="auto"/>
        <w:rPr>
          <w:sz w:val="20"/>
          <w:szCs w:val="20"/>
          <w:color w:val="auto"/>
        </w:rPr>
      </w:pPr>
      <w:r>
        <w:rPr>
          <w:rFonts w:ascii="Arial" w:cs="Arial" w:eastAsia="Arial" w:hAnsi="Arial"/>
          <w:sz w:val="18"/>
          <w:szCs w:val="18"/>
          <w:color w:val="auto"/>
        </w:rPr>
        <w:t>On May 22, 2007, the company announced that Timothy P. Dordell had been elected by the board of directors as vice president, secretary and general counsel. Mr. Dordell, 44, joined the company on November 6, 2006 as vice president, deputy general counsel. He was previously associate general counsel-corporate and assistant secretary at Ecolab Inc. Mr. Dordell succeeds J. Lawrence McIntyre, who retired on April 30, 2007. Mr. Dordell received his juris doctor degree, cum laude, from the University of Minnesota Law School and is a member of the American Bar Association and several other legal and professional organizations.</w:t>
      </w:r>
    </w:p>
    <w:p>
      <w:pPr>
        <w:spacing w:after="0" w:line="215" w:lineRule="exact"/>
        <w:rPr>
          <w:sz w:val="20"/>
          <w:szCs w:val="20"/>
          <w:color w:val="auto"/>
        </w:rPr>
      </w:pPr>
    </w:p>
    <w:p>
      <w:pPr>
        <w:ind w:left="820"/>
        <w:spacing w:after="0" w:line="297" w:lineRule="auto"/>
        <w:rPr>
          <w:sz w:val="20"/>
          <w:szCs w:val="20"/>
          <w:color w:val="auto"/>
        </w:rPr>
      </w:pPr>
      <w:r>
        <w:rPr>
          <w:rFonts w:ascii="Arial" w:cs="Arial" w:eastAsia="Arial" w:hAnsi="Arial"/>
          <w:sz w:val="16"/>
          <w:szCs w:val="16"/>
          <w:color w:val="auto"/>
        </w:rPr>
        <w:t>Attached to this Current Report on Form 8-K as Exhibit 99.2 is a copy of The Toro Company’s press release in connection with the announcement of Mr. Dordell’s election, which is incorporated herein by reference. The information in this Item 7.01, including the exhibit attached hereto, is furnished pursuant to Item 7.01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347345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850" w:right="27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52"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1440" w:hanging="622"/>
        <w:spacing w:after="0"/>
        <w:tabs>
          <w:tab w:leader="none" w:pos="1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2620" w:type="dxa"/>
            <w:vAlign w:val="bottom"/>
            <w:tcBorders>
              <w:bottom w:val="single" w:sz="8" w:color="auto"/>
            </w:tcBorders>
          </w:tcPr>
          <w:p>
            <w:pPr>
              <w:spacing w:after="0"/>
              <w:rPr>
                <w:sz w:val="20"/>
                <w:szCs w:val="20"/>
                <w:color w:val="auto"/>
              </w:rPr>
            </w:pPr>
          </w:p>
        </w:tc>
        <w:tc>
          <w:tcPr>
            <w:tcW w:w="7320" w:type="dxa"/>
            <w:vAlign w:val="bottom"/>
            <w:tcBorders>
              <w:bottom w:val="single" w:sz="8" w:color="auto"/>
            </w:tcBorders>
          </w:tcPr>
          <w:p>
            <w:pPr>
              <w:ind w:left="220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1480" w:type="dxa"/>
            <w:vAlign w:val="bottom"/>
          </w:tcPr>
          <w:p>
            <w:pPr>
              <w:spacing w:after="0" w:line="201" w:lineRule="exact"/>
              <w:rPr>
                <w:sz w:val="20"/>
                <w:szCs w:val="20"/>
                <w:color w:val="auto"/>
              </w:rPr>
            </w:pPr>
            <w:r>
              <w:rPr>
                <w:rFonts w:ascii="Arial" w:cs="Arial" w:eastAsia="Arial" w:hAnsi="Arial"/>
                <w:sz w:val="18"/>
                <w:szCs w:val="18"/>
                <w:color w:val="auto"/>
              </w:rPr>
              <w:t>99.1</w:t>
            </w:r>
          </w:p>
        </w:tc>
        <w:tc>
          <w:tcPr>
            <w:tcW w:w="2620" w:type="dxa"/>
            <w:vAlign w:val="bottom"/>
          </w:tcPr>
          <w:p>
            <w:pPr>
              <w:ind w:left="600"/>
              <w:spacing w:after="0" w:line="201" w:lineRule="exact"/>
              <w:rPr>
                <w:sz w:val="20"/>
                <w:szCs w:val="20"/>
                <w:color w:val="auto"/>
              </w:rPr>
            </w:pPr>
            <w:r>
              <w:rPr>
                <w:rFonts w:ascii="Arial" w:cs="Arial" w:eastAsia="Arial" w:hAnsi="Arial"/>
                <w:sz w:val="18"/>
                <w:szCs w:val="18"/>
                <w:color w:val="auto"/>
                <w:w w:val="87"/>
              </w:rPr>
              <w:t>Press release dated May 24,</w:t>
            </w:r>
          </w:p>
        </w:tc>
        <w:tc>
          <w:tcPr>
            <w:tcW w:w="7320" w:type="dxa"/>
            <w:vAlign w:val="bottom"/>
          </w:tcPr>
          <w:p>
            <w:pPr>
              <w:ind w:left="20"/>
              <w:spacing w:after="0" w:line="201" w:lineRule="exact"/>
              <w:rPr>
                <w:sz w:val="20"/>
                <w:szCs w:val="20"/>
                <w:color w:val="auto"/>
              </w:rPr>
            </w:pPr>
            <w:r>
              <w:rPr>
                <w:rFonts w:ascii="Arial" w:cs="Arial" w:eastAsia="Arial" w:hAnsi="Arial"/>
                <w:sz w:val="18"/>
                <w:szCs w:val="18"/>
                <w:color w:val="auto"/>
              </w:rPr>
              <w:t>2007 related to the announcement of earnings (furnished herewith).</w:t>
            </w: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99.2</w:t>
            </w:r>
          </w:p>
        </w:tc>
        <w:tc>
          <w:tcPr>
            <w:tcW w:w="2620" w:type="dxa"/>
            <w:vAlign w:val="bottom"/>
          </w:tcPr>
          <w:p>
            <w:pPr>
              <w:ind w:left="600"/>
              <w:spacing w:after="0"/>
              <w:rPr>
                <w:sz w:val="20"/>
                <w:szCs w:val="20"/>
                <w:color w:val="auto"/>
              </w:rPr>
            </w:pPr>
            <w:r>
              <w:rPr>
                <w:rFonts w:ascii="Arial" w:cs="Arial" w:eastAsia="Arial" w:hAnsi="Arial"/>
                <w:sz w:val="18"/>
                <w:szCs w:val="18"/>
                <w:color w:val="auto"/>
                <w:w w:val="87"/>
              </w:rPr>
              <w:t>Press release dated May 22,</w:t>
            </w:r>
          </w:p>
        </w:tc>
        <w:tc>
          <w:tcPr>
            <w:tcW w:w="7320" w:type="dxa"/>
            <w:vAlign w:val="bottom"/>
          </w:tcPr>
          <w:p>
            <w:pPr>
              <w:ind w:left="20"/>
              <w:spacing w:after="0"/>
              <w:rPr>
                <w:sz w:val="20"/>
                <w:szCs w:val="20"/>
                <w:color w:val="auto"/>
              </w:rPr>
            </w:pPr>
            <w:r>
              <w:rPr>
                <w:rFonts w:ascii="Arial" w:cs="Arial" w:eastAsia="Arial" w:hAnsi="Arial"/>
                <w:sz w:val="18"/>
                <w:szCs w:val="18"/>
                <w:color w:val="auto"/>
                <w:w w:val="91"/>
              </w:rPr>
              <w:t>2007 related to the announcement of the election of Timothy P. Dordell as Vice President, Secretary</w:t>
            </w:r>
          </w:p>
        </w:tc>
      </w:tr>
    </w:tbl>
    <w:p>
      <w:pPr>
        <w:ind w:left="2080"/>
        <w:spacing w:after="0"/>
        <w:rPr>
          <w:sz w:val="20"/>
          <w:szCs w:val="20"/>
          <w:color w:val="auto"/>
        </w:rPr>
      </w:pPr>
      <w:r>
        <w:rPr>
          <w:rFonts w:ascii="Arial" w:cs="Arial" w:eastAsia="Arial" w:hAnsi="Arial"/>
          <w:sz w:val="18"/>
          <w:szCs w:val="18"/>
          <w:color w:val="auto"/>
        </w:rPr>
        <w:t>and General Counsel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May 24, 2007</w:t>
      </w:r>
      <w:r>
        <w:rPr>
          <w:sz w:val="20"/>
          <w:szCs w:val="20"/>
          <w:color w:val="auto"/>
        </w:rPr>
        <w:tab/>
      </w:r>
      <w:r>
        <w:rPr>
          <w:rFonts w:ascii="Arial" w:cs="Arial" w:eastAsia="Arial" w:hAnsi="Arial"/>
          <w:sz w:val="16"/>
          <w:szCs w:val="16"/>
          <w:color w:val="auto"/>
        </w:rPr>
        <w:t>By /s/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Stephen P. Wolfe</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364"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9360" w:type="dxa"/>
            <w:vAlign w:val="bottom"/>
          </w:tcPr>
          <w:p>
            <w:pPr>
              <w:ind w:left="29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c>
          <w:tcPr>
            <w:tcW w:w="93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vMerge w:val="continue"/>
          </w:tcPr>
          <w:p>
            <w:pPr>
              <w:spacing w:after="0"/>
              <w:rPr>
                <w:sz w:val="18"/>
                <w:szCs w:val="18"/>
                <w:color w:val="auto"/>
              </w:rPr>
            </w:pPr>
          </w:p>
        </w:tc>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NUMBER</w:t>
            </w:r>
          </w:p>
        </w:tc>
        <w:tc>
          <w:tcPr>
            <w:tcW w:w="936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23"/>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99.1</w:t>
            </w:r>
          </w:p>
        </w:tc>
        <w:tc>
          <w:tcPr>
            <w:tcW w:w="93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Press release dated May 24, 2007 related to the announcement of earnings (furnished herewith).</w:t>
            </w:r>
          </w:p>
        </w:tc>
        <w:tc>
          <w:tcPr>
            <w:tcW w:w="0" w:type="dxa"/>
            <w:vAlign w:val="bottom"/>
          </w:tcPr>
          <w:p>
            <w:pPr>
              <w:spacing w:after="0"/>
              <w:rPr>
                <w:sz w:val="1"/>
                <w:szCs w:val="1"/>
                <w:color w:val="auto"/>
              </w:rPr>
            </w:pPr>
          </w:p>
        </w:tc>
      </w:tr>
      <w:tr>
        <w:trPr>
          <w:trHeight w:val="202"/>
        </w:trPr>
        <w:tc>
          <w:tcPr>
            <w:tcW w:w="2060" w:type="dxa"/>
            <w:vAlign w:val="bottom"/>
            <w:gridSpan w:val="2"/>
          </w:tcPr>
          <w:p>
            <w:pPr>
              <w:spacing w:after="0" w:line="201" w:lineRule="exact"/>
              <w:rPr>
                <w:sz w:val="20"/>
                <w:szCs w:val="20"/>
                <w:color w:val="auto"/>
              </w:rPr>
            </w:pPr>
            <w:r>
              <w:rPr>
                <w:rFonts w:ascii="Arial" w:cs="Arial" w:eastAsia="Arial" w:hAnsi="Arial"/>
                <w:sz w:val="18"/>
                <w:szCs w:val="18"/>
                <w:color w:val="auto"/>
              </w:rPr>
              <w:t>99.2</w:t>
            </w:r>
          </w:p>
        </w:tc>
        <w:tc>
          <w:tcPr>
            <w:tcW w:w="9360" w:type="dxa"/>
            <w:vAlign w:val="bottom"/>
          </w:tcPr>
          <w:p>
            <w:pPr>
              <w:ind w:left="440"/>
              <w:spacing w:after="0" w:line="201" w:lineRule="exact"/>
              <w:rPr>
                <w:sz w:val="20"/>
                <w:szCs w:val="20"/>
                <w:color w:val="auto"/>
              </w:rPr>
            </w:pPr>
            <w:r>
              <w:rPr>
                <w:rFonts w:ascii="Arial" w:cs="Arial" w:eastAsia="Arial" w:hAnsi="Arial"/>
                <w:sz w:val="18"/>
                <w:szCs w:val="18"/>
                <w:color w:val="auto"/>
                <w:w w:val="93"/>
              </w:rPr>
              <w:t>Press release dated May 22, 2007 related to the announcement of the election of Timothy P. Dordell as Vice President,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93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Secretary and General Counsel (furnished herewith).</w:t>
            </w: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5" w:name="page6"/>
    <w:bookmarkEnd w:id="5"/>
    <w:p>
      <w:pPr>
        <w:spacing w:after="0" w:line="2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1020445" cy="660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020445" cy="6604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John Wright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 887-8865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Connie Kotke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Manager, Corporate Communications</w:t>
      </w:r>
    </w:p>
    <w:p>
      <w:pPr>
        <w:spacing w:after="0" w:line="9" w:lineRule="exact"/>
        <w:rPr>
          <w:sz w:val="20"/>
          <w:szCs w:val="20"/>
          <w:color w:val="auto"/>
        </w:rPr>
      </w:pPr>
    </w:p>
    <w:p>
      <w:pPr>
        <w:ind w:right="9200"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887-8984, </w:t>
      </w:r>
      <w:r>
        <w:rPr>
          <w:rFonts w:ascii="Arial" w:cs="Arial" w:eastAsia="Arial" w:hAnsi="Arial"/>
          <w:sz w:val="16"/>
          <w:szCs w:val="16"/>
          <w:u w:val="single" w:color="auto"/>
          <w:color w:val="auto"/>
        </w:rPr>
        <w:t>pr@toro.com</w:t>
      </w:r>
      <w:r>
        <w:rPr>
          <w:rFonts w:ascii="Arial" w:cs="Arial" w:eastAsia="Arial" w:hAnsi="Arial"/>
          <w:sz w:val="16"/>
          <w:szCs w:val="16"/>
          <w:color w:val="auto"/>
        </w:rPr>
        <w:t xml:space="preserve"> www.thetorocompany.com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Immediate Release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TORO REPORTS RECORD SECOND QUARTER SALES AND EARNINGS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 Per Share Up 13.5 Percent to $1.77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Approves Stock Repurchase Authorization of 3 Million Additional Shares</w:t>
      </w:r>
    </w:p>
    <w:p>
      <w:pPr>
        <w:spacing w:after="0" w:line="23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BLOOMINGTON, Minn. (May 24, 2007) – The Toro Company (NYSE: TTC) today reported record net sales and net earnings for its fiscal 2007 second quarter ended May 4, 2007.</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earnings for the quarter totaled $75 million, or $1.77 per diluted share, on net sales of $686.7 million. In the comparable fiscal 2006 period, the company reported net earnings of $70.1 million, or $1.56 per diluted share on net sales of $659 million.</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fiscal year to date, Toro reported net earnings of $93.4 million, up 10.7 percent from $84.4 million in the comparable fiscal 2006 period. Net sales for the fiscal year to date totaled $1,065.7 million, up 3.6 percent from $1,028.6 million in the comparable fiscal 2006 period. Net earnings per diluted share for the fiscal year’s first half increased 18.2 percent to $2.21 from $1.87 in the first half of the prior fiscal year.</w:t>
      </w:r>
    </w:p>
    <w:p>
      <w:pPr>
        <w:spacing w:after="0" w:line="20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delivered strong financial performance during the first half of the fiscal year driven primarily by continued international sales growth and improved gross margins” said Michael J. Hoffman, Toro’s chairman and chief executive officer. “We also saw revenue growth and strong demand in our Residential segment and worldwide golf. Solid first half financial performance in those areas offset shipment reductions in other businesses as we increased focus on our working capital initiative. We generated even stronger bottom line growth on increased sales as our lean initiatives contributed to our financial results.”</w:t>
      </w:r>
    </w:p>
    <w:p>
      <w:pPr>
        <w:spacing w:after="0" w:line="200" w:lineRule="exact"/>
        <w:rPr>
          <w:sz w:val="20"/>
          <w:szCs w:val="20"/>
          <w:color w:val="auto"/>
        </w:rPr>
      </w:pPr>
    </w:p>
    <w:p>
      <w:pPr>
        <w:spacing w:after="0" w:line="25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Company’s board of directors authorized the company to purchase up to an additional 3,000,000 shares of its common stock in the open market or in privately negotiated transactions. The Company continues to believe that a stock repurchase program is in the best interest of its stockholders and is an appropriate use of cash. The board of directors also declared a quarterly dividend of $0.12 per common share, payable July 12, 2007 to shareholders of record on June 20, 2007.</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more --</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Segment data are provided in the table following the “Condensed Consolidated Statements of Earnings.”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7" w:lineRule="exact"/>
        <w:rPr>
          <w:sz w:val="20"/>
          <w:szCs w:val="20"/>
          <w:color w:val="auto"/>
        </w:rPr>
      </w:pPr>
    </w:p>
    <w:p>
      <w:pPr>
        <w:jc w:val="both"/>
        <w:ind w:left="660" w:hanging="184"/>
        <w:spacing w:after="0" w:line="250"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Professional segment net sales for the fiscal 2007 second quarter increased 2 percent to $447.9 million. Growth in shipments of worldwide commercial and irrigation products helped offset lower shipments of landscape contractor equipment. Lower sales in landscape equipment businesses resulted primarily from efforts to reduce field inventories. Professional segment net sales for the year to date increased 3.9 percent to $720 million.</w:t>
      </w:r>
    </w:p>
    <w:p>
      <w:pPr>
        <w:spacing w:after="0" w:line="1" w:lineRule="exact"/>
        <w:rPr>
          <w:rFonts w:ascii="Arial" w:cs="Arial" w:eastAsia="Arial" w:hAnsi="Arial"/>
          <w:sz w:val="18"/>
          <w:szCs w:val="18"/>
          <w:b w:val="1"/>
          <w:bCs w:val="1"/>
          <w:color w:val="auto"/>
        </w:rPr>
      </w:pPr>
    </w:p>
    <w:p>
      <w:pPr>
        <w:jc w:val="both"/>
        <w:ind w:left="660" w:hanging="184"/>
        <w:spacing w:after="0" w:line="255"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Professional segment earnings for the fiscal 2007 second quarter were $108.5 million, up 4.1 percent compared with $104.2 million in the fiscal 2006 second quarter. For the year to date, Professional segment earnings totaled $156.9 million, up 7.6 percent from $145.8 million in the first half of fiscal 2006.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7" w:lineRule="exact"/>
        <w:rPr>
          <w:sz w:val="20"/>
          <w:szCs w:val="20"/>
          <w:color w:val="auto"/>
        </w:rPr>
      </w:pPr>
    </w:p>
    <w:p>
      <w:pPr>
        <w:jc w:val="both"/>
        <w:ind w:left="660" w:hanging="184"/>
        <w:spacing w:after="0" w:line="250"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Residential segment net sales for the fiscal 2007 second quarter increased 8.5 percent to $228.2 million from $210.3 million in the fiscal 2006 second quarter. The increase is primarily attributable to strong demand for the new zero-turn radius riding mower line and a new and innovative line of walk power mowers. For the year to date, Residential segment sales totaled $330.1 million, up 3.6 percent from $318.5 million in the first half of fiscal 2006.</w:t>
      </w:r>
    </w:p>
    <w:p>
      <w:pPr>
        <w:spacing w:after="0" w:line="1" w:lineRule="exact"/>
        <w:rPr>
          <w:rFonts w:ascii="Arial" w:cs="Arial" w:eastAsia="Arial" w:hAnsi="Arial"/>
          <w:sz w:val="18"/>
          <w:szCs w:val="18"/>
          <w:b w:val="1"/>
          <w:bCs w:val="1"/>
          <w:color w:val="auto"/>
        </w:rPr>
      </w:pPr>
    </w:p>
    <w:p>
      <w:pPr>
        <w:jc w:val="both"/>
        <w:ind w:left="660" w:hanging="184"/>
        <w:spacing w:after="0" w:line="255"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Residential segment earnings for the fiscal 2007 second quarter totaled $27.4 million, up 51.2 percent from $18.1 million in the fiscal 2006 second quarter. For the year to date, Residential segment earnings totaled $31.8 million, up 36.6 percent from $23.3 million in the first half of the prior fiscal year.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REVIEW OF OPERATIONS</w:t>
      </w:r>
    </w:p>
    <w:p>
      <w:pPr>
        <w:spacing w:after="0" w:line="2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Gross margin for the fiscal 2007 second quarter was 35.6 percent compared with 34.9 percent in the comparable fiscal 2006 period. Second quarter gross margin benefited from cost reductions and productivity and efficiency improvements related to the company’s GrowLean initiative and to a favorable product mix within Professional segment sales. For year to date, gross margin improved to 36.1 percent from 35.2 percent in the first half of fiscal 2006.</w:t>
      </w:r>
    </w:p>
    <w:p>
      <w:pPr>
        <w:spacing w:after="0" w:line="18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Selling, general and administrative (SG&amp;A) expenses for the fiscal 2007 second quarter declined to 18.3 percent of net sales from 18.9 percent in the fiscal 2006 second quarter. The improvement resulted from lower marketing and warranty expenses. For the fiscal year to date, SG&amp;A expenses were 22.3 percent of net sales compared with 22.5 percent in the same period last year.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for the quarter totaled $5.8 million, up from $5.2 million in the fiscal 2006 second quarter.</w:t>
      </w:r>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effective tax rate for the second quarter of fiscal 2007 was 34.6 percent compared to 32.1 percent in the fiscal 2006 second quarter. Last year’s second quarter rate reflected the receipt of a tax refund.</w:t>
      </w:r>
    </w:p>
    <w:p>
      <w:pPr>
        <w:spacing w:after="0" w:line="1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Accounts receivable at the end of the fiscal 2007 second quarter totaled $577.2 million, up $30.8 million, or 5.6 percent, on the quarter’s 4.2 percent increase in net sales.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Net inventories at the end of the fiscal 2007 second quarter totaled $247.9 million, essentially flat with the end of the 2006 second quarter.</w:t>
      </w:r>
    </w:p>
    <w:p>
      <w:pPr>
        <w:spacing w:after="0" w:line="2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During the quarter, the company issued $125 million in unsecured 30-year bonds. The proceeds will be used to retire previously issued higher interest rate bonds due in June 2007 and for general corporate purposes.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OUTLOOK</w:t>
      </w:r>
    </w:p>
    <w:p>
      <w:pPr>
        <w:spacing w:after="0" w:line="27"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color w:val="auto"/>
        </w:rPr>
        <w:t>Commenting on the Company’s outlook for fiscal 2007, Hoffman said, “While much of the retail selling season remains, we are encouraged by strong customer acceptance of new products, along with the momentum of current retail activity and our GrowLean initiative. As a result, we believe we are well-positioned for a solid year with the majority of the second half growth in revenue and profits expected to occur in our fiscal fourth quarter.”</w:t>
      </w:r>
    </w:p>
    <w:p>
      <w:pPr>
        <w:spacing w:after="0" w:line="20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now expects net earnings per diluted share growth to be in the range of 11 to 14 percent and affirmed its expectations for full fiscal 2007 net sales growth of 5 to 6 percent.</w:t>
      </w:r>
    </w:p>
    <w:p>
      <w:pPr>
        <w:spacing w:after="0" w:line="197"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The Toro Company is a leading worldwide provider of outdoor maintenance and beautification products for home, recreation and commercial landscapes.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LIVE 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24 10:00 a.m. CDT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www.thetorocompany.com/invest</w:t>
      </w:r>
    </w:p>
    <w:p>
      <w:pPr>
        <w:spacing w:after="0" w:line="238"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i w:val="1"/>
          <w:iCs w:val="1"/>
          <w:color w:val="auto"/>
        </w:rPr>
        <w:t>TheToro Company will conduct a conference call and webcast for investors beginning at 10:00 a.m. Central Time (CDT) on May 24, 2007</w:t>
      </w:r>
      <w:r>
        <w:rPr>
          <w:rFonts w:ascii="Arial" w:cs="Arial" w:eastAsia="Arial" w:hAnsi="Arial"/>
          <w:sz w:val="17"/>
          <w:szCs w:val="17"/>
          <w:color w:val="auto"/>
        </w:rPr>
        <w:t>.</w:t>
      </w:r>
      <w:r>
        <w:rPr>
          <w:rFonts w:ascii="Arial" w:cs="Arial" w:eastAsia="Arial" w:hAnsi="Arial"/>
          <w:sz w:val="17"/>
          <w:szCs w:val="17"/>
          <w:i w:val="1"/>
          <w:iCs w:val="1"/>
          <w:color w:val="auto"/>
        </w:rPr>
        <w:t xml:space="preserve"> The webcast will be available at </w:t>
      </w:r>
      <w:r>
        <w:rPr>
          <w:rFonts w:ascii="Arial" w:cs="Arial" w:eastAsia="Arial" w:hAnsi="Arial"/>
          <w:sz w:val="17"/>
          <w:szCs w:val="17"/>
          <w:i w:val="1"/>
          <w:iCs w:val="1"/>
          <w:u w:val="single" w:color="auto"/>
          <w:color w:val="auto"/>
        </w:rPr>
        <w:t>www.streetevents.com</w:t>
      </w:r>
      <w:r>
        <w:rPr>
          <w:rFonts w:ascii="Arial" w:cs="Arial" w:eastAsia="Arial" w:hAnsi="Arial"/>
          <w:sz w:val="17"/>
          <w:szCs w:val="17"/>
          <w:i w:val="1"/>
          <w:iCs w:val="1"/>
          <w:color w:val="auto"/>
        </w:rPr>
        <w:t xml:space="preserve"> or at </w:t>
      </w:r>
      <w:r>
        <w:rPr>
          <w:rFonts w:ascii="Arial" w:cs="Arial" w:eastAsia="Arial" w:hAnsi="Arial"/>
          <w:sz w:val="17"/>
          <w:szCs w:val="17"/>
          <w:i w:val="1"/>
          <w:iCs w:val="1"/>
          <w:u w:val="single" w:color="auto"/>
          <w:color w:val="auto"/>
        </w:rPr>
        <w:t>www.thetorocompany.com/invest</w:t>
      </w:r>
      <w:r>
        <w:rPr>
          <w:rFonts w:ascii="Arial" w:cs="Arial" w:eastAsia="Arial" w:hAnsi="Arial"/>
          <w:sz w:val="17"/>
          <w:szCs w:val="17"/>
          <w:i w:val="1"/>
          <w:iCs w:val="1"/>
          <w:color w:val="auto"/>
        </w:rPr>
        <w:t>. Webcast participants will need to complete a brief registration form and should allocate extra time before the webcastbegins to register and, if necessary, download and install audio software.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w:t>
      </w:r>
    </w:p>
    <w:p>
      <w:pPr>
        <w:spacing w:after="0" w:line="27"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Statements made in this news release, which are forward-looking, are made pursuant to the safe harbor provisions of the Private Securities Litigation Reform Act of 1995. Forward-looking statements involve risks and uncertainties that could cause actual results to differ materially from those projected or implied. These uncertainties include factors that affect all businesses operating in a global market as well as matters specific to Toro. Particular risks and uncertainties that may affect the company’s operating results or overall financial position at the present include: slow growth rates in global and domestic economies, resulting in rising unemployment and weakened consumer confidence; the threat of further terrorist acts and war, which may result in contraction of the U.S. and worldwide economies; fluctuations in the cost and availability of raw materials, including steel and other commodities; rising costs of transportation; the impact of abnormal weather patterns and natural disasters; level of growth in the golf market; reduced government spending for grounds maintenance equipment due to reduced tax revenue and tighter government budgets; dependence on The Home Depot as a customer for the residential segment; elimination of shelf space for our products at retailers; inventory adjustments or changes in purchasing patterns by our customers; market acceptance of existing and new products; increased competition; our ability to achieve the goals for the new three-year growth, profit and asset management initiative (GrowLean) which is intended to improve our revenue growth, after-tax return on sales and working capital efficiency; the company's ability to achieve net sales and net earnings per diluted share growth in fiscal 2007; our increased dependence on international sales and the risks attendant to international operations; interest rates and currency movements including, in particular, our exposure to foreign currency risk; financial viability of distributors and dealers; our ability to successfully achieve our plans for and integrate acquisitions and manage alliances; the costs and effects of complying with changes in tax, fiscal, government and other regulatory policies, including rules relating to environmental, health and safety matters; unforeseen product quality problems in the development, production and usage of new and existing products; loss of or changes in executive management; ability of management to manage around unplanned events; the occurrence of litigation or claims, including the previously disclosed pending litigation against the company and other defendants that challenges the horsepower ratings of lawnmowers, of which the company is currently unable to assess whether the litigation would have a material adverse effect on the company’s consolidated operating results or financial condition, although an adverse result might be material to operating results in a particular reporting period. In addition to the factors set forth in this paragraph, market, economic, financial, competitive,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statement.</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tables follow)</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more --</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and shares in thousands, except per-share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gridSpan w:val="8"/>
          </w:tcPr>
          <w:p>
            <w:pPr>
              <w:jc w:val="right"/>
              <w:ind w:right="78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0"/>
                <w:szCs w:val="20"/>
                <w:color w:val="auto"/>
              </w:rPr>
            </w:pPr>
          </w:p>
        </w:tc>
        <w:tc>
          <w:tcPr>
            <w:tcW w:w="2480" w:type="dxa"/>
            <w:vAlign w:val="bottom"/>
            <w:gridSpan w:val="5"/>
          </w:tcPr>
          <w:p>
            <w:pPr>
              <w:jc w:val="right"/>
              <w:ind w:right="76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3"/>
          </w:tcPr>
          <w:p>
            <w:pPr>
              <w:jc w:val="center"/>
              <w:ind w:right="520"/>
              <w:spacing w:after="0" w:line="198" w:lineRule="exact"/>
              <w:rPr>
                <w:sz w:val="20"/>
                <w:szCs w:val="20"/>
                <w:color w:val="auto"/>
              </w:rPr>
            </w:pPr>
            <w:r>
              <w:rPr>
                <w:rFonts w:ascii="Arial" w:cs="Arial" w:eastAsia="Arial" w:hAnsi="Arial"/>
                <w:sz w:val="18"/>
                <w:szCs w:val="18"/>
                <w:b w:val="1"/>
                <w:bCs w:val="1"/>
                <w:color w:val="auto"/>
                <w:w w:val="94"/>
              </w:rPr>
              <w:t>May 4,</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w w:val="98"/>
              </w:rPr>
              <w:t>May 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600"/>
              <w:spacing w:after="0" w:line="198" w:lineRule="exact"/>
              <w:rPr>
                <w:sz w:val="20"/>
                <w:szCs w:val="20"/>
                <w:color w:val="auto"/>
              </w:rPr>
            </w:pPr>
            <w:r>
              <w:rPr>
                <w:rFonts w:ascii="Arial" w:cs="Arial" w:eastAsia="Arial" w:hAnsi="Arial"/>
                <w:sz w:val="18"/>
                <w:szCs w:val="18"/>
                <w:b w:val="1"/>
                <w:bCs w:val="1"/>
                <w:color w:val="auto"/>
              </w:rPr>
              <w:t>May 4,</w:t>
            </w: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May 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686,653</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659,004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1,065,741</w:t>
            </w:r>
          </w:p>
        </w:tc>
        <w:tc>
          <w:tcPr>
            <w:tcW w:w="30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56"/>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1,028,644</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244,716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230,256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384,781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362,130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Gross profit percent</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34.9%</w:t>
            </w:r>
          </w:p>
        </w:tc>
        <w:tc>
          <w:tcPr>
            <w:tcW w:w="220" w:type="dxa"/>
            <w:vAlign w:val="bottom"/>
            <w:tcBorders>
              <w:left w:val="single" w:sz="8" w:color="CCEEFF"/>
            </w:tcBorders>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Selling, general, and administrative expense</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125,843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124,309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238,124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231,514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left w:val="single" w:sz="8" w:color="auto"/>
            </w:tcBorders>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Earnings from operations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118,873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105,947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146,657</w:t>
            </w:r>
          </w:p>
        </w:tc>
        <w:tc>
          <w:tcPr>
            <w:tcW w:w="30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130,616</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(5,789)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(5,177)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(10,276)</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w:t>
            </w:r>
          </w:p>
        </w:tc>
        <w:tc>
          <w:tcPr>
            <w:tcW w:w="30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tcBorders>
              <w:left w:val="single" w:sz="8" w:color="auto"/>
            </w:tcBorders>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Borders>
              <w:left w:val="single" w:sz="8" w:color="CCEEFF"/>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ind w:left="480"/>
              <w:spacing w:after="0"/>
              <w:rPr>
                <w:sz w:val="20"/>
                <w:szCs w:val="20"/>
                <w:color w:val="auto"/>
              </w:rPr>
            </w:pPr>
            <w:r>
              <w:rPr>
                <w:rFonts w:ascii="Arial" w:cs="Arial" w:eastAsia="Arial" w:hAnsi="Arial"/>
                <w:sz w:val="18"/>
                <w:szCs w:val="18"/>
                <w:color w:val="auto"/>
              </w:rPr>
              <w:t>Earnings before income taxes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114,560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103,216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140,248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124,528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39,594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33,134</w:t>
            </w:r>
          </w:p>
        </w:tc>
        <w:tc>
          <w:tcPr>
            <w:tcW w:w="2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46,832</w:t>
            </w:r>
          </w:p>
        </w:tc>
        <w:tc>
          <w:tcPr>
            <w:tcW w:w="30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40,167</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tcBorders>
              <w:left w:val="single" w:sz="8" w:color="auto"/>
            </w:tcBorders>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Borders>
              <w:left w:val="single" w:sz="8" w:color="CCEEFF"/>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ind w:left="480"/>
              <w:spacing w:after="0"/>
              <w:rPr>
                <w:sz w:val="20"/>
                <w:szCs w:val="20"/>
                <w:color w:val="auto"/>
              </w:rPr>
            </w:pPr>
            <w:r>
              <w:rPr>
                <w:rFonts w:ascii="Arial" w:cs="Arial" w:eastAsia="Arial" w:hAnsi="Arial"/>
                <w:sz w:val="18"/>
                <w:szCs w:val="18"/>
                <w:color w:val="auto"/>
              </w:rPr>
              <w:t>Net earnings</w:t>
            </w:r>
          </w:p>
        </w:tc>
        <w:tc>
          <w:tcPr>
            <w:tcW w:w="2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74,966</w:t>
            </w:r>
          </w:p>
        </w:tc>
        <w:tc>
          <w:tcPr>
            <w:tcW w:w="160" w:type="dxa"/>
            <w:vAlign w:val="bottom"/>
          </w:tcPr>
          <w:p>
            <w:pPr>
              <w:spacing w:after="0"/>
              <w:rPr>
                <w:sz w:val="18"/>
                <w:szCs w:val="18"/>
                <w:color w:val="auto"/>
              </w:rPr>
            </w:pPr>
          </w:p>
        </w:tc>
        <w:tc>
          <w:tcPr>
            <w:tcW w:w="260" w:type="dxa"/>
            <w:vAlign w:val="bottom"/>
            <w:gridSpan w:val="2"/>
          </w:tcPr>
          <w:p>
            <w:pPr>
              <w:jc w:val="right"/>
              <w:ind w:right="18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70,082</w:t>
            </w:r>
          </w:p>
        </w:tc>
        <w:tc>
          <w:tcPr>
            <w:tcW w:w="200" w:type="dxa"/>
            <w:vAlign w:val="bottom"/>
          </w:tcPr>
          <w:p>
            <w:pPr>
              <w:spacing w:after="0"/>
              <w:rPr>
                <w:sz w:val="18"/>
                <w:szCs w:val="18"/>
                <w:color w:val="auto"/>
              </w:rPr>
            </w:pPr>
          </w:p>
        </w:tc>
        <w:tc>
          <w:tcPr>
            <w:tcW w:w="220" w:type="dxa"/>
            <w:vAlign w:val="bottom"/>
          </w:tcPr>
          <w:p>
            <w:pPr>
              <w:jc w:val="right"/>
              <w:ind w:right="5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93,416</w:t>
            </w:r>
          </w:p>
        </w:tc>
        <w:tc>
          <w:tcPr>
            <w:tcW w:w="300" w:type="dxa"/>
            <w:vAlign w:val="bottom"/>
          </w:tcPr>
          <w:p>
            <w:pPr>
              <w:spacing w:after="0"/>
              <w:rPr>
                <w:sz w:val="18"/>
                <w:szCs w:val="18"/>
                <w:color w:val="auto"/>
              </w:rPr>
            </w:pPr>
          </w:p>
        </w:tc>
        <w:tc>
          <w:tcPr>
            <w:tcW w:w="180" w:type="dxa"/>
            <w:vAlign w:val="bottom"/>
          </w:tcPr>
          <w:p>
            <w:pPr>
              <w:jc w:val="right"/>
              <w:ind w:right="56"/>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84,361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Basic net earnings per share</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1.82</w:t>
            </w:r>
          </w:p>
        </w:tc>
        <w:tc>
          <w:tcPr>
            <w:tcW w:w="160" w:type="dxa"/>
            <w:vAlign w:val="bottom"/>
          </w:tcPr>
          <w:p>
            <w:pPr>
              <w:spacing w:after="0"/>
              <w:rPr>
                <w:sz w:val="18"/>
                <w:szCs w:val="18"/>
                <w:color w:val="auto"/>
              </w:rPr>
            </w:pPr>
          </w:p>
        </w:tc>
        <w:tc>
          <w:tcPr>
            <w:tcW w:w="260" w:type="dxa"/>
            <w:vAlign w:val="bottom"/>
            <w:gridSpan w:val="2"/>
          </w:tcPr>
          <w:p>
            <w:pPr>
              <w:jc w:val="right"/>
              <w:ind w:right="18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1.62</w:t>
            </w:r>
          </w:p>
        </w:tc>
        <w:tc>
          <w:tcPr>
            <w:tcW w:w="200" w:type="dxa"/>
            <w:vAlign w:val="bottom"/>
          </w:tcPr>
          <w:p>
            <w:pPr>
              <w:spacing w:after="0"/>
              <w:rPr>
                <w:sz w:val="18"/>
                <w:szCs w:val="18"/>
                <w:color w:val="auto"/>
              </w:rPr>
            </w:pPr>
          </w:p>
        </w:tc>
        <w:tc>
          <w:tcPr>
            <w:tcW w:w="220" w:type="dxa"/>
            <w:vAlign w:val="bottom"/>
          </w:tcPr>
          <w:p>
            <w:pPr>
              <w:jc w:val="right"/>
              <w:ind w:right="5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2.27</w:t>
            </w:r>
          </w:p>
        </w:tc>
        <w:tc>
          <w:tcPr>
            <w:tcW w:w="300" w:type="dxa"/>
            <w:vAlign w:val="bottom"/>
          </w:tcPr>
          <w:p>
            <w:pPr>
              <w:spacing w:after="0"/>
              <w:rPr>
                <w:sz w:val="18"/>
                <w:szCs w:val="18"/>
                <w:color w:val="auto"/>
              </w:rPr>
            </w:pPr>
          </w:p>
        </w:tc>
        <w:tc>
          <w:tcPr>
            <w:tcW w:w="180" w:type="dxa"/>
            <w:vAlign w:val="bottom"/>
          </w:tcPr>
          <w:p>
            <w:pPr>
              <w:jc w:val="right"/>
              <w:ind w:right="56"/>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ind w:left="160"/>
              <w:spacing w:after="0"/>
              <w:rPr>
                <w:sz w:val="20"/>
                <w:szCs w:val="20"/>
                <w:color w:val="auto"/>
              </w:rPr>
            </w:pPr>
            <w:r>
              <w:rPr>
                <w:rFonts w:ascii="Arial" w:cs="Arial" w:eastAsia="Arial" w:hAnsi="Arial"/>
                <w:sz w:val="18"/>
                <w:szCs w:val="18"/>
                <w:color w:val="auto"/>
              </w:rPr>
              <w:t>Diluted net earnings per share</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1.77</w:t>
            </w:r>
          </w:p>
        </w:tc>
        <w:tc>
          <w:tcPr>
            <w:tcW w:w="160" w:type="dxa"/>
            <w:vAlign w:val="bottom"/>
          </w:tcPr>
          <w:p>
            <w:pPr>
              <w:spacing w:after="0"/>
              <w:rPr>
                <w:sz w:val="18"/>
                <w:szCs w:val="18"/>
                <w:color w:val="auto"/>
              </w:rPr>
            </w:pPr>
          </w:p>
        </w:tc>
        <w:tc>
          <w:tcPr>
            <w:tcW w:w="260" w:type="dxa"/>
            <w:vAlign w:val="bottom"/>
            <w:gridSpan w:val="2"/>
          </w:tcPr>
          <w:p>
            <w:pPr>
              <w:jc w:val="right"/>
              <w:ind w:right="18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18"/>
                <w:szCs w:val="18"/>
                <w:color w:val="auto"/>
              </w:rPr>
            </w:pPr>
          </w:p>
        </w:tc>
        <w:tc>
          <w:tcPr>
            <w:tcW w:w="220" w:type="dxa"/>
            <w:vAlign w:val="bottom"/>
          </w:tcPr>
          <w:p>
            <w:pPr>
              <w:jc w:val="right"/>
              <w:ind w:right="5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2.21</w:t>
            </w:r>
          </w:p>
        </w:tc>
        <w:tc>
          <w:tcPr>
            <w:tcW w:w="300" w:type="dxa"/>
            <w:vAlign w:val="bottom"/>
          </w:tcPr>
          <w:p>
            <w:pPr>
              <w:spacing w:after="0"/>
              <w:rPr>
                <w:sz w:val="18"/>
                <w:szCs w:val="18"/>
                <w:color w:val="auto"/>
              </w:rPr>
            </w:pPr>
          </w:p>
        </w:tc>
        <w:tc>
          <w:tcPr>
            <w:tcW w:w="180" w:type="dxa"/>
            <w:vAlign w:val="bottom"/>
          </w:tcPr>
          <w:p>
            <w:pPr>
              <w:jc w:val="right"/>
              <w:ind w:right="56"/>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00" w:type="dxa"/>
            <w:vAlign w:val="bottom"/>
            <w:gridSpan w:val="3"/>
          </w:tcPr>
          <w:p>
            <w:pPr>
              <w:spacing w:after="0" w:line="201" w:lineRule="exact"/>
              <w:rPr>
                <w:sz w:val="20"/>
                <w:szCs w:val="20"/>
                <w:color w:val="auto"/>
              </w:rPr>
            </w:pPr>
            <w:r>
              <w:rPr>
                <w:rFonts w:ascii="Arial" w:cs="Arial" w:eastAsia="Arial" w:hAnsi="Arial"/>
                <w:sz w:val="18"/>
                <w:szCs w:val="18"/>
                <w:color w:val="auto"/>
                <w:w w:val="95"/>
              </w:rPr>
              <w:t>Weighted average number of shares of common</w:t>
            </w: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gridSpan w:val="3"/>
          </w:tcPr>
          <w:p>
            <w:pPr>
              <w:ind w:left="160"/>
              <w:spacing w:after="0"/>
              <w:rPr>
                <w:sz w:val="20"/>
                <w:szCs w:val="20"/>
                <w:color w:val="auto"/>
              </w:rPr>
            </w:pPr>
            <w:r>
              <w:rPr>
                <w:rFonts w:ascii="Arial" w:cs="Arial" w:eastAsia="Arial" w:hAnsi="Arial"/>
                <w:sz w:val="18"/>
                <w:szCs w:val="18"/>
                <w:color w:val="auto"/>
              </w:rPr>
              <w:t>stock outstanding – Basic</w:t>
            </w: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41,098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43,375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41,119</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43,494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00" w:type="dxa"/>
            <w:vAlign w:val="bottom"/>
            <w:gridSpan w:val="3"/>
          </w:tcPr>
          <w:p>
            <w:pPr>
              <w:spacing w:after="0" w:line="201" w:lineRule="exact"/>
              <w:rPr>
                <w:sz w:val="20"/>
                <w:szCs w:val="20"/>
                <w:color w:val="auto"/>
              </w:rPr>
            </w:pPr>
            <w:r>
              <w:rPr>
                <w:rFonts w:ascii="Arial" w:cs="Arial" w:eastAsia="Arial" w:hAnsi="Arial"/>
                <w:sz w:val="18"/>
                <w:szCs w:val="18"/>
                <w:color w:val="auto"/>
                <w:w w:val="95"/>
              </w:rPr>
              <w:t>Weighted average number of shares of common</w:t>
            </w: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gridSpan w:val="3"/>
          </w:tcPr>
          <w:p>
            <w:pPr>
              <w:ind w:left="160"/>
              <w:spacing w:after="0"/>
              <w:rPr>
                <w:sz w:val="20"/>
                <w:szCs w:val="20"/>
                <w:color w:val="auto"/>
              </w:rPr>
            </w:pPr>
            <w:r>
              <w:rPr>
                <w:rFonts w:ascii="Arial" w:cs="Arial" w:eastAsia="Arial" w:hAnsi="Arial"/>
                <w:sz w:val="18"/>
                <w:szCs w:val="18"/>
                <w:color w:val="auto"/>
              </w:rPr>
              <w:t>stock outstanding – Dilutive</w:t>
            </w: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42,253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44,957</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42,255</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45,000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4"/>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60" w:type="dxa"/>
            <w:vAlign w:val="bottom"/>
            <w:gridSpan w:val="8"/>
          </w:tcPr>
          <w:p>
            <w:pPr>
              <w:jc w:val="center"/>
              <w:ind w:left="51"/>
              <w:spacing w:after="0"/>
              <w:rPr>
                <w:sz w:val="20"/>
                <w:szCs w:val="20"/>
                <w:color w:val="auto"/>
              </w:rPr>
            </w:pPr>
            <w:r>
              <w:rPr>
                <w:rFonts w:ascii="Arial" w:cs="Arial" w:eastAsia="Arial" w:hAnsi="Arial"/>
                <w:sz w:val="18"/>
                <w:szCs w:val="18"/>
                <w:b w:val="1"/>
                <w:bCs w:val="1"/>
                <w:color w:val="auto"/>
              </w:rPr>
              <w:t>THE TORO COMPANY AND SUBSIDIARIES</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0" w:type="dxa"/>
            <w:vAlign w:val="bottom"/>
            <w:gridSpan w:val="6"/>
          </w:tcPr>
          <w:p>
            <w:pPr>
              <w:jc w:val="center"/>
              <w:ind w:left="291"/>
              <w:spacing w:after="0"/>
              <w:rPr>
                <w:sz w:val="20"/>
                <w:szCs w:val="20"/>
                <w:color w:val="auto"/>
              </w:rPr>
            </w:pPr>
            <w:r>
              <w:rPr>
                <w:rFonts w:ascii="Arial" w:cs="Arial" w:eastAsia="Arial" w:hAnsi="Arial"/>
                <w:sz w:val="18"/>
                <w:szCs w:val="18"/>
                <w:b w:val="1"/>
                <w:bCs w:val="1"/>
                <w:color w:val="auto"/>
                <w:w w:val="91"/>
              </w:rPr>
              <w:t>Segment Data (Unaudited)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gridSpan w:val="6"/>
          </w:tcPr>
          <w:p>
            <w:pPr>
              <w:jc w:val="center"/>
              <w:ind w:left="291"/>
              <w:spacing w:after="0"/>
              <w:rPr>
                <w:sz w:val="20"/>
                <w:szCs w:val="20"/>
                <w:color w:val="auto"/>
              </w:rPr>
            </w:pPr>
            <w:r>
              <w:rPr>
                <w:rFonts w:ascii="Arial" w:cs="Arial" w:eastAsia="Arial" w:hAnsi="Arial"/>
                <w:sz w:val="18"/>
                <w:szCs w:val="18"/>
                <w:b w:val="1"/>
                <w:bCs w:val="1"/>
                <w:color w:val="auto"/>
                <w:w w:val="89"/>
              </w:rPr>
              <w:t>(Dollars in thousands)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7"/>
          </w:tcPr>
          <w:p>
            <w:pPr>
              <w:jc w:val="right"/>
              <w:ind w:right="48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color w:val="auto"/>
              </w:rPr>
              <w:t>Six Months Ended</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8"/>
              </w:rPr>
              <w:t>May 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4"/>
              </w:rPr>
              <w:t>May 5,</w:t>
            </w:r>
          </w:p>
        </w:tc>
        <w:tc>
          <w:tcPr>
            <w:tcW w:w="220" w:type="dxa"/>
            <w:vAlign w:val="bottom"/>
          </w:tcPr>
          <w:p>
            <w:pPr>
              <w:spacing w:after="0"/>
              <w:rPr>
                <w:sz w:val="19"/>
                <w:szCs w:val="19"/>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May 4,</w:t>
            </w:r>
          </w:p>
        </w:tc>
        <w:tc>
          <w:tcPr>
            <w:tcW w:w="18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May 5,</w:t>
            </w:r>
          </w:p>
        </w:tc>
        <w:tc>
          <w:tcPr>
            <w:tcW w:w="0" w:type="dxa"/>
            <w:vAlign w:val="bottom"/>
          </w:tcPr>
          <w:p>
            <w:pPr>
              <w:spacing w:after="0"/>
              <w:rPr>
                <w:sz w:val="1"/>
                <w:szCs w:val="1"/>
                <w:color w:val="auto"/>
              </w:rPr>
            </w:pPr>
          </w:p>
        </w:tc>
      </w:tr>
      <w:tr>
        <w:trPr>
          <w:trHeight w:val="194"/>
        </w:trPr>
        <w:tc>
          <w:tcPr>
            <w:tcW w:w="372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rPr>
              <w:t>Segment Net Sales</w:t>
            </w: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9"/>
              </w:rPr>
              <w:t>2007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10"/>
              <w:spacing w:after="0" w:line="194" w:lineRule="exact"/>
              <w:rPr>
                <w:sz w:val="20"/>
                <w:szCs w:val="20"/>
                <w:color w:val="auto"/>
              </w:rPr>
            </w:pPr>
            <w:r>
              <w:rPr>
                <w:rFonts w:ascii="Arial" w:cs="Arial" w:eastAsia="Arial" w:hAnsi="Arial"/>
                <w:sz w:val="18"/>
                <w:szCs w:val="18"/>
                <w:b w:val="1"/>
                <w:bCs w:val="1"/>
                <w:color w:val="auto"/>
                <w:w w:val="89"/>
              </w:rPr>
              <w:t>2006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30"/>
              <w:spacing w:after="0" w:line="194" w:lineRule="exact"/>
              <w:rPr>
                <w:sz w:val="20"/>
                <w:szCs w:val="20"/>
                <w:color w:val="auto"/>
              </w:rPr>
            </w:pPr>
            <w:r>
              <w:rPr>
                <w:rFonts w:ascii="Arial" w:cs="Arial" w:eastAsia="Arial" w:hAnsi="Arial"/>
                <w:sz w:val="18"/>
                <w:szCs w:val="18"/>
                <w:b w:val="1"/>
                <w:bCs w:val="1"/>
                <w:color w:val="auto"/>
                <w:w w:val="89"/>
              </w:rPr>
              <w:t>2007</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ind w:right="70"/>
              <w:spacing w:after="0" w:line="194" w:lineRule="exact"/>
              <w:rPr>
                <w:sz w:val="20"/>
                <w:szCs w:val="20"/>
                <w:color w:val="auto"/>
              </w:rPr>
            </w:pPr>
            <w:r>
              <w:rPr>
                <w:rFonts w:ascii="Arial" w:cs="Arial" w:eastAsia="Arial" w:hAnsi="Arial"/>
                <w:sz w:val="18"/>
                <w:szCs w:val="18"/>
                <w:b w:val="1"/>
                <w:bCs w:val="1"/>
                <w:color w:val="auto"/>
                <w:w w:val="89"/>
              </w:rPr>
              <w:t>2006</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2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Professional</w:t>
            </w:r>
          </w:p>
        </w:tc>
        <w:tc>
          <w:tcPr>
            <w:tcW w:w="2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447,857</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439,098</w:t>
            </w:r>
          </w:p>
        </w:tc>
        <w:tc>
          <w:tcPr>
            <w:tcW w:w="2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719,999</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692,703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Residential</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228,204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210,293</w:t>
            </w:r>
          </w:p>
        </w:tc>
        <w:tc>
          <w:tcPr>
            <w:tcW w:w="2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330,062</w:t>
            </w: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318,478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10,592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9,613</w:t>
            </w:r>
          </w:p>
        </w:tc>
        <w:tc>
          <w:tcPr>
            <w:tcW w:w="220" w:type="dxa"/>
            <w:vAlign w:val="bottom"/>
            <w:tcBorders>
              <w:left w:val="single" w:sz="8" w:color="CCEEFF"/>
            </w:tcBorders>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15,680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tcBorders>
              <w:left w:val="single" w:sz="8" w:color="CCEEFF"/>
            </w:tcBorders>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Borders>
              <w:left w:val="single" w:sz="8" w:color="auto"/>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Borders>
              <w:lef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ind w:left="160"/>
              <w:spacing w:after="0"/>
              <w:rPr>
                <w:sz w:val="20"/>
                <w:szCs w:val="20"/>
                <w:color w:val="auto"/>
              </w:rPr>
            </w:pPr>
            <w:r>
              <w:rPr>
                <w:rFonts w:ascii="Arial" w:cs="Arial" w:eastAsia="Arial" w:hAnsi="Arial"/>
                <w:sz w:val="18"/>
                <w:szCs w:val="18"/>
                <w:color w:val="auto"/>
              </w:rPr>
              <w:t>Total *</w:t>
            </w:r>
          </w:p>
        </w:tc>
        <w:tc>
          <w:tcPr>
            <w:tcW w:w="24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686,653</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659,004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1,065,741</w:t>
            </w:r>
          </w:p>
        </w:tc>
        <w:tc>
          <w:tcPr>
            <w:tcW w:w="180" w:type="dxa"/>
            <w:vAlign w:val="bottom"/>
          </w:tcPr>
          <w:p>
            <w:pPr>
              <w:jc w:val="right"/>
              <w:ind w:right="36"/>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1,028,644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 Includes international sales of</w:t>
            </w:r>
          </w:p>
        </w:tc>
        <w:tc>
          <w:tcPr>
            <w:tcW w:w="24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188,861</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168,290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321,474</w:t>
            </w:r>
          </w:p>
        </w:tc>
        <w:tc>
          <w:tcPr>
            <w:tcW w:w="180" w:type="dxa"/>
            <w:vAlign w:val="bottom"/>
          </w:tcPr>
          <w:p>
            <w:pPr>
              <w:jc w:val="right"/>
              <w:ind w:right="36"/>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288,349</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7"/>
          </w:tcPr>
          <w:p>
            <w:pPr>
              <w:jc w:val="right"/>
              <w:ind w:right="48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color w:val="auto"/>
              </w:rPr>
              <w:t>Six Months Ended</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8"/>
              </w:rPr>
              <w:t>May 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4"/>
              </w:rPr>
              <w:t>May 5,</w:t>
            </w:r>
          </w:p>
        </w:tc>
        <w:tc>
          <w:tcPr>
            <w:tcW w:w="220" w:type="dxa"/>
            <w:vAlign w:val="bottom"/>
          </w:tcPr>
          <w:p>
            <w:pPr>
              <w:spacing w:after="0"/>
              <w:rPr>
                <w:sz w:val="19"/>
                <w:szCs w:val="19"/>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May 4,</w:t>
            </w:r>
          </w:p>
        </w:tc>
        <w:tc>
          <w:tcPr>
            <w:tcW w:w="18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May 5,</w:t>
            </w:r>
          </w:p>
        </w:tc>
        <w:tc>
          <w:tcPr>
            <w:tcW w:w="0" w:type="dxa"/>
            <w:vAlign w:val="bottom"/>
          </w:tcPr>
          <w:p>
            <w:pPr>
              <w:spacing w:after="0"/>
              <w:rPr>
                <w:sz w:val="1"/>
                <w:szCs w:val="1"/>
                <w:color w:val="auto"/>
              </w:rPr>
            </w:pPr>
          </w:p>
        </w:tc>
      </w:tr>
      <w:tr>
        <w:trPr>
          <w:trHeight w:val="194"/>
        </w:trPr>
        <w:tc>
          <w:tcPr>
            <w:tcW w:w="372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w w:val="91"/>
              </w:rPr>
              <w:t>Segment Earnings (Loss) Before Income Taxes</w:t>
            </w: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9"/>
              </w:rPr>
              <w:t>2007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10"/>
              <w:spacing w:after="0" w:line="194" w:lineRule="exact"/>
              <w:rPr>
                <w:sz w:val="20"/>
                <w:szCs w:val="20"/>
                <w:color w:val="auto"/>
              </w:rPr>
            </w:pPr>
            <w:r>
              <w:rPr>
                <w:rFonts w:ascii="Arial" w:cs="Arial" w:eastAsia="Arial" w:hAnsi="Arial"/>
                <w:sz w:val="18"/>
                <w:szCs w:val="18"/>
                <w:b w:val="1"/>
                <w:bCs w:val="1"/>
                <w:color w:val="auto"/>
                <w:w w:val="89"/>
              </w:rPr>
              <w:t>2006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30"/>
              <w:spacing w:after="0" w:line="194" w:lineRule="exact"/>
              <w:rPr>
                <w:sz w:val="20"/>
                <w:szCs w:val="20"/>
                <w:color w:val="auto"/>
              </w:rPr>
            </w:pPr>
            <w:r>
              <w:rPr>
                <w:rFonts w:ascii="Arial" w:cs="Arial" w:eastAsia="Arial" w:hAnsi="Arial"/>
                <w:sz w:val="18"/>
                <w:szCs w:val="18"/>
                <w:b w:val="1"/>
                <w:bCs w:val="1"/>
                <w:color w:val="auto"/>
                <w:w w:val="89"/>
              </w:rPr>
              <w:t>2007</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ind w:right="70"/>
              <w:spacing w:after="0" w:line="194" w:lineRule="exact"/>
              <w:rPr>
                <w:sz w:val="20"/>
                <w:szCs w:val="20"/>
                <w:color w:val="auto"/>
              </w:rPr>
            </w:pPr>
            <w:r>
              <w:rPr>
                <w:rFonts w:ascii="Arial" w:cs="Arial" w:eastAsia="Arial" w:hAnsi="Arial"/>
                <w:sz w:val="18"/>
                <w:szCs w:val="18"/>
                <w:b w:val="1"/>
                <w:bCs w:val="1"/>
                <w:color w:val="auto"/>
                <w:w w:val="89"/>
              </w:rPr>
              <w:t>2006</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216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Professional</w:t>
            </w:r>
          </w:p>
        </w:tc>
        <w:tc>
          <w:tcPr>
            <w:tcW w:w="2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108,490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104,177</w:t>
            </w:r>
          </w:p>
        </w:tc>
        <w:tc>
          <w:tcPr>
            <w:tcW w:w="2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156,850</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Residential</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27,430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18,136</w:t>
            </w:r>
          </w:p>
        </w:tc>
        <w:tc>
          <w:tcPr>
            <w:tcW w:w="2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31,809</w:t>
            </w: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23,285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(21,360)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(19,097)</w:t>
            </w:r>
          </w:p>
        </w:tc>
        <w:tc>
          <w:tcPr>
            <w:tcW w:w="220" w:type="dxa"/>
            <w:vAlign w:val="bottom"/>
            <w:tcBorders>
              <w:left w:val="single" w:sz="8" w:color="CCEEFF"/>
            </w:tcBorders>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(48,411)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(44,594)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tcBorders>
              <w:left w:val="single" w:sz="8" w:color="CCEEFF"/>
            </w:tcBorders>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Borders>
              <w:left w:val="single" w:sz="8" w:color="auto"/>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Borders>
              <w:left w:val="single" w:sz="8" w:color="auto"/>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ind w:left="160"/>
              <w:spacing w:after="0"/>
              <w:rPr>
                <w:sz w:val="20"/>
                <w:szCs w:val="20"/>
                <w:color w:val="auto"/>
              </w:rPr>
            </w:pPr>
            <w:r>
              <w:rPr>
                <w:rFonts w:ascii="Arial" w:cs="Arial" w:eastAsia="Arial" w:hAnsi="Arial"/>
                <w:sz w:val="18"/>
                <w:szCs w:val="18"/>
                <w:color w:val="auto"/>
              </w:rPr>
              <w:t>Total</w:t>
            </w:r>
          </w:p>
        </w:tc>
        <w:tc>
          <w:tcPr>
            <w:tcW w:w="24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114,560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103,216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140,248</w:t>
            </w:r>
          </w:p>
        </w:tc>
        <w:tc>
          <w:tcPr>
            <w:tcW w:w="180" w:type="dxa"/>
            <w:vAlign w:val="bottom"/>
          </w:tcPr>
          <w:p>
            <w:pPr>
              <w:jc w:val="right"/>
              <w:ind w:right="36"/>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124,528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vMerge w:val="restart"/>
          </w:tcPr>
          <w:p>
            <w:pPr>
              <w:jc w:val="center"/>
              <w:ind w:left="1711"/>
              <w:spacing w:after="0"/>
              <w:rPr>
                <w:sz w:val="20"/>
                <w:szCs w:val="20"/>
                <w:color w:val="auto"/>
              </w:rPr>
            </w:pPr>
            <w:r>
              <w:rPr>
                <w:rFonts w:ascii="Arial" w:cs="Arial" w:eastAsia="Arial" w:hAnsi="Arial"/>
                <w:sz w:val="14"/>
                <w:szCs w:val="14"/>
                <w:color w:val="auto"/>
                <w:w w:val="76"/>
              </w:rPr>
              <w:t>4</w:t>
            </w: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21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1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May 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May 5,</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82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40,797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Receivables, net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577,223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546,413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12,904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18,688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top w:val="single" w:sz="8" w:color="CCEEFF"/>
            </w:tcBorders>
            <w:gridSpan w:val="3"/>
          </w:tcPr>
          <w:p>
            <w:pPr>
              <w:ind w:left="3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936,872</w:t>
            </w: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897,029</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169,123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163,729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Goodwill and other assets, net</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98,405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94,876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1,206,261</w:t>
            </w:r>
          </w:p>
        </w:tc>
        <w:tc>
          <w:tcPr>
            <w:tcW w:w="10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1,155,634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49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Current portion of long-term debt</w:t>
            </w:r>
          </w:p>
        </w:tc>
        <w:tc>
          <w:tcPr>
            <w:tcW w:w="49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75,000</w:t>
            </w:r>
          </w:p>
        </w:tc>
        <w:tc>
          <w:tcPr>
            <w:tcW w:w="32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120,642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126,201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280,069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278,462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3"/>
          </w:tcPr>
          <w:p>
            <w:pPr>
              <w:ind w:left="32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521,536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525,764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223,141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deferred income taxes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Deferred revenue and other long-term liabilities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9,356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451,903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444,642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1,206,261</w:t>
            </w:r>
          </w:p>
        </w:tc>
        <w:tc>
          <w:tcPr>
            <w:tcW w:w="10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1,155,634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more --</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gridSpan w:val="6"/>
          </w:tcPr>
          <w:p>
            <w:pPr>
              <w:jc w:val="right"/>
              <w:ind w:right="6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8"/>
              </w:rPr>
              <w:t>May 4,</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230"/>
              <w:spacing w:after="0" w:line="198" w:lineRule="exact"/>
              <w:rPr>
                <w:sz w:val="20"/>
                <w:szCs w:val="20"/>
                <w:color w:val="auto"/>
              </w:rPr>
            </w:pPr>
            <w:r>
              <w:rPr>
                <w:rFonts w:ascii="Arial" w:cs="Arial" w:eastAsia="Arial" w:hAnsi="Arial"/>
                <w:sz w:val="18"/>
                <w:szCs w:val="18"/>
                <w:b w:val="1"/>
                <w:bCs w:val="1"/>
                <w:color w:val="auto"/>
              </w:rPr>
              <w:t>May 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earnings</w:t>
            </w:r>
          </w:p>
        </w:tc>
        <w:tc>
          <w:tcPr>
            <w:tcW w:w="4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93,416</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84,361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6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Adjustments to reconcile net earnings to net cash</w:t>
            </w:r>
          </w:p>
        </w:tc>
        <w:tc>
          <w:tcPr>
            <w:tcW w:w="3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used in operating activities:</w:t>
            </w:r>
          </w:p>
        </w:tc>
        <w:tc>
          <w:tcPr>
            <w:tcW w:w="3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Equity losses from investments</w:t>
            </w:r>
          </w:p>
        </w:tc>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depreciation and amortization</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20,393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Gain on disposal of property, plant, and equipment</w:t>
            </w:r>
          </w:p>
        </w:tc>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3,828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(Increase) decrease in deferred income taxes</w:t>
            </w:r>
          </w:p>
        </w:tc>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(1,982)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Receivables</w:t>
            </w:r>
          </w:p>
        </w:tc>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(282,982)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(251,863)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(5,628)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(2,322)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deferred revenue</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54,941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shd w:val="clear" w:color="auto" w:fill="CCEEFF"/>
          </w:tcPr>
          <w:p>
            <w:pPr>
              <w:spacing w:after="0"/>
              <w:rPr>
                <w:sz w:val="2"/>
                <w:szCs w:val="2"/>
                <w:color w:val="auto"/>
              </w:rPr>
            </w:pPr>
          </w:p>
        </w:tc>
        <w:tc>
          <w:tcPr>
            <w:tcW w:w="38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960"/>
              <w:spacing w:after="0"/>
              <w:rPr>
                <w:sz w:val="20"/>
                <w:szCs w:val="20"/>
                <w:color w:val="auto"/>
              </w:rPr>
            </w:pPr>
            <w:r>
              <w:rPr>
                <w:rFonts w:ascii="Arial" w:cs="Arial" w:eastAsia="Arial" w:hAnsi="Arial"/>
                <w:sz w:val="18"/>
                <w:szCs w:val="18"/>
                <w:color w:val="auto"/>
              </w:rPr>
              <w:t>Net cash used in operating activities</w:t>
            </w:r>
          </w:p>
        </w:tc>
        <w:tc>
          <w:tcPr>
            <w:tcW w:w="3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(120,310)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(90,699)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property, plant, and equipment</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(21,752)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Proceeds from asset disposals</w:t>
            </w:r>
          </w:p>
        </w:tc>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in investment in affiliates</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(Increase) decrease in other assets</w:t>
            </w:r>
          </w:p>
        </w:tc>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Acquisition, net of cash acquired</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shd w:val="clear" w:color="auto" w:fill="CCEEFF"/>
          </w:tcPr>
          <w:p>
            <w:pPr>
              <w:spacing w:after="0"/>
              <w:rPr>
                <w:sz w:val="2"/>
                <w:szCs w:val="2"/>
                <w:color w:val="auto"/>
              </w:rPr>
            </w:pPr>
          </w:p>
        </w:tc>
        <w:tc>
          <w:tcPr>
            <w:tcW w:w="38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960"/>
              <w:spacing w:after="0"/>
              <w:rPr>
                <w:sz w:val="20"/>
                <w:szCs w:val="20"/>
                <w:color w:val="auto"/>
              </w:rPr>
            </w:pPr>
            <w:r>
              <w:rPr>
                <w:rFonts w:ascii="Arial" w:cs="Arial" w:eastAsia="Arial" w:hAnsi="Arial"/>
                <w:sz w:val="18"/>
                <w:szCs w:val="18"/>
                <w:color w:val="auto"/>
              </w:rPr>
              <w:t>Net cash used in investing activities</w:t>
            </w:r>
          </w:p>
        </w:tc>
        <w:tc>
          <w:tcPr>
            <w:tcW w:w="3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(22,771)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(10,547)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in short-term debt</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45,455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Issuance of long-term debt, net of costs</w:t>
            </w:r>
          </w:p>
        </w:tc>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121,436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Repayments of long-term debt</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Excess tax benefits from stock-based awards</w:t>
            </w:r>
          </w:p>
        </w:tc>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5,464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exercise of stock options</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6,992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Purchases of Toro common stock</w:t>
            </w:r>
          </w:p>
        </w:tc>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(41,912)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(49,286)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Dividends paid on Toro common stock</w:t>
            </w:r>
          </w:p>
        </w:tc>
        <w:tc>
          <w:tcPr>
            <w:tcW w:w="3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(9,865)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shd w:val="clear" w:color="auto" w:fill="CCEEFF"/>
          </w:tcPr>
          <w:p>
            <w:pPr>
              <w:spacing w:after="0"/>
              <w:rPr>
                <w:sz w:val="2"/>
                <w:szCs w:val="2"/>
                <w:color w:val="auto"/>
              </w:rPr>
            </w:pPr>
          </w:p>
        </w:tc>
        <w:tc>
          <w:tcPr>
            <w:tcW w:w="38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960"/>
              <w:spacing w:after="0"/>
              <w:rPr>
                <w:sz w:val="20"/>
                <w:szCs w:val="20"/>
                <w:color w:val="auto"/>
              </w:rPr>
            </w:pPr>
            <w:r>
              <w:rPr>
                <w:rFonts w:ascii="Arial" w:cs="Arial" w:eastAsia="Arial" w:hAnsi="Arial"/>
                <w:sz w:val="18"/>
                <w:szCs w:val="18"/>
                <w:color w:val="auto"/>
              </w:rPr>
              <w:t>Net cash provided by financing activities</w:t>
            </w:r>
          </w:p>
        </w:tc>
        <w:tc>
          <w:tcPr>
            <w:tcW w:w="3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127,570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86,572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Effect of exchange rates on cash</w:t>
            </w:r>
          </w:p>
        </w:tc>
        <w:tc>
          <w:tcPr>
            <w:tcW w:w="3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785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(14,726)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(14,162)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beginning of the period</w:t>
            </w:r>
          </w:p>
        </w:tc>
        <w:tc>
          <w:tcPr>
            <w:tcW w:w="3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55,523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c>
          <w:tcPr>
            <w:tcW w:w="38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end of the period</w:t>
            </w:r>
          </w:p>
        </w:tc>
        <w:tc>
          <w:tcPr>
            <w:tcW w:w="4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40,797</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27,240</w:t>
            </w: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4960" w:type="dxa"/>
            <w:vAlign w:val="bottom"/>
            <w:tcBorders>
              <w:top w:val="single" w:sz="8" w:color="CCEEFF"/>
            </w:tcBorders>
          </w:tcPr>
          <w:p>
            <w:pPr>
              <w:spacing w:after="0"/>
              <w:rPr>
                <w:sz w:val="24"/>
                <w:szCs w:val="24"/>
                <w:color w:val="auto"/>
              </w:rPr>
            </w:pPr>
          </w:p>
        </w:tc>
        <w:tc>
          <w:tcPr>
            <w:tcW w:w="3840" w:type="dxa"/>
            <w:vAlign w:val="bottom"/>
            <w:tcBorders>
              <w:top w:val="single" w:sz="8" w:color="CCEEFF"/>
            </w:tcBorders>
          </w:tcPr>
          <w:p>
            <w:pPr>
              <w:jc w:val="right"/>
              <w:ind w:right="2971"/>
              <w:spacing w:after="0"/>
              <w:rPr>
                <w:sz w:val="20"/>
                <w:szCs w:val="20"/>
                <w:color w:val="auto"/>
              </w:rPr>
            </w:pPr>
            <w:r>
              <w:rPr>
                <w:rFonts w:ascii="Arial" w:cs="Arial" w:eastAsia="Arial" w:hAnsi="Arial"/>
                <w:sz w:val="18"/>
                <w:szCs w:val="18"/>
                <w:color w:val="auto"/>
              </w:rPr>
              <w:t>6</w:t>
            </w: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1020445" cy="660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020445" cy="66040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8111 Lyndale Avenue South, Bloomington, Minnesota 55420-1196</w:t>
      </w:r>
    </w:p>
    <w:p>
      <w:pPr>
        <w:spacing w:after="0" w:line="9" w:lineRule="exact"/>
        <w:rPr>
          <w:sz w:val="20"/>
          <w:szCs w:val="20"/>
          <w:color w:val="auto"/>
        </w:rPr>
      </w:pPr>
    </w:p>
    <w:p>
      <w:pPr>
        <w:spacing w:after="0"/>
        <w:tabs>
          <w:tab w:leader="none" w:pos="4500" w:val="left"/>
        </w:tabs>
        <w:rPr>
          <w:sz w:val="20"/>
          <w:szCs w:val="20"/>
          <w:color w:val="auto"/>
        </w:rPr>
      </w:pPr>
      <w:r>
        <w:rPr>
          <w:rFonts w:ascii="Arial" w:cs="Arial" w:eastAsia="Arial" w:hAnsi="Arial"/>
          <w:sz w:val="18"/>
          <w:szCs w:val="18"/>
          <w:color w:val="auto"/>
        </w:rPr>
        <w:t>Main: 952-888-8801</w:t>
      </w:r>
      <w:r>
        <w:rPr>
          <w:sz w:val="20"/>
          <w:szCs w:val="20"/>
          <w:color w:val="auto"/>
        </w:rPr>
        <w:tab/>
      </w:r>
      <w:r>
        <w:rPr>
          <w:rFonts w:ascii="Arial" w:cs="Arial" w:eastAsia="Arial" w:hAnsi="Arial"/>
          <w:sz w:val="16"/>
          <w:szCs w:val="16"/>
          <w:color w:val="auto"/>
        </w:rPr>
        <w:t>Fax: 952-887-8258</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Connie Kotke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952-887-8984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connie.kotke@toro.com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Elects Timothy P. Dordell As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Vice President, Secretary and General Counsel</w:t>
      </w:r>
    </w:p>
    <w:p>
      <w:pPr>
        <w:spacing w:after="0" w:line="23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BLOOMINGTON, Minn. (May 22, 2007) – The board of directors of The Toro Company (NYSE: TTC) today elected Timothy P. Dordell as vice president, secretary and general counsel. Dordell, 44, joined the company on November 6, 2006, as vice president, deputy general counsel. He was previously associate general counsel-corporate and assistant secretary at Ecolab Inc. Dordell succeeds J. Lawrence McIntyre, who retired on April 30, 2007.</w:t>
      </w:r>
    </w:p>
    <w:p>
      <w:pPr>
        <w:spacing w:after="0" w:line="17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“Tim’s strong background and leadership in the areas of SEC regulation, corporate governance and compliance will serve us well as Toro continues to explore new growth opportunities around the globe,” said Michael J. Hoffman, chairman and chief executive officer. “His character and ethical values are well aligned with our culture, and we are pleased that he will play such a critical role in the company’s future.”</w:t>
      </w:r>
    </w:p>
    <w:p>
      <w:pPr>
        <w:spacing w:after="0" w:line="20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Dordell received his juris doctor degree, cum laude, from the University of Minnesota Law School and is a member of the American Bar Association and several other legal and professional organizations.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Toro Company</w:t>
      </w:r>
    </w:p>
    <w:p>
      <w:pPr>
        <w:spacing w:after="0" w:line="2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The Toro Company (NYSE: TTC) is a leading worldwide provider of outdoor beautification products, support services and integrated solutions. With sales of $1.8 billion in 2006, Toro is committed to providing environmentally responsible products of customer-valued quality and innovation. Since 1914, the company has built a tradition of excellence around a number of strong brands that serve a customer base that includes golf course superintendents, groundskeepers, sports field managers, landscape and irrigation contractors, fruit and vegetable growers, and homeowners. The Toro Company is headquartered at 8111 Lyndale Avenue in Bloomington, Minn. Visit the company Web site at </w:t>
      </w:r>
      <w:r>
        <w:rPr>
          <w:rFonts w:ascii="Arial" w:cs="Arial" w:eastAsia="Arial" w:hAnsi="Arial"/>
          <w:sz w:val="17"/>
          <w:szCs w:val="17"/>
          <w:u w:val="single" w:color="auto"/>
          <w:color w:val="auto"/>
        </w:rPr>
        <w:t>www.thetorocompany.com</w:t>
      </w:r>
      <w:r>
        <w:rPr>
          <w:rFonts w:ascii="Arial" w:cs="Arial" w:eastAsia="Arial" w:hAnsi="Arial"/>
          <w:sz w:val="17"/>
          <w:szCs w:val="17"/>
          <w:color w:val="auto"/>
        </w:rPr>
        <w:t>.</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decimal"/>
      <w:start w:val="952"/>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2019-12-11T19:40:31Z</dcterms:created>
  <dcterms:modified xsi:type="dcterms:W3CDTF">2019-12-11T19:40:31Z</dcterms:modified>
</cp:coreProperties>
</file>