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46" w:lineRule="exact"/>
        <w:rPr>
          <w:sz w:val="24"/>
          <w:szCs w:val="24"/>
          <w:color w:val="auto"/>
        </w:rPr>
      </w:pPr>
    </w:p>
    <w:p>
      <w:pPr>
        <w:jc w:val="center"/>
        <w:ind w:right="-8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3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3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x ANNUAL REPORT PURSUANT TO SECTION 15(d) OF THE SECURITIES EXCHANGE ACT OF 1934</w:t>
      </w:r>
    </w:p>
    <w:p>
      <w:pPr>
        <w:spacing w:after="0" w:line="215" w:lineRule="exact"/>
        <w:rPr>
          <w:sz w:val="24"/>
          <w:szCs w:val="24"/>
          <w:color w:val="auto"/>
        </w:rPr>
      </w:pPr>
    </w:p>
    <w:p>
      <w:pPr>
        <w:jc w:val="center"/>
        <w:ind w:right="-899"/>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225"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230"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o TRANSITION REPORT PURSUANT TO SECTION 15(d) OF THE SECURITIES EXCHANGE ACT OF 1934</w:t>
      </w:r>
    </w:p>
    <w:p>
      <w:pPr>
        <w:spacing w:after="0" w:line="227"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For the transition period from _____________ to _____________</w:t>
      </w:r>
    </w:p>
    <w:p>
      <w:pPr>
        <w:spacing w:after="0" w:line="225"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Commission file number 1-8649</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A.Full title of the plan and address of the plan, if different from that of the issuer named below:</w:t>
      </w:r>
    </w:p>
    <w:p>
      <w:pPr>
        <w:spacing w:after="0" w:line="221" w:lineRule="exact"/>
        <w:rPr>
          <w:sz w:val="24"/>
          <w:szCs w:val="24"/>
          <w:color w:val="auto"/>
        </w:rPr>
      </w:pPr>
    </w:p>
    <w:p>
      <w:pPr>
        <w:jc w:val="center"/>
        <w:ind w:right="-899"/>
        <w:spacing w:after="0"/>
        <w:rPr>
          <w:sz w:val="20"/>
          <w:szCs w:val="20"/>
          <w:color w:val="auto"/>
        </w:rPr>
      </w:pPr>
      <w:r>
        <w:rPr>
          <w:rFonts w:ascii="Arial" w:cs="Arial" w:eastAsia="Arial" w:hAnsi="Arial"/>
          <w:sz w:val="18"/>
          <w:szCs w:val="18"/>
          <w:b w:val="1"/>
          <w:bCs w:val="1"/>
          <w:color w:val="auto"/>
        </w:rPr>
        <w:t>The Toro Company Investment, Savings, and Employee Stock Ownership Plan</w:t>
      </w:r>
    </w:p>
    <w:p>
      <w:pPr>
        <w:spacing w:after="0" w:line="225" w:lineRule="exact"/>
        <w:rPr>
          <w:sz w:val="24"/>
          <w:szCs w:val="24"/>
          <w:color w:val="auto"/>
        </w:rPr>
      </w:pPr>
    </w:p>
    <w:p>
      <w:pPr>
        <w:jc w:val="center"/>
        <w:ind w:right="-899"/>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ind w:right="-899"/>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899"/>
        <w:spacing w:after="0"/>
        <w:rPr>
          <w:sz w:val="20"/>
          <w:szCs w:val="20"/>
          <w:color w:val="auto"/>
        </w:rPr>
      </w:pPr>
      <w:r>
        <w:rPr>
          <w:rFonts w:ascii="Arial" w:cs="Arial" w:eastAsia="Arial" w:hAnsi="Arial"/>
          <w:sz w:val="18"/>
          <w:szCs w:val="18"/>
          <w:b w:val="1"/>
          <w:bCs w:val="1"/>
          <w:color w:val="auto"/>
        </w:rPr>
        <w:t>Bloomington, MN 55420</w:t>
      </w:r>
    </w:p>
    <w:p>
      <w:pPr>
        <w:spacing w:after="0" w:line="9" w:lineRule="exact"/>
        <w:rPr>
          <w:sz w:val="24"/>
          <w:szCs w:val="24"/>
          <w:color w:val="auto"/>
        </w:rPr>
      </w:pPr>
    </w:p>
    <w:p>
      <w:pPr>
        <w:jc w:val="center"/>
        <w:ind w:right="-899"/>
        <w:spacing w:after="0"/>
        <w:rPr>
          <w:sz w:val="20"/>
          <w:szCs w:val="20"/>
          <w:color w:val="auto"/>
        </w:rPr>
      </w:pPr>
      <w:r>
        <w:rPr>
          <w:rFonts w:ascii="Arial" w:cs="Arial" w:eastAsia="Arial" w:hAnsi="Arial"/>
          <w:sz w:val="18"/>
          <w:szCs w:val="18"/>
          <w:b w:val="1"/>
          <w:bCs w:val="1"/>
          <w:color w:val="auto"/>
        </w:rPr>
        <w:t>Attn: Managing Director, Total Rewards &amp; Employee Services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B.Name of issuer of the securities held pursuant to the plan and the address of its principal executive office:</w:t>
      </w:r>
    </w:p>
    <w:p>
      <w:pPr>
        <w:spacing w:after="0" w:line="212" w:lineRule="exact"/>
        <w:rPr>
          <w:sz w:val="24"/>
          <w:szCs w:val="24"/>
          <w:color w:val="auto"/>
        </w:rPr>
      </w:pPr>
    </w:p>
    <w:p>
      <w:pPr>
        <w:jc w:val="center"/>
        <w:ind w:right="-89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899"/>
        <w:spacing w:after="0"/>
        <w:rPr>
          <w:sz w:val="20"/>
          <w:szCs w:val="20"/>
          <w:color w:val="auto"/>
        </w:rPr>
      </w:pPr>
      <w:r>
        <w:rPr>
          <w:rFonts w:ascii="Arial" w:cs="Arial" w:eastAsia="Arial" w:hAnsi="Arial"/>
          <w:sz w:val="18"/>
          <w:szCs w:val="18"/>
          <w:b w:val="1"/>
          <w:bCs w:val="1"/>
          <w:color w:val="auto"/>
        </w:rPr>
        <w:t>8111 Lyndale Avenue South</w:t>
      </w:r>
    </w:p>
    <w:p>
      <w:pPr>
        <w:spacing w:after="0" w:line="7" w:lineRule="exact"/>
        <w:rPr>
          <w:sz w:val="24"/>
          <w:szCs w:val="24"/>
          <w:color w:val="auto"/>
        </w:rPr>
      </w:pPr>
    </w:p>
    <w:p>
      <w:pPr>
        <w:jc w:val="center"/>
        <w:ind w:right="-899"/>
        <w:spacing w:after="0"/>
        <w:rPr>
          <w:sz w:val="20"/>
          <w:szCs w:val="20"/>
          <w:color w:val="auto"/>
        </w:rPr>
      </w:pPr>
      <w:r>
        <w:rPr>
          <w:rFonts w:ascii="Arial" w:cs="Arial" w:eastAsia="Arial" w:hAnsi="Arial"/>
          <w:sz w:val="18"/>
          <w:szCs w:val="18"/>
          <w:b w:val="1"/>
          <w:bCs w:val="1"/>
          <w:color w:val="auto"/>
        </w:rPr>
        <w:t>Bloomington, MN 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2089785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0520"/>
          </w:cols>
          <w:pgMar w:left="240" w:top="1368" w:right="11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THE TORO COMPANY INVESTMENT, SAVINGS,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AND EMPLOYEE STOCK OWNERSHIP PLAN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Financial Statements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2016 and 2015</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(With Report of Independent Registered Public Accounting Firm Thereon)</w:t>
      </w:r>
    </w:p>
    <w:p>
      <w:pPr>
        <w:sectPr>
          <w:pgSz w:w="11900" w:h="16838" w:orient="portrait"/>
          <w:cols w:equalWidth="0" w:num="1">
            <w:col w:w="9019"/>
          </w:cols>
          <w:pgMar w:left="1440" w:top="1440" w:right="1440"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EMPLOYEE STOCK OWNERSHIP PLAN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0" w:type="dxa"/>
            <w:vAlign w:val="bottom"/>
            <w:gridSpan w:val="5"/>
          </w:tcPr>
          <w:p>
            <w:pPr>
              <w:ind w:left="220"/>
              <w:spacing w:after="0"/>
              <w:rPr>
                <w:sz w:val="20"/>
                <w:szCs w:val="20"/>
                <w:color w:val="auto"/>
              </w:rPr>
            </w:pPr>
            <w:r>
              <w:rPr>
                <w:rFonts w:ascii="Arial" w:cs="Arial" w:eastAsia="Arial" w:hAnsi="Arial"/>
                <w:sz w:val="18"/>
                <w:szCs w:val="18"/>
                <w:b w:val="1"/>
                <w:bCs w:val="1"/>
                <w:color w:val="auto"/>
              </w:rPr>
              <w:t>Table of Contents</w:t>
            </w:r>
          </w:p>
        </w:tc>
      </w:tr>
      <w:tr>
        <w:trPr>
          <w:trHeight w:val="648"/>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940" w:type="dxa"/>
            <w:vAlign w:val="bottom"/>
            <w:gridSpan w:val="4"/>
          </w:tcPr>
          <w:p>
            <w:pPr>
              <w:ind w:left="440"/>
              <w:spacing w:after="0"/>
              <w:rPr>
                <w:sz w:val="20"/>
                <w:szCs w:val="20"/>
                <w:color w:val="auto"/>
              </w:rPr>
            </w:pPr>
            <w:r>
              <w:rPr>
                <w:rFonts w:ascii="Arial" w:cs="Arial" w:eastAsia="Arial" w:hAnsi="Arial"/>
                <w:sz w:val="18"/>
                <w:szCs w:val="18"/>
                <w:b w:val="1"/>
                <w:bCs w:val="1"/>
                <w:color w:val="auto"/>
              </w:rPr>
              <w:t>Page Number</w:t>
            </w:r>
          </w:p>
        </w:tc>
      </w:tr>
      <w:tr>
        <w:trPr>
          <w:trHeight w:val="27"/>
        </w:trPr>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42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Report of Independent Registered Public Accounting Firm</w:t>
              </w:r>
            </w:hyperlink>
          </w:p>
        </w:tc>
        <w:tc>
          <w:tcPr>
            <w:tcW w:w="560" w:type="dxa"/>
            <w:vAlign w:val="bottom"/>
            <w:gridSpan w:val="3"/>
          </w:tcPr>
          <w:p>
            <w:pPr>
              <w:spacing w:after="0"/>
              <w:rPr>
                <w:sz w:val="17"/>
                <w:szCs w:val="17"/>
                <w:color w:val="auto"/>
              </w:rPr>
            </w:pPr>
          </w:p>
        </w:tc>
        <w:tc>
          <w:tcPr>
            <w:tcW w:w="648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17"/>
                <w:szCs w:val="17"/>
                <w:color w:val="auto"/>
              </w:rPr>
            </w:pPr>
          </w:p>
        </w:tc>
      </w:tr>
      <w:tr>
        <w:trPr>
          <w:trHeight w:val="250"/>
        </w:trPr>
        <w:tc>
          <w:tcPr>
            <w:tcW w:w="34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Statements of Net Assets Available for Benefits</w:t>
              </w:r>
            </w:hyperlink>
          </w:p>
        </w:tc>
        <w:tc>
          <w:tcPr>
            <w:tcW w:w="1340" w:type="dxa"/>
            <w:vAlign w:val="bottom"/>
            <w:gridSpan w:val="4"/>
          </w:tcPr>
          <w:p>
            <w:pPr>
              <w:spacing w:after="0"/>
              <w:rPr>
                <w:sz w:val="21"/>
                <w:szCs w:val="21"/>
                <w:color w:val="auto"/>
              </w:rPr>
            </w:pPr>
          </w:p>
        </w:tc>
        <w:tc>
          <w:tcPr>
            <w:tcW w:w="648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20" w:type="dxa"/>
            <w:vAlign w:val="bottom"/>
          </w:tcPr>
          <w:p>
            <w:pPr>
              <w:spacing w:after="0"/>
              <w:rPr>
                <w:sz w:val="21"/>
                <w:szCs w:val="21"/>
                <w:color w:val="auto"/>
              </w:rPr>
            </w:pPr>
          </w:p>
        </w:tc>
      </w:tr>
      <w:tr>
        <w:trPr>
          <w:trHeight w:val="250"/>
        </w:trPr>
        <w:tc>
          <w:tcPr>
            <w:tcW w:w="478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Statements of Changes in Net Assets Available for Benefits</w:t>
              </w:r>
            </w:hyperlink>
          </w:p>
        </w:tc>
        <w:tc>
          <w:tcPr>
            <w:tcW w:w="6600" w:type="dxa"/>
            <w:vAlign w:val="bottom"/>
            <w:gridSpan w:val="5"/>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50"/>
        </w:trPr>
        <w:tc>
          <w:tcPr>
            <w:tcW w:w="4280" w:type="dxa"/>
            <w:vAlign w:val="bottom"/>
            <w:tcBorders>
              <w:top w:val="single" w:sz="8" w:color="0000EE"/>
            </w:tcBorders>
            <w:gridSpan w:val="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500" w:type="dxa"/>
            <w:vAlign w:val="bottom"/>
            <w:gridSpan w:val="2"/>
          </w:tcPr>
          <w:p>
            <w:pPr>
              <w:spacing w:after="0"/>
              <w:rPr>
                <w:sz w:val="21"/>
                <w:szCs w:val="21"/>
                <w:color w:val="auto"/>
              </w:rPr>
            </w:pPr>
          </w:p>
        </w:tc>
        <w:tc>
          <w:tcPr>
            <w:tcW w:w="6480" w:type="dxa"/>
            <w:vAlign w:val="bottom"/>
            <w:gridSpan w:val="3"/>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Schedule H, Line 4i - Schedule of Assets (Held at End of Year)</w:t>
              </w:r>
            </w:hyperlink>
          </w:p>
        </w:tc>
        <w:tc>
          <w:tcPr>
            <w:tcW w:w="220" w:type="dxa"/>
            <w:vAlign w:val="bottom"/>
          </w:tcPr>
          <w:p>
            <w:pPr>
              <w:spacing w:after="0"/>
              <w:rPr>
                <w:sz w:val="21"/>
                <w:szCs w:val="21"/>
                <w:color w:val="auto"/>
              </w:rPr>
            </w:pPr>
          </w:p>
        </w:tc>
        <w:tc>
          <w:tcPr>
            <w:tcW w:w="648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9</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rFonts w:ascii="Arial" w:cs="Arial" w:eastAsia="Arial" w:hAnsi="Arial"/>
                <w:sz w:val="18"/>
                <w:szCs w:val="18"/>
                <w:color w:val="0000EE"/>
                <w:w w:val="85"/>
              </w:rPr>
            </w:pPr>
            <w:hyperlink w:anchor="page13">
              <w:r>
                <w:rPr>
                  <w:rFonts w:ascii="Arial" w:cs="Arial" w:eastAsia="Arial" w:hAnsi="Arial"/>
                  <w:sz w:val="18"/>
                  <w:szCs w:val="18"/>
                  <w:color w:val="0000EE"/>
                  <w:w w:val="85"/>
                </w:rPr>
                <w:t>Signatures</w:t>
              </w:r>
            </w:hyperlink>
          </w:p>
        </w:tc>
        <w:tc>
          <w:tcPr>
            <w:tcW w:w="4020" w:type="dxa"/>
            <w:vAlign w:val="bottom"/>
            <w:gridSpan w:val="7"/>
          </w:tcPr>
          <w:p>
            <w:pPr>
              <w:spacing w:after="0"/>
              <w:rPr>
                <w:sz w:val="21"/>
                <w:szCs w:val="21"/>
                <w:color w:val="auto"/>
              </w:rPr>
            </w:pPr>
          </w:p>
        </w:tc>
        <w:tc>
          <w:tcPr>
            <w:tcW w:w="6600" w:type="dxa"/>
            <w:vAlign w:val="bottom"/>
            <w:gridSpan w:val="5"/>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gridSpan w:val="2"/>
          </w:tcPr>
          <w:p>
            <w:pPr>
              <w:spacing w:after="0"/>
              <w:rPr>
                <w:rFonts w:ascii="Arial" w:cs="Arial" w:eastAsia="Arial" w:hAnsi="Arial"/>
                <w:sz w:val="18"/>
                <w:szCs w:val="18"/>
                <w:color w:val="0000EE"/>
                <w:w w:val="93"/>
              </w:rPr>
            </w:pPr>
            <w:hyperlink w:anchor="page14">
              <w:r>
                <w:rPr>
                  <w:rFonts w:ascii="Arial" w:cs="Arial" w:eastAsia="Arial" w:hAnsi="Arial"/>
                  <w:sz w:val="18"/>
                  <w:szCs w:val="18"/>
                  <w:color w:val="0000EE"/>
                  <w:w w:val="93"/>
                </w:rPr>
                <w:t>Exhibit Index</w:t>
              </w:r>
            </w:hyperlink>
          </w:p>
        </w:tc>
        <w:tc>
          <w:tcPr>
            <w:tcW w:w="3800" w:type="dxa"/>
            <w:vAlign w:val="bottom"/>
            <w:gridSpan w:val="6"/>
          </w:tcPr>
          <w:p>
            <w:pPr>
              <w:spacing w:after="0"/>
              <w:rPr>
                <w:sz w:val="21"/>
                <w:szCs w:val="21"/>
                <w:color w:val="auto"/>
              </w:rPr>
            </w:pPr>
          </w:p>
        </w:tc>
        <w:tc>
          <w:tcPr>
            <w:tcW w:w="6600" w:type="dxa"/>
            <w:vAlign w:val="bottom"/>
            <w:gridSpan w:val="5"/>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3" w:name="page4"/>
    <w:bookmarkEnd w:id="3"/>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Investment, Savings, and Employee Stock Ownership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Toro Company Investment, Savings, and Employee Stock Ownership Plan (the Plan) as of December 31, 2016 and 2015,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2016 and 2015, and the changes in net assets available for benefits for the years then ended, in conformity with U.S. generally accepted accounting principles.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supplemental information in the accompanying Schedule H, line 4i - Schedule of Assets (Held at End of Year) as of December 31, 2016, has been subjected to audit procedures performed in conjunction with the audit of the Plan’s 2016 Financial Statements. The supplemental information is presented for the purpose of additional analysis and is not a required part of the Financial Statements but includes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KPMG LLP</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Minneapolis, Minnesota</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June 29, 2017</w:t>
      </w:r>
    </w:p>
    <w:p>
      <w:pPr>
        <w:sectPr>
          <w:pgSz w:w="11900" w:h="16838" w:orient="portrait"/>
          <w:cols w:equalWidth="0" w:num="1">
            <w:col w:w="11420"/>
          </w:cols>
          <w:pgMar w:left="240" w:top="144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472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Investments at fair value:</w:t>
            </w:r>
          </w:p>
        </w:tc>
        <w:tc>
          <w:tcPr>
            <w:tcW w:w="35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7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 the Toro Company Master Trust Fund</w:t>
            </w:r>
          </w:p>
        </w:tc>
        <w:tc>
          <w:tcPr>
            <w:tcW w:w="3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1,014,163,850</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873,090,947</w:t>
            </w:r>
          </w:p>
        </w:tc>
      </w:tr>
      <w:tr>
        <w:trPr>
          <w:trHeight w:val="324"/>
        </w:trPr>
        <w:tc>
          <w:tcPr>
            <w:tcW w:w="47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Employer contribution receivable</w:t>
            </w:r>
          </w:p>
        </w:tc>
        <w:tc>
          <w:tcPr>
            <w:tcW w:w="3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12,863,106</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12,898,811</w:t>
            </w: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Employee contribution receivable</w:t>
            </w:r>
          </w:p>
        </w:tc>
        <w:tc>
          <w:tcPr>
            <w:tcW w:w="35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84,557</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71,237</w:t>
            </w:r>
          </w:p>
        </w:tc>
      </w:tr>
      <w:tr>
        <w:trPr>
          <w:trHeight w:val="27"/>
        </w:trPr>
        <w:tc>
          <w:tcPr>
            <w:tcW w:w="47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receivable from participants</w:t>
            </w:r>
          </w:p>
        </w:tc>
        <w:tc>
          <w:tcPr>
            <w:tcW w:w="35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19,905</w:t>
            </w:r>
          </w:p>
        </w:tc>
        <w:tc>
          <w:tcPr>
            <w:tcW w:w="5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27,496</w:t>
            </w:r>
          </w:p>
        </w:tc>
      </w:tr>
      <w:tr>
        <w:trPr>
          <w:trHeight w:val="237"/>
        </w:trPr>
        <w:tc>
          <w:tcPr>
            <w:tcW w:w="47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receivables</w:t>
            </w:r>
          </w:p>
        </w:tc>
        <w:tc>
          <w:tcPr>
            <w:tcW w:w="35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12,967,568</w:t>
            </w:r>
          </w:p>
        </w:tc>
        <w:tc>
          <w:tcPr>
            <w:tcW w:w="5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12,997,544</w:t>
            </w:r>
          </w:p>
        </w:tc>
      </w:tr>
      <w:tr>
        <w:trPr>
          <w:trHeight w:val="27"/>
        </w:trPr>
        <w:tc>
          <w:tcPr>
            <w:tcW w:w="47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720" w:type="dxa"/>
            <w:vAlign w:val="bottom"/>
            <w:tcBorders>
              <w:bottom w:val="single" w:sz="8" w:color="auto"/>
            </w:tcBorders>
            <w:shd w:val="clear" w:color="auto" w:fill="CCEEFF"/>
          </w:tcPr>
          <w:p>
            <w:pPr>
              <w:spacing w:after="0"/>
              <w:rPr>
                <w:sz w:val="24"/>
                <w:szCs w:val="24"/>
                <w:color w:val="auto"/>
              </w:rPr>
            </w:pPr>
          </w:p>
        </w:tc>
        <w:tc>
          <w:tcPr>
            <w:tcW w:w="35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r>
      <w:tr>
        <w:trPr>
          <w:trHeight w:val="237"/>
        </w:trPr>
        <w:tc>
          <w:tcPr>
            <w:tcW w:w="4720" w:type="dxa"/>
            <w:vAlign w:val="bottom"/>
          </w:tcPr>
          <w:p>
            <w:pPr>
              <w:ind w:left="180"/>
              <w:spacing w:after="0"/>
              <w:rPr>
                <w:sz w:val="20"/>
                <w:szCs w:val="20"/>
                <w:color w:val="auto"/>
              </w:rPr>
            </w:pPr>
            <w:r>
              <w:rPr>
                <w:rFonts w:ascii="Arial" w:cs="Arial" w:eastAsia="Arial" w:hAnsi="Arial"/>
                <w:sz w:val="18"/>
                <w:szCs w:val="18"/>
                <w:color w:val="auto"/>
              </w:rPr>
              <w:t>Net assets available for benefits</w:t>
            </w:r>
          </w:p>
        </w:tc>
        <w:tc>
          <w:tcPr>
            <w:tcW w:w="3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1,027,131,418</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886,088,491</w:t>
            </w:r>
          </w:p>
        </w:tc>
      </w:tr>
      <w:tr>
        <w:trPr>
          <w:trHeight w:val="27"/>
        </w:trPr>
        <w:tc>
          <w:tcPr>
            <w:tcW w:w="472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13"/>
        </w:trPr>
        <w:tc>
          <w:tcPr>
            <w:tcW w:w="4720" w:type="dxa"/>
            <w:vAlign w:val="bottom"/>
          </w:tcPr>
          <w:p>
            <w:pPr>
              <w:spacing w:after="0"/>
              <w:rPr>
                <w:sz w:val="20"/>
                <w:szCs w:val="20"/>
                <w:color w:val="auto"/>
              </w:rPr>
            </w:pPr>
            <w:r>
              <w:rPr>
                <w:rFonts w:ascii="Arial" w:cs="Arial" w:eastAsia="Arial" w:hAnsi="Arial"/>
                <w:sz w:val="18"/>
                <w:szCs w:val="18"/>
                <w:color w:val="auto"/>
              </w:rPr>
              <w:t>See accompanying Notes to Financial Statements.</w:t>
            </w:r>
          </w:p>
        </w:tc>
        <w:tc>
          <w:tcPr>
            <w:tcW w:w="3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75"/>
        </w:trPr>
        <w:tc>
          <w:tcPr>
            <w:tcW w:w="4720" w:type="dxa"/>
            <w:vAlign w:val="bottom"/>
          </w:tcPr>
          <w:p>
            <w:pPr>
              <w:spacing w:after="0"/>
              <w:rPr>
                <w:sz w:val="24"/>
                <w:szCs w:val="24"/>
                <w:color w:val="auto"/>
              </w:rPr>
            </w:pPr>
          </w:p>
        </w:tc>
        <w:tc>
          <w:tcPr>
            <w:tcW w:w="3520" w:type="dxa"/>
            <w:vAlign w:val="bottom"/>
          </w:tcPr>
          <w:p>
            <w:pPr>
              <w:jc w:val="right"/>
              <w:ind w:right="2390"/>
              <w:spacing w:after="0"/>
              <w:rPr>
                <w:sz w:val="20"/>
                <w:szCs w:val="20"/>
                <w:color w:val="auto"/>
              </w:rPr>
            </w:pPr>
            <w:r>
              <w:rPr>
                <w:rFonts w:ascii="Arial" w:cs="Arial" w:eastAsia="Arial" w:hAnsi="Arial"/>
                <w:sz w:val="18"/>
                <w:szCs w:val="18"/>
                <w:color w:val="auto"/>
              </w:rPr>
              <w:t>2</w:t>
            </w: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6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net assets:</w:t>
            </w:r>
          </w:p>
        </w:tc>
        <w:tc>
          <w:tcPr>
            <w:tcW w:w="1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180"/>
              <w:spacing w:after="0"/>
              <w:rPr>
                <w:sz w:val="20"/>
                <w:szCs w:val="20"/>
                <w:color w:val="auto"/>
              </w:rPr>
            </w:pPr>
            <w:r>
              <w:rPr>
                <w:rFonts w:ascii="Arial" w:cs="Arial" w:eastAsia="Arial" w:hAnsi="Arial"/>
                <w:sz w:val="18"/>
                <w:szCs w:val="18"/>
                <w:color w:val="auto"/>
              </w:rPr>
              <w:t>Investment income:</w:t>
            </w:r>
          </w:p>
        </w:tc>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Plan interest in net investment income of the Toro Company Master Trust Fund</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204,585,629</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48,650,025</w:t>
            </w:r>
          </w:p>
        </w:tc>
      </w:tr>
      <w:tr>
        <w:trPr>
          <w:trHeight w:val="237"/>
        </w:trPr>
        <w:tc>
          <w:tcPr>
            <w:tcW w:w="69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investment income</w:t>
            </w:r>
          </w:p>
        </w:tc>
        <w:tc>
          <w:tcPr>
            <w:tcW w:w="1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204,585,629</w:t>
            </w:r>
          </w:p>
        </w:tc>
        <w:tc>
          <w:tcPr>
            <w:tcW w:w="4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48,650,025</w:t>
            </w:r>
          </w:p>
        </w:tc>
      </w:tr>
      <w:tr>
        <w:trPr>
          <w:trHeight w:val="27"/>
        </w:trPr>
        <w:tc>
          <w:tcPr>
            <w:tcW w:w="6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69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6960" w:type="dxa"/>
            <w:vAlign w:val="bottom"/>
          </w:tcPr>
          <w:p>
            <w:pPr>
              <w:ind w:left="280"/>
              <w:spacing w:after="0"/>
              <w:rPr>
                <w:sz w:val="20"/>
                <w:szCs w:val="20"/>
                <w:color w:val="auto"/>
              </w:rPr>
            </w:pPr>
            <w:r>
              <w:rPr>
                <w:rFonts w:ascii="Arial" w:cs="Arial" w:eastAsia="Arial" w:hAnsi="Arial"/>
                <w:sz w:val="18"/>
                <w:szCs w:val="18"/>
                <w:color w:val="auto"/>
              </w:rPr>
              <w:t>Employer cash contributions</w:t>
            </w:r>
          </w:p>
        </w:tc>
        <w:tc>
          <w:tcPr>
            <w:tcW w:w="128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13,585,811</w:t>
            </w:r>
          </w:p>
        </w:tc>
        <w:tc>
          <w:tcPr>
            <w:tcW w:w="4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13,700,120</w:t>
            </w:r>
          </w:p>
        </w:tc>
      </w:tr>
      <w:tr>
        <w:trPr>
          <w:trHeight w:val="27"/>
        </w:trPr>
        <w:tc>
          <w:tcPr>
            <w:tcW w:w="6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Employer non-cash stock contributions</w:t>
            </w:r>
          </w:p>
        </w:tc>
        <w:tc>
          <w:tcPr>
            <w:tcW w:w="1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3,649,007</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3,663,344</w:t>
            </w:r>
          </w:p>
        </w:tc>
      </w:tr>
      <w:tr>
        <w:trPr>
          <w:trHeight w:val="243"/>
        </w:trPr>
        <w:tc>
          <w:tcPr>
            <w:tcW w:w="6960" w:type="dxa"/>
            <w:vAlign w:val="bottom"/>
          </w:tcPr>
          <w:p>
            <w:pPr>
              <w:ind w:left="280"/>
              <w:spacing w:after="0"/>
              <w:rPr>
                <w:sz w:val="20"/>
                <w:szCs w:val="20"/>
                <w:color w:val="auto"/>
              </w:rPr>
            </w:pPr>
            <w:r>
              <w:rPr>
                <w:rFonts w:ascii="Arial" w:cs="Arial" w:eastAsia="Arial" w:hAnsi="Arial"/>
                <w:sz w:val="18"/>
                <w:szCs w:val="18"/>
                <w:color w:val="auto"/>
              </w:rPr>
              <w:t>Employee contributions</w:t>
            </w:r>
          </w:p>
        </w:tc>
        <w:tc>
          <w:tcPr>
            <w:tcW w:w="128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17,767,359</w:t>
            </w:r>
          </w:p>
        </w:tc>
        <w:tc>
          <w:tcPr>
            <w:tcW w:w="4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17,114,704</w:t>
            </w:r>
          </w:p>
        </w:tc>
      </w:tr>
      <w:tr>
        <w:trPr>
          <w:trHeight w:val="27"/>
        </w:trPr>
        <w:tc>
          <w:tcPr>
            <w:tcW w:w="6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Rollover contributions</w:t>
            </w:r>
          </w:p>
        </w:tc>
        <w:tc>
          <w:tcPr>
            <w:tcW w:w="1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2,303,496</w:t>
            </w: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4,161,972</w:t>
            </w:r>
          </w:p>
        </w:tc>
      </w:tr>
      <w:tr>
        <w:trPr>
          <w:trHeight w:val="237"/>
        </w:trPr>
        <w:tc>
          <w:tcPr>
            <w:tcW w:w="69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contributions</w:t>
            </w:r>
          </w:p>
        </w:tc>
        <w:tc>
          <w:tcPr>
            <w:tcW w:w="1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37,305,673</w:t>
            </w:r>
          </w:p>
        </w:tc>
        <w:tc>
          <w:tcPr>
            <w:tcW w:w="4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38,640,140</w:t>
            </w:r>
          </w:p>
        </w:tc>
      </w:tr>
      <w:tr>
        <w:trPr>
          <w:trHeight w:val="27"/>
        </w:trPr>
        <w:tc>
          <w:tcPr>
            <w:tcW w:w="6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696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r>
      <w:tr>
        <w:trPr>
          <w:trHeight w:val="237"/>
        </w:trPr>
        <w:tc>
          <w:tcPr>
            <w:tcW w:w="6960" w:type="dxa"/>
            <w:vAlign w:val="bottom"/>
          </w:tcPr>
          <w:p>
            <w:pPr>
              <w:ind w:left="380"/>
              <w:spacing w:after="0"/>
              <w:rPr>
                <w:sz w:val="20"/>
                <w:szCs w:val="20"/>
                <w:color w:val="auto"/>
              </w:rPr>
            </w:pPr>
            <w:r>
              <w:rPr>
                <w:rFonts w:ascii="Arial" w:cs="Arial" w:eastAsia="Arial" w:hAnsi="Arial"/>
                <w:sz w:val="18"/>
                <w:szCs w:val="18"/>
                <w:color w:val="auto"/>
              </w:rPr>
              <w:t>Total additions to net assets</w:t>
            </w:r>
          </w:p>
        </w:tc>
        <w:tc>
          <w:tcPr>
            <w:tcW w:w="1280" w:type="dxa"/>
            <w:vAlign w:val="bottom"/>
          </w:tcPr>
          <w:p>
            <w:pPr>
              <w:spacing w:after="0"/>
              <w:rPr>
                <w:sz w:val="20"/>
                <w:szCs w:val="20"/>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241,891,302</w:t>
            </w:r>
          </w:p>
        </w:tc>
        <w:tc>
          <w:tcPr>
            <w:tcW w:w="4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87,290,165</w:t>
            </w:r>
          </w:p>
        </w:tc>
      </w:tr>
      <w:tr>
        <w:trPr>
          <w:trHeight w:val="27"/>
        </w:trPr>
        <w:tc>
          <w:tcPr>
            <w:tcW w:w="6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8"/>
        </w:trPr>
        <w:tc>
          <w:tcPr>
            <w:tcW w:w="69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Deductions from net assets:</w:t>
            </w:r>
          </w:p>
        </w:tc>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 payments</w:t>
            </w:r>
          </w:p>
        </w:tc>
        <w:tc>
          <w:tcPr>
            <w:tcW w:w="1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(100,536,205)</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(86,371,674)</w:t>
            </w:r>
          </w:p>
        </w:tc>
      </w:tr>
      <w:tr>
        <w:trPr>
          <w:trHeight w:val="243"/>
        </w:trPr>
        <w:tc>
          <w:tcPr>
            <w:tcW w:w="6960" w:type="dxa"/>
            <w:vAlign w:val="bottom"/>
          </w:tcPr>
          <w:p>
            <w:pPr>
              <w:ind w:left="180"/>
              <w:spacing w:after="0"/>
              <w:rPr>
                <w:sz w:val="20"/>
                <w:szCs w:val="20"/>
                <w:color w:val="auto"/>
              </w:rPr>
            </w:pPr>
            <w:r>
              <w:rPr>
                <w:rFonts w:ascii="Arial" w:cs="Arial" w:eastAsia="Arial" w:hAnsi="Arial"/>
                <w:sz w:val="18"/>
                <w:szCs w:val="18"/>
                <w:color w:val="auto"/>
              </w:rPr>
              <w:t>Administrative and other</w:t>
            </w:r>
          </w:p>
        </w:tc>
        <w:tc>
          <w:tcPr>
            <w:tcW w:w="1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(312,170)</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(367,262)</w:t>
            </w:r>
          </w:p>
        </w:tc>
      </w:tr>
      <w:tr>
        <w:trPr>
          <w:trHeight w:val="27"/>
        </w:trPr>
        <w:tc>
          <w:tcPr>
            <w:tcW w:w="6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deductions from net assets</w:t>
            </w:r>
          </w:p>
        </w:tc>
        <w:tc>
          <w:tcPr>
            <w:tcW w:w="1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(100,848,375)</w:t>
            </w:r>
          </w:p>
        </w:tc>
        <w:tc>
          <w:tcPr>
            <w:tcW w:w="4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(86,738,936)</w:t>
            </w:r>
          </w:p>
        </w:tc>
      </w:tr>
      <w:tr>
        <w:trPr>
          <w:trHeight w:val="318"/>
        </w:trPr>
        <w:tc>
          <w:tcPr>
            <w:tcW w:w="696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r>
      <w:tr>
        <w:trPr>
          <w:trHeight w:val="269"/>
        </w:trPr>
        <w:tc>
          <w:tcPr>
            <w:tcW w:w="6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in net assets available for benefits</w:t>
            </w:r>
          </w:p>
        </w:tc>
        <w:tc>
          <w:tcPr>
            <w:tcW w:w="1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141,042,927</w:t>
            </w:r>
          </w:p>
        </w:tc>
        <w:tc>
          <w:tcPr>
            <w:tcW w:w="4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551,229</w:t>
            </w:r>
          </w:p>
        </w:tc>
      </w:tr>
      <w:tr>
        <w:trPr>
          <w:trHeight w:val="318"/>
        </w:trPr>
        <w:tc>
          <w:tcPr>
            <w:tcW w:w="69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assets available for benefits:</w:t>
            </w:r>
          </w:p>
        </w:tc>
        <w:tc>
          <w:tcPr>
            <w:tcW w:w="1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280"/>
              <w:spacing w:after="0"/>
              <w:rPr>
                <w:sz w:val="20"/>
                <w:szCs w:val="20"/>
                <w:color w:val="auto"/>
              </w:rPr>
            </w:pPr>
            <w:r>
              <w:rPr>
                <w:rFonts w:ascii="Arial" w:cs="Arial" w:eastAsia="Arial" w:hAnsi="Arial"/>
                <w:sz w:val="18"/>
                <w:szCs w:val="18"/>
                <w:color w:val="auto"/>
              </w:rPr>
              <w:t>Beginning of year</w:t>
            </w:r>
          </w:p>
        </w:tc>
        <w:tc>
          <w:tcPr>
            <w:tcW w:w="128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886,088,491</w:t>
            </w:r>
          </w:p>
        </w:tc>
        <w:tc>
          <w:tcPr>
            <w:tcW w:w="4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885,537,262</w:t>
            </w:r>
          </w:p>
        </w:tc>
      </w:tr>
      <w:tr>
        <w:trPr>
          <w:trHeight w:val="27"/>
        </w:trPr>
        <w:tc>
          <w:tcPr>
            <w:tcW w:w="6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End of year</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1,027,131,418</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886,088,491</w:t>
            </w:r>
          </w:p>
        </w:tc>
      </w:tr>
      <w:tr>
        <w:trPr>
          <w:trHeight w:val="20"/>
        </w:trPr>
        <w:tc>
          <w:tcPr>
            <w:tcW w:w="69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December 31, 2016 and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Description of Plan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Toro Company (the "Company" or the "Plan Administrator") is in the business of designing, manufacturing, and marketing professional turf maintenance equipment and services, turf irrigation systems, landscaping equipment and lighting products, snow and ice management products, agricultural micro-irrigation systems, rental and specialty construction equipment, and residential yard and snow thrower products. The Company sells its products worldwide through a network of distributors, dealers, hardware retailers, home centers, mass retailers, as well as online (direct to end-users).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description of The Toro Company Investment, Savings, and Employee Stock Ownership Plan (the "Plan") is provided for general information purposes only. Participants should refer to the plan document amended and restated as of January 1, 2012 for more complete information for calendar years prior to 2016. The Plan document was amended and restated effective January 1, 2016 as part of the regular five-year cycle of amendments and restatements. The Plan is subject to the provisions of the Employee Retirement Income Security Act of 1974 ("ERISA"). There is an employee stock ownership ("ESOP") portion and a profit sharing portion of the Plan.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primary purpose of the ESOP portion of the Plan is to provide employees who become participants in the Plan an opportunity to have their account balances invested in common stock, par value $1.00 per share ("Common Stock"), of the Company. The portions of participant accounts that hold Common Stock of the Company are included in the ESOP portion of the Plan. The portions of participant accounts that do not hold such stock are included in the profit sharing portion of the Plan.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Employees are eligible to contribute to the Plan after they have completed 30 consecutive days of employment. Participants may make their own contributions to the Plan. In addition, at the time an employee first becomes a participant in the Plan, the employee will be automatically enrolled to contribute 4% of such person’s compensation to the Plan, unless the Participant affirmatively elects otherwise. These contributions are initially made to the profit sharing portion of the Plan.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makes matching contributions to the Plan with respect to participant contributions. Company matching contributions, together with earnings attributable thereto, vest at a rate of 20% after one year of vesting service, with an additional 20% being accumulated annually thereafter until the participant is 100% vested.</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Plan participants are also eligible for ESOP and investment fund contributions that may be made by the Company to the Plan on their behalf. Employees that became participants prior to 2012 are fully vested in the entire balance of their individual accounts attributable to those contributions. For employees that became participants after 2011, ESOP and investment fund contributions, together with earnings attributable thereto, vest at a rate of 20% after one year of vesting service, with an additional 20% being accumulated annually thereafter until the participant is 100% vested.</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determined by the Plan Administrator of the Plan on December 31, 2014, office exempt and office non-exempt employees of the BOSS professional snow and ice management business of Northern Star Industries, Inc. ("NSI"), who became employees of the Company on January 1, 2015, received credit for service they completed with NSI prior to 2015 for purposes of determining their eligibility and vesting service under the Plan</w:t>
      </w:r>
      <w:r>
        <w:rPr>
          <w:rFonts w:ascii="Arial" w:cs="Arial" w:eastAsia="Arial" w:hAnsi="Arial"/>
          <w:sz w:val="17"/>
          <w:szCs w:val="17"/>
          <w:color w:val="1F497D"/>
        </w:rPr>
        <w: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Participants may choose to have their accounts, including those initially invested in Common Stock of the Company, invested in any of the investment funds made available under the Plan or, subject to certain limitations, in Common Stock of the Company. All contributions under the Plan are made to a trust that holds all of the assets of the Plan.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Participants may receive distributions from their vested accounts under the Plan upon termination of service or death in the form of a lump-sum payment or in installments. Additionally, at age 59½, participants are able to take in-service withdrawals. Participants are allowed to withdraw amounts that they previously rolled into the Plan. Withdrawals are also allowed from selected accounts in the event of a defined financial hardship to the extent necessary to satisfy the financial need. To the extent an account is invested in Common Stock of the Company, a withdrawal or distribution can be in the form of Common Stock of the Company or cash.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Benefit payments and transfers of participants’ interests are made by Fidelity Investments (the "Trustee").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Administrative costs of the Plan are shared by the Company and plan participants, depending upon the type of administrative cost. Investment management fees are netted against investment income.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years ended December 31, 2016 and 2015, forfeited non-vested accounts totaled $106,987 and $141,960, respectively. These amounts are used to offset future company contributions.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Financial Statement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Statements of the Plan are prepared in accordance with United States generally accepted accounting principles ("U.S. GAAP") and are presented on the accrual basis of accounting.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Plan’s investments are in a Master Trust held by the Trustee. The Company maintains one Master Trust for two profit sharing and retirement plans that are sponsored by the Company. The two plans are the Plan and The Toro Company Profit Sharing Plan for Plymouth Union Employees. The purpose of the Master Trust is to pool investment transactions and achieve uniform rates of return on comparable funds under all plans. The Plan’s proportionate share of net investment income, or loss, from the Master Trust is based upon the percentage of the fair value of the Plan’s investment in the Master Trust’s net assets. The Plan’s percentage interest in the net assets of the Master Trust was approximately 99% as of December 31, 2016 and 2015.</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investment securities are stated at fair value; fair value is the price that would be received to sell an asset or paid to transfer a liability in an orderly transaction between market participants as of the measurement date. The fair value of equity securities is based on the last quoted bid price. Common collective trust funds have the characteristics of a structure similar to a mutual fund, therefore, as clarified by Accounting Standards Update (ASU) 2015-10, </w:t>
      </w:r>
      <w:r>
        <w:rPr>
          <w:rFonts w:ascii="Arial" w:cs="Arial" w:eastAsia="Arial" w:hAnsi="Arial"/>
          <w:sz w:val="18"/>
          <w:szCs w:val="18"/>
          <w:i w:val="1"/>
          <w:iCs w:val="1"/>
          <w:color w:val="auto"/>
        </w:rPr>
        <w:t>Technical Correction and Improvements</w:t>
      </w:r>
      <w:r>
        <w:rPr>
          <w:rFonts w:ascii="Arial" w:cs="Arial" w:eastAsia="Arial" w:hAnsi="Arial"/>
          <w:sz w:val="18"/>
          <w:szCs w:val="18"/>
          <w:color w:val="auto"/>
        </w:rPr>
        <w:t>, its value is considered readily determinable as each fund publishes a daily price at the end of each day. There are no</w:t>
      </w:r>
      <w:r>
        <w:rPr>
          <w:rFonts w:ascii="Arial" w:cs="Arial" w:eastAsia="Arial" w:hAnsi="Arial"/>
          <w:sz w:val="18"/>
          <w:szCs w:val="18"/>
          <w:i w:val="1"/>
          <w:iCs w:val="1"/>
          <w:color w:val="auto"/>
        </w:rPr>
        <w:t xml:space="preserve"> </w:t>
      </w:r>
      <w:r>
        <w:rPr>
          <w:rFonts w:ascii="Arial" w:cs="Arial" w:eastAsia="Arial" w:hAnsi="Arial"/>
          <w:sz w:val="18"/>
          <w:szCs w:val="18"/>
          <w:color w:val="auto"/>
        </w:rPr>
        <w:t>imposed redemption or liquidation restrictions on participants and the Plan has no further contractual obligations to further invest in the funds. An immaterial error correction was made to classify the fiscal 2015 common collective trust funds shown in the fair value hierarchy table included within Note 6 - Master Trust Fund from investments measured at net asset value to Level 2 investments. This correction was made as the investments meet the criteria for readily determinable fair value as clarified by ASU 2015-10, and conforms with the fiscal 2016 presentation of common collective trusts funds within the fair value hierarchy table.</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Purchases and sales of all securities are recorded on a trade-date basis. Interest is recorded on an accrual basis. Dividends are recorded on the ex-dividend date. Net appreciation, or depreciation, includes the Plan’s gains, or losses, respectively, on investments bought and sold as well as held during the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Financial Statements and any supplemental schedules in conformity with U.S. GAAP requires the Plan's management to make estimates and assumptions that affect the reported amounts of net assets available for benefits and disclosure of contingent assets and liabilities as of the date of the Financial Statements and the reported amounts of changes in net assets available for benefits during the reporting period.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has investments in a variety of investment funds within the Master Trust. Investments in general are exposed to various risks, such as interest rate, credit, and overall market volatility. Due to the level of risk associated with certain investments, it is reasonably possible that changes in the values of the investments will occur in the near term and that such changes could materially affect participants’ account balances and the amounts reported in the statements of net assets available for benefits.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assets held by the Master Trust include the Common Stock of the Company. At December 31, 2016 and 2015, approximately 41% and 37% of the investments of the Master Trust were invested in Common Stock of the Company, respectively. The underlying value of the Common Stock of the Company is entirely dependent upon the performance of the Company and the market’s evaluation of such performance and other factors.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Fully Benefit-Responsive Investment Contracts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Plan indirectly invests in guaranteed investment contracts and security-backed contracts through the Wells Fargo Stable Return Fund G. An investment contract is a contract issued by a financial institution to provide a stated return to the buyer of the contract for a specified period of time. A security-backed contract has similar characteristics as a traditional investment contract and comprises two parts: the first part is a fixed-income security or portfolio of fixed-income securities; the second part is a contract value guarantee ("wrapper") provided by a third party. Stable value collective trust funds, which include these investment contracts held by a defined contribution plan, are required to be reported at fair value. The yield earned by the Wells Fargo Stable Return Fund G at December 31, 2016 and 2015 was 1.93% and 1.83%,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Funding Policy, Contributions, and Plan Transfers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ESOP portion of the Plan, the Company, at its discretion, may choose to make an annual contribution to a qualified employee’s or participant’s account in the form of Common Stock of the Company. To the extent that a contribution is made for a plan year, it is contributed based on the participant’s eligible compensation for the plan year.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profit sharing portion of the Plan, the Company, at its discretion, may choose to make an annual contribution to a qualified employee’s or participant’s account in the form of cash. This contribution is allocated to a participant’s account based on a participant’s allocation of funds under the 401(k) feature. To the extent that a contribution is made for a plan year, it is contributed based on the participant’s eligible compensation for the plan year plus the participant’s eligible compensation above the Social Security taxable wage base.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Participants can also elect salary reduction elections under a 401(k) feature and rollover funds from other qualified plans. The Company may, at its discretion, make a matching contribution to employee contributions to the Plan.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Transfers to, or from, other funds represent participant elected rollovers to, or from, plans of other employers or other transfers to, or from, other plans.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Party-in-Interest Transactions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Trustee and the Company are parties-in-interest with respect to the Plan. The Plan’s investments are held by the Trustee, and some of the investment funds available to participants include mutual funds managed by the Trustee. Transactions between the Plan and the Trustee are exempt from being considered as “prohibited transactions” under the ERISA Section 408(b).</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2016 and 2015, the Plan held 7,449,399 and 8,772,736 shares, respectively, of Common Stock of the Company, with a cost basis of approximately $76.5 million and $80.8 million, respectively. During the years ended December 31, 2016 and 2015, the Plan recorded Common Stock dividend income of $4.1 million and $3.9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Plan Termination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The Company has voluntarily agreed to make contributions to the Plan. Although the Company has not expressed any intent to terminate the Plan, it may do so at any time. Each participant’s interest in the Plan is 100% vested at all times, except for the portion attributable to matching contributions, which is vested in the manner described within Note 1, </w:t>
      </w:r>
      <w:r>
        <w:rPr>
          <w:rFonts w:ascii="Arial" w:cs="Arial" w:eastAsia="Arial" w:hAnsi="Arial"/>
          <w:sz w:val="16"/>
          <w:szCs w:val="16"/>
          <w:i w:val="1"/>
          <w:iCs w:val="1"/>
          <w:color w:val="auto"/>
        </w:rPr>
        <w:t>Summary Description of Plan</w:t>
      </w:r>
      <w:r>
        <w:rPr>
          <w:rFonts w:ascii="Arial" w:cs="Arial" w:eastAsia="Arial" w:hAnsi="Arial"/>
          <w:sz w:val="16"/>
          <w:szCs w:val="16"/>
          <w:color w:val="auto"/>
        </w:rPr>
        <w:t>. Upon termination of the Plan, interests of active participants in the Plan fully vest.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Master Trust Fund</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trust agreement, the Trustee manages investment funds on behalf of the Plan. The Trustee has been granted discretionary authority concerning the purchases and sales of the investments of the investment funds, except to the extent the Trustee is subject to the discretion of participants, other fiduciaries, or the Company. In accordance with the trust agreement, the assets of the Plan are held together with assets of other plans sponsored by the Company in the Master Trust. Investment income related to the Master Trust is allocated to the individual plans based upon beginning of the month balances invested in the Plan. Transactions involving Common Stock qualify as party-in-interest transactions, which are exempt from the prohibited transaction rules under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Fair values of Master Trust investments at December 31, 2016 and 2015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7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281,018,256</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274,921,858</w:t>
            </w:r>
          </w:p>
        </w:tc>
      </w:tr>
      <w:tr>
        <w:trPr>
          <w:trHeight w:val="243"/>
        </w:trPr>
        <w:tc>
          <w:tcPr>
            <w:tcW w:w="7920" w:type="dxa"/>
            <w:vAlign w:val="bottom"/>
          </w:tcPr>
          <w:p>
            <w:pPr>
              <w:ind w:left="40"/>
              <w:spacing w:after="0"/>
              <w:rPr>
                <w:sz w:val="20"/>
                <w:szCs w:val="20"/>
                <w:color w:val="auto"/>
              </w:rPr>
            </w:pPr>
            <w:r>
              <w:rPr>
                <w:rFonts w:ascii="Arial" w:cs="Arial" w:eastAsia="Arial" w:hAnsi="Arial"/>
                <w:sz w:val="18"/>
                <w:szCs w:val="18"/>
                <w:color w:val="auto"/>
              </w:rPr>
              <w:t>Common collective trust funds</w:t>
            </w:r>
          </w:p>
        </w:tc>
        <w:tc>
          <w:tcPr>
            <w:tcW w:w="3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300,996,560</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262,001,860</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3,838,930</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3,955,951</w:t>
            </w:r>
          </w:p>
        </w:tc>
      </w:tr>
      <w:tr>
        <w:trPr>
          <w:trHeight w:val="243"/>
        </w:trPr>
        <w:tc>
          <w:tcPr>
            <w:tcW w:w="7920" w:type="dxa"/>
            <w:vAlign w:val="bottom"/>
          </w:tcPr>
          <w:p>
            <w:pPr>
              <w:ind w:left="40"/>
              <w:spacing w:after="0"/>
              <w:rPr>
                <w:sz w:val="20"/>
                <w:szCs w:val="20"/>
                <w:color w:val="auto"/>
              </w:rPr>
            </w:pPr>
            <w:r>
              <w:rPr>
                <w:rFonts w:ascii="Arial" w:cs="Arial" w:eastAsia="Arial" w:hAnsi="Arial"/>
                <w:sz w:val="18"/>
                <w:szCs w:val="18"/>
                <w:color w:val="auto"/>
              </w:rPr>
              <w:t>Self-directed brokerage</w:t>
            </w:r>
          </w:p>
        </w:tc>
        <w:tc>
          <w:tcPr>
            <w:tcW w:w="3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13,869,935</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13,814,321</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Toro Company Common Stock</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419,003,720</w:t>
            </w:r>
          </w:p>
        </w:tc>
        <w:tc>
          <w:tcPr>
            <w:tcW w:w="5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322,340,390</w:t>
            </w:r>
          </w:p>
        </w:tc>
      </w:tr>
      <w:tr>
        <w:trPr>
          <w:trHeight w:val="237"/>
        </w:trPr>
        <w:tc>
          <w:tcPr>
            <w:tcW w:w="79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Master Trust investments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1,018,727,401</w:t>
            </w:r>
          </w:p>
        </w:tc>
        <w:tc>
          <w:tcPr>
            <w:tcW w:w="5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877,034,380</w:t>
            </w:r>
          </w:p>
        </w:tc>
      </w:tr>
      <w:tr>
        <w:trPr>
          <w:trHeight w:val="67"/>
        </w:trPr>
        <w:tc>
          <w:tcPr>
            <w:tcW w:w="7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305"/>
        </w:trPr>
        <w:tc>
          <w:tcPr>
            <w:tcW w:w="79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r>
      <w:tr>
        <w:trPr>
          <w:trHeight w:val="237"/>
        </w:trPr>
        <w:tc>
          <w:tcPr>
            <w:tcW w:w="7920" w:type="dxa"/>
            <w:vAlign w:val="bottom"/>
          </w:tcPr>
          <w:p>
            <w:pPr>
              <w:ind w:left="40"/>
              <w:spacing w:after="0"/>
              <w:rPr>
                <w:sz w:val="20"/>
                <w:szCs w:val="20"/>
                <w:color w:val="auto"/>
              </w:rPr>
            </w:pPr>
            <w:r>
              <w:rPr>
                <w:rFonts w:ascii="Arial" w:cs="Arial" w:eastAsia="Arial" w:hAnsi="Arial"/>
                <w:sz w:val="18"/>
                <w:szCs w:val="18"/>
                <w:color w:val="auto"/>
              </w:rPr>
              <w:t>Plan interest in Master Trust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1,014,163,850</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873,090,947</w:t>
            </w:r>
          </w:p>
        </w:tc>
      </w:tr>
      <w:tr>
        <w:trPr>
          <w:trHeight w:val="27"/>
        </w:trPr>
        <w:tc>
          <w:tcPr>
            <w:tcW w:w="7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426"/>
        </w:trPr>
        <w:tc>
          <w:tcPr>
            <w:tcW w:w="7920" w:type="dxa"/>
            <w:vAlign w:val="bottom"/>
          </w:tcPr>
          <w:p>
            <w:pPr>
              <w:spacing w:after="0"/>
              <w:rPr>
                <w:sz w:val="20"/>
                <w:szCs w:val="20"/>
                <w:color w:val="auto"/>
              </w:rPr>
            </w:pPr>
            <w:r>
              <w:rPr>
                <w:rFonts w:ascii="Arial" w:cs="Arial" w:eastAsia="Arial" w:hAnsi="Arial"/>
                <w:sz w:val="18"/>
                <w:szCs w:val="18"/>
                <w:color w:val="auto"/>
                <w:w w:val="90"/>
              </w:rPr>
              <w:t>Net investment income for the Master Trust for the years ended December 31, 2016 and 2015 was as follows: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5"/>
        </w:trPr>
        <w:tc>
          <w:tcPr>
            <w:tcW w:w="79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r>
        <w:trPr>
          <w:trHeight w:val="237"/>
        </w:trPr>
        <w:tc>
          <w:tcPr>
            <w:tcW w:w="7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7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and unrealized appreciation/(depreciation) in fair value of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19,263,338</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(11,478,371)</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collective trust funds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15,165,285</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(545,909)</w:t>
            </w:r>
          </w:p>
        </w:tc>
      </w:tr>
      <w:tr>
        <w:trPr>
          <w:trHeight w:val="243"/>
        </w:trPr>
        <w:tc>
          <w:tcPr>
            <w:tcW w:w="792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137</w:t>
            </w:r>
          </w:p>
        </w:tc>
      </w:tr>
      <w:tr>
        <w:trPr>
          <w:trHeight w:val="27"/>
        </w:trPr>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Self-directed brokerage</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613,572</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20" w:type="dxa"/>
            <w:vAlign w:val="bottom"/>
          </w:tcPr>
          <w:p>
            <w:pPr>
              <w:ind w:left="40"/>
              <w:spacing w:after="0"/>
              <w:rPr>
                <w:sz w:val="20"/>
                <w:szCs w:val="20"/>
                <w:color w:val="auto"/>
              </w:rPr>
            </w:pPr>
            <w:r>
              <w:rPr>
                <w:rFonts w:ascii="Arial" w:cs="Arial" w:eastAsia="Arial" w:hAnsi="Arial"/>
                <w:sz w:val="18"/>
                <w:szCs w:val="18"/>
                <w:color w:val="auto"/>
              </w:rPr>
              <w:t>The Toro Company Common Stock</w:t>
            </w:r>
          </w:p>
        </w:tc>
        <w:tc>
          <w:tcPr>
            <w:tcW w:w="3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156,310,401</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43,822,076</w:t>
            </w:r>
          </w:p>
        </w:tc>
      </w:tr>
      <w:tr>
        <w:trPr>
          <w:trHeight w:val="27"/>
        </w:trPr>
        <w:tc>
          <w:tcPr>
            <w:tcW w:w="7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realized and unrealized appreciation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191,352,596</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31,797,933</w:t>
            </w:r>
          </w:p>
        </w:tc>
      </w:tr>
      <w:tr>
        <w:trPr>
          <w:trHeight w:val="243"/>
        </w:trPr>
        <w:tc>
          <w:tcPr>
            <w:tcW w:w="7920" w:type="dxa"/>
            <w:vAlign w:val="bottom"/>
          </w:tcPr>
          <w:p>
            <w:pPr>
              <w:ind w:left="40"/>
              <w:spacing w:after="0"/>
              <w:rPr>
                <w:sz w:val="20"/>
                <w:szCs w:val="20"/>
                <w:color w:val="auto"/>
              </w:rPr>
            </w:pPr>
            <w:r>
              <w:rPr>
                <w:rFonts w:ascii="Arial" w:cs="Arial" w:eastAsia="Arial" w:hAnsi="Arial"/>
                <w:sz w:val="18"/>
                <w:szCs w:val="18"/>
                <w:color w:val="auto"/>
              </w:rPr>
              <w:t>Dividends and interest</w:t>
            </w:r>
          </w:p>
        </w:tc>
        <w:tc>
          <w:tcPr>
            <w:tcW w:w="3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14,314,243</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17,147,887</w:t>
            </w:r>
          </w:p>
        </w:tc>
      </w:tr>
      <w:tr>
        <w:trPr>
          <w:trHeight w:val="27"/>
        </w:trPr>
        <w:tc>
          <w:tcPr>
            <w:tcW w:w="7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Master Trust net investment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205,666,839</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48,945,820</w:t>
            </w:r>
          </w:p>
        </w:tc>
      </w:tr>
      <w:tr>
        <w:trPr>
          <w:trHeight w:val="20"/>
        </w:trPr>
        <w:tc>
          <w:tcPr>
            <w:tcW w:w="7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Master Trust categorizes its assets and liabilities into one of three levels based on the assumptions and inputs used in valuing the asset or liability. Level 1 provides the most reliable measure of fair value, while Level 3 generally requires significant management judgment. The three levels are defined as follows: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left="660"/>
        <w:spacing w:after="0" w:line="347" w:lineRule="auto"/>
        <w:rPr>
          <w:sz w:val="20"/>
          <w:szCs w:val="20"/>
          <w:color w:val="auto"/>
        </w:rPr>
      </w:pPr>
      <w:r>
        <w:rPr>
          <w:rFonts w:ascii="Arial" w:cs="Arial" w:eastAsia="Arial" w:hAnsi="Arial"/>
          <w:sz w:val="16"/>
          <w:szCs w:val="16"/>
          <w:b w:val="1"/>
          <w:bCs w:val="1"/>
          <w:color w:val="auto"/>
        </w:rPr>
        <w:t xml:space="preserve">Level 2: </w:t>
      </w:r>
      <w:r>
        <w:rPr>
          <w:rFonts w:ascii="Arial" w:cs="Arial" w:eastAsia="Arial" w:hAnsi="Arial"/>
          <w:sz w:val="16"/>
          <w:szCs w:val="16"/>
          <w:color w:val="auto"/>
        </w:rPr>
        <w:t>Observable inputs other than Level 1 prices, such as quoted prices for similar assets or liabilities; quoted prices in markets that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active; or other inputs that are observable or can be corroborated by observable market data for substantially the full term of the assets or liabilities.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Level 3: </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Master Trust’s investments in mutual funds, money market funds, self-directed brokerage, including investments in small, mid and large cap equities, in the United States and internationally, as well as investments in Common Stock are classified as Level 1 assets in the fair value hierarchy. The Master Trust’s investments in common collective trust funds are considered to have readily determinable fair value as each fund publishes a daily price at the end of each day. While the underlying assets are actively traded on an exchange, the common collective trust funds are not and, therefore, are classified as Level 2 assets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Master Trust assets measured at fair value as of December 31, 2016 and 2015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1100" w:type="dxa"/>
            <w:vAlign w:val="bottom"/>
          </w:tcPr>
          <w:p>
            <w:pPr>
              <w:spacing w:after="0"/>
              <w:rPr>
                <w:sz w:val="20"/>
                <w:szCs w:val="20"/>
                <w:color w:val="auto"/>
              </w:rPr>
            </w:pPr>
          </w:p>
        </w:tc>
        <w:tc>
          <w:tcPr>
            <w:tcW w:w="146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 Value</w:t>
            </w:r>
          </w:p>
        </w:tc>
        <w:tc>
          <w:tcPr>
            <w:tcW w:w="44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Level 1</w:t>
            </w:r>
          </w:p>
        </w:tc>
        <w:tc>
          <w:tcPr>
            <w:tcW w:w="4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Level 2</w:t>
            </w:r>
          </w:p>
        </w:tc>
        <w:tc>
          <w:tcPr>
            <w:tcW w:w="440" w:type="dxa"/>
            <w:vAlign w:val="bottom"/>
          </w:tcPr>
          <w:p>
            <w:pPr>
              <w:spacing w:after="0"/>
              <w:rPr>
                <w:sz w:val="20"/>
                <w:szCs w:val="20"/>
                <w:color w:val="auto"/>
              </w:rPr>
            </w:pPr>
          </w:p>
        </w:tc>
        <w:tc>
          <w:tcPr>
            <w:tcW w:w="1360" w:type="dxa"/>
            <w:vAlign w:val="bottom"/>
          </w:tcPr>
          <w:p>
            <w:pPr>
              <w:ind w:left="240"/>
              <w:spacing w:after="0"/>
              <w:rPr>
                <w:sz w:val="20"/>
                <w:szCs w:val="20"/>
                <w:color w:val="auto"/>
              </w:rPr>
            </w:pPr>
            <w:r>
              <w:rPr>
                <w:rFonts w:ascii="Arial" w:cs="Arial" w:eastAsia="Arial" w:hAnsi="Arial"/>
                <w:sz w:val="18"/>
                <w:szCs w:val="18"/>
                <w:b w:val="1"/>
                <w:bCs w:val="1"/>
                <w:color w:val="auto"/>
              </w:rPr>
              <w:t>Level 3</w:t>
            </w:r>
          </w:p>
        </w:tc>
      </w:tr>
      <w:tr>
        <w:trPr>
          <w:trHeight w:val="27"/>
        </w:trPr>
        <w:tc>
          <w:tcPr>
            <w:tcW w:w="3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281,018,256</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281,018,256</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Common collective trust funds</w:t>
            </w:r>
          </w:p>
        </w:tc>
        <w:tc>
          <w:tcPr>
            <w:tcW w:w="11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300,996,560</w:t>
            </w: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300,996,560</w:t>
            </w:r>
          </w:p>
        </w:tc>
        <w:tc>
          <w:tcPr>
            <w:tcW w:w="44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3,838,930</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3,838,930</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Self-directed brokerage</w:t>
            </w:r>
          </w:p>
        </w:tc>
        <w:tc>
          <w:tcPr>
            <w:tcW w:w="11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13,869,935</w:t>
            </w: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13,869,935</w:t>
            </w:r>
          </w:p>
        </w:tc>
        <w:tc>
          <w:tcPr>
            <w:tcW w:w="4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Toro Company Common Stock</w:t>
            </w:r>
          </w:p>
        </w:tc>
        <w:tc>
          <w:tcPr>
            <w:tcW w:w="1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419,003,720</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419,003,720</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37"/>
        </w:trPr>
        <w:tc>
          <w:tcPr>
            <w:tcW w:w="34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Investments at fair value</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1,018,727,401</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717,730,841</w:t>
            </w:r>
          </w:p>
        </w:tc>
        <w:tc>
          <w:tcPr>
            <w:tcW w:w="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300,996,560</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16"/>
        </w:trPr>
        <w:tc>
          <w:tcPr>
            <w:tcW w:w="34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ind w:left="40"/>
              <w:spacing w:after="0"/>
              <w:rPr>
                <w:sz w:val="20"/>
                <w:szCs w:val="20"/>
                <w:color w:val="auto"/>
              </w:rPr>
            </w:pPr>
            <w:r>
              <w:rPr>
                <w:rFonts w:ascii="Arial" w:cs="Arial" w:eastAsia="Arial" w:hAnsi="Arial"/>
                <w:sz w:val="18"/>
                <w:szCs w:val="18"/>
                <w:b w:val="1"/>
                <w:bCs w:val="1"/>
                <w:color w:val="auto"/>
              </w:rPr>
              <w:t>2015</w:t>
            </w:r>
          </w:p>
        </w:tc>
        <w:tc>
          <w:tcPr>
            <w:tcW w:w="112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Fair Value</w:t>
            </w:r>
          </w:p>
        </w:tc>
        <w:tc>
          <w:tcPr>
            <w:tcW w:w="44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Level 1</w:t>
            </w:r>
          </w:p>
        </w:tc>
        <w:tc>
          <w:tcPr>
            <w:tcW w:w="4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Level 2</w:t>
            </w:r>
          </w:p>
        </w:tc>
        <w:tc>
          <w:tcPr>
            <w:tcW w:w="440" w:type="dxa"/>
            <w:vAlign w:val="bottom"/>
          </w:tcPr>
          <w:p>
            <w:pPr>
              <w:spacing w:after="0"/>
              <w:rPr>
                <w:sz w:val="20"/>
                <w:szCs w:val="20"/>
                <w:color w:val="auto"/>
              </w:rPr>
            </w:pPr>
          </w:p>
        </w:tc>
        <w:tc>
          <w:tcPr>
            <w:tcW w:w="1360" w:type="dxa"/>
            <w:vAlign w:val="bottom"/>
          </w:tcPr>
          <w:p>
            <w:pPr>
              <w:ind w:left="240"/>
              <w:spacing w:after="0"/>
              <w:rPr>
                <w:sz w:val="20"/>
                <w:szCs w:val="20"/>
                <w:color w:val="auto"/>
              </w:rPr>
            </w:pPr>
            <w:r>
              <w:rPr>
                <w:rFonts w:ascii="Arial" w:cs="Arial" w:eastAsia="Arial" w:hAnsi="Arial"/>
                <w:sz w:val="18"/>
                <w:szCs w:val="18"/>
                <w:b w:val="1"/>
                <w:bCs w:val="1"/>
                <w:color w:val="auto"/>
              </w:rPr>
              <w:t>Level 3</w:t>
            </w:r>
          </w:p>
        </w:tc>
      </w:tr>
      <w:tr>
        <w:trPr>
          <w:trHeight w:val="27"/>
        </w:trPr>
        <w:tc>
          <w:tcPr>
            <w:tcW w:w="3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274,921,858</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274,921,858</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Common collective trust funds</w:t>
            </w:r>
          </w:p>
        </w:tc>
        <w:tc>
          <w:tcPr>
            <w:tcW w:w="11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262,001,860</w:t>
            </w: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262,001,860</w:t>
            </w:r>
          </w:p>
        </w:tc>
        <w:tc>
          <w:tcPr>
            <w:tcW w:w="44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3,955,951</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3,955,951</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Self-directed brokerage</w:t>
            </w:r>
          </w:p>
        </w:tc>
        <w:tc>
          <w:tcPr>
            <w:tcW w:w="11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13,814,321</w:t>
            </w: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13,814,321</w:t>
            </w:r>
          </w:p>
        </w:tc>
        <w:tc>
          <w:tcPr>
            <w:tcW w:w="4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Toro Company Common Stock</w:t>
            </w:r>
          </w:p>
        </w:tc>
        <w:tc>
          <w:tcPr>
            <w:tcW w:w="1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322,340,390</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322,340,390</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37"/>
        </w:trPr>
        <w:tc>
          <w:tcPr>
            <w:tcW w:w="35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Investments at fair value</w:t>
            </w: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877,034,380</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615,032,520</w:t>
            </w:r>
          </w:p>
        </w:tc>
        <w:tc>
          <w:tcPr>
            <w:tcW w:w="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262,001,860</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and Level 2 during the years ended December 31, 2016 and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Federal 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Internal Revenue Service ("IRS") has determined and informed the Company by a letter dated October 17, 2013, that the Plan and related trust are designed in accordance with applicable sections of the Internal Revenue Code ("IRC"). Although the Plan has been amended since receiving the determination letter, the Company, as the administrator of the Plan, believes that the Plan is designed and is currently being operated in compliance with the applicable requirements of the IRC and, therefore, believes that the Plan is qualified and the related trust is tax-exempt. The Company has filed an application for a new determination letter with respect to the January 1, 2016 amended and restated Plan document, but has not received a final determination letter from the IRS as of June 29, 2017.</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GAAP requires the Plan’s management to evaluate tax positions taken by the Plan and recognize a tax liability, or asset, if the Plan has taken an uncertain position that more likely than not would not be sustained upon examination by the IRS. The Plan’s management has concluded that as of June 29, 2017, there are no uncertain tax positions taken or expected to be taken. The Plan is subject to routine audits by taxing jurisdictions; however, there are currently no audits for any tax periods in progress. The Plan's management believes that the Plan is no longer subject to income tax examinations for years prior to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evaluated all subsequent events through June 29, 2017 and concluded that no subsequent events have occurred that would require recognition in the Financial Statements or disclosure in the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the Year)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ind w:left="3440"/>
              <w:spacing w:after="0"/>
              <w:rPr>
                <w:sz w:val="20"/>
                <w:szCs w:val="20"/>
                <w:color w:val="auto"/>
              </w:rPr>
            </w:pPr>
            <w:r>
              <w:rPr>
                <w:rFonts w:ascii="Arial" w:cs="Arial" w:eastAsia="Arial" w:hAnsi="Arial"/>
                <w:sz w:val="18"/>
                <w:szCs w:val="18"/>
                <w:b w:val="1"/>
                <w:bCs w:val="1"/>
                <w:color w:val="auto"/>
              </w:rPr>
              <w:t>Description</w:t>
            </w:r>
          </w:p>
        </w:tc>
        <w:tc>
          <w:tcPr>
            <w:tcW w:w="2180" w:type="dxa"/>
            <w:vAlign w:val="bottom"/>
          </w:tcPr>
          <w:p>
            <w:pPr>
              <w:spacing w:after="0"/>
              <w:rPr>
                <w:sz w:val="20"/>
                <w:szCs w:val="20"/>
                <w:color w:val="auto"/>
              </w:rPr>
            </w:pPr>
          </w:p>
        </w:tc>
        <w:tc>
          <w:tcPr>
            <w:tcW w:w="1320" w:type="dxa"/>
            <w:vAlign w:val="bottom"/>
          </w:tcPr>
          <w:p>
            <w:pPr>
              <w:jc w:val="right"/>
              <w:ind w:right="610"/>
              <w:spacing w:after="0"/>
              <w:rPr>
                <w:sz w:val="20"/>
                <w:szCs w:val="20"/>
                <w:color w:val="auto"/>
              </w:rPr>
            </w:pPr>
            <w:r>
              <w:rPr>
                <w:rFonts w:ascii="Arial" w:cs="Arial" w:eastAsia="Arial" w:hAnsi="Arial"/>
                <w:sz w:val="18"/>
                <w:szCs w:val="18"/>
                <w:b w:val="1"/>
                <w:bCs w:val="1"/>
                <w:color w:val="auto"/>
              </w:rPr>
              <w:t>Cost</w:t>
            </w:r>
          </w:p>
        </w:tc>
        <w:tc>
          <w:tcPr>
            <w:tcW w:w="320" w:type="dxa"/>
            <w:vAlign w:val="bottom"/>
          </w:tcPr>
          <w:p>
            <w:pPr>
              <w:spacing w:after="0"/>
              <w:rPr>
                <w:sz w:val="20"/>
                <w:szCs w:val="20"/>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Current value</w:t>
            </w:r>
          </w:p>
        </w:tc>
      </w:tr>
      <w:tr>
        <w:trPr>
          <w:trHeight w:val="27"/>
        </w:trPr>
        <w:tc>
          <w:tcPr>
            <w:tcW w:w="6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Plan's interest in Master Trust</w:t>
            </w:r>
          </w:p>
        </w:tc>
        <w:tc>
          <w:tcPr>
            <w:tcW w:w="2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612,487,910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1,014,163,850</w:t>
            </w:r>
          </w:p>
        </w:tc>
      </w:tr>
      <w:tr>
        <w:trPr>
          <w:trHeight w:val="243"/>
        </w:trPr>
        <w:tc>
          <w:tcPr>
            <w:tcW w:w="6120" w:type="dxa"/>
            <w:vAlign w:val="bottom"/>
          </w:tcPr>
          <w:p>
            <w:pPr>
              <w:ind w:left="80"/>
              <w:spacing w:after="0"/>
              <w:rPr>
                <w:sz w:val="20"/>
                <w:szCs w:val="20"/>
                <w:color w:val="auto"/>
              </w:rPr>
            </w:pPr>
            <w:r>
              <w:rPr>
                <w:rFonts w:ascii="Arial" w:cs="Arial" w:eastAsia="Arial" w:hAnsi="Arial"/>
                <w:sz w:val="18"/>
                <w:szCs w:val="18"/>
                <w:color w:val="auto"/>
              </w:rPr>
              <w:t>Notes receivable from participants*</w:t>
            </w:r>
          </w:p>
        </w:tc>
        <w:tc>
          <w:tcPr>
            <w:tcW w:w="2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19,905</w:t>
            </w:r>
          </w:p>
        </w:tc>
      </w:tr>
      <w:tr>
        <w:trPr>
          <w:trHeight w:val="27"/>
        </w:trPr>
        <w:tc>
          <w:tcPr>
            <w:tcW w:w="6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612,487,910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1,014,183,755</w:t>
            </w:r>
          </w:p>
        </w:tc>
      </w:tr>
      <w:tr>
        <w:trPr>
          <w:trHeight w:val="20"/>
        </w:trPr>
        <w:tc>
          <w:tcPr>
            <w:tcW w:w="612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*Party-in-interest as defined by ERISA. 3 loans outstanding with 5 year terms and interest rates of 4.25%.</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 Toro Company Investment, Savings, and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Employee Stock Ownership Plan</w:t>
      </w: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June 29, 2017</w:t>
      </w:r>
      <w:r>
        <w:rPr>
          <w:sz w:val="20"/>
          <w:szCs w:val="20"/>
          <w:color w:val="auto"/>
        </w:rPr>
        <w:tab/>
      </w:r>
      <w:r>
        <w:rPr>
          <w:rFonts w:ascii="Arial" w:cs="Arial" w:eastAsia="Arial" w:hAnsi="Arial"/>
          <w:sz w:val="15"/>
          <w:szCs w:val="15"/>
          <w:color w:val="auto"/>
        </w:rPr>
        <w:t>By /s/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Vice President, Treasurer and Chief Financial Officer of The Toro Company</w:t>
      </w:r>
    </w:p>
    <w:p>
      <w:pPr>
        <w:spacing w:after="0" w:line="3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(duly authorized officer and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56"/>
        </w:trPr>
        <w:tc>
          <w:tcPr>
            <w:tcW w:w="2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80" w:type="dxa"/>
            <w:vAlign w:val="bottom"/>
            <w:gridSpan w:val="2"/>
          </w:tcPr>
          <w:p>
            <w:pPr>
              <w:jc w:val="center"/>
              <w:ind w:right="2460"/>
              <w:spacing w:after="0"/>
              <w:rPr>
                <w:sz w:val="20"/>
                <w:szCs w:val="20"/>
                <w:color w:val="auto"/>
              </w:rPr>
            </w:pPr>
            <w:r>
              <w:rPr>
                <w:rFonts w:ascii="Arial" w:cs="Arial" w:eastAsia="Arial" w:hAnsi="Arial"/>
                <w:sz w:val="20"/>
                <w:szCs w:val="20"/>
                <w:b w:val="1"/>
                <w:bCs w:val="1"/>
                <w:color w:val="auto"/>
                <w:w w:val="93"/>
              </w:rPr>
              <w:t>Exhibit Index</w:t>
            </w:r>
          </w:p>
        </w:tc>
      </w:tr>
      <w:tr>
        <w:trPr>
          <w:trHeight w:val="779"/>
        </w:trPr>
        <w:tc>
          <w:tcPr>
            <w:tcW w:w="2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254"/>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Exhibit Number</w:t>
            </w:r>
          </w:p>
        </w:tc>
        <w:tc>
          <w:tcPr>
            <w:tcW w:w="900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b w:val="1"/>
                <w:bCs w:val="1"/>
                <w:color w:val="auto"/>
              </w:rPr>
              <w:t>Description</w:t>
            </w:r>
          </w:p>
        </w:tc>
      </w:tr>
      <w:tr>
        <w:trPr>
          <w:trHeight w:val="2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3"/>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23.1</w:t>
            </w:r>
          </w:p>
        </w:tc>
        <w:tc>
          <w:tcPr>
            <w:tcW w:w="9000" w:type="dxa"/>
            <w:vAlign w:val="bottom"/>
            <w:tcBorders>
              <w:right w:val="single" w:sz="8" w:color="auto"/>
            </w:tcBorders>
            <w:gridSpan w:val="3"/>
          </w:tcPr>
          <w:p>
            <w:pPr>
              <w:ind w:left="20"/>
              <w:spacing w:after="0" w:line="223" w:lineRule="exact"/>
              <w:rPr>
                <w:sz w:val="20"/>
                <w:szCs w:val="20"/>
                <w:color w:val="auto"/>
              </w:rPr>
            </w:pPr>
            <w:r>
              <w:rPr>
                <w:rFonts w:ascii="Arial" w:cs="Arial" w:eastAsia="Arial" w:hAnsi="Arial"/>
                <w:sz w:val="22"/>
                <w:szCs w:val="22"/>
                <w:color w:val="0000EE"/>
              </w:rPr>
              <w:t>Consent of Independent Registered Public Accounting Firm.</w:t>
            </w:r>
          </w:p>
        </w:tc>
      </w:tr>
      <w:tr>
        <w:trPr>
          <w:trHeight w:val="48"/>
        </w:trPr>
        <w:tc>
          <w:tcPr>
            <w:tcW w:w="244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40" w:type="dxa"/>
            <w:vAlign w:val="bottom"/>
            <w:tcBorders>
              <w:top w:val="single" w:sz="8" w:color="0000EE"/>
              <w:bottom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r>
      <w:tr>
        <w:trPr>
          <w:trHeight w:val="885"/>
        </w:trPr>
        <w:tc>
          <w:tcPr>
            <w:tcW w:w="2440" w:type="dxa"/>
            <w:vAlign w:val="bottom"/>
          </w:tcPr>
          <w:p>
            <w:pPr>
              <w:spacing w:after="0"/>
              <w:rPr>
                <w:sz w:val="24"/>
                <w:szCs w:val="24"/>
                <w:color w:val="auto"/>
              </w:rPr>
            </w:pPr>
          </w:p>
        </w:tc>
        <w:tc>
          <w:tcPr>
            <w:tcW w:w="5260" w:type="dxa"/>
            <w:vAlign w:val="bottom"/>
            <w:gridSpan w:val="2"/>
          </w:tcPr>
          <w:p>
            <w:pPr>
              <w:jc w:val="right"/>
              <w:ind w:right="1801"/>
              <w:spacing w:after="0"/>
              <w:rPr>
                <w:sz w:val="20"/>
                <w:szCs w:val="20"/>
                <w:color w:val="auto"/>
              </w:rPr>
            </w:pPr>
            <w:r>
              <w:rPr>
                <w:rFonts w:ascii="Arial" w:cs="Arial" w:eastAsia="Arial" w:hAnsi="Arial"/>
                <w:sz w:val="18"/>
                <w:szCs w:val="18"/>
                <w:color w:val="auto"/>
              </w:rPr>
              <w:t>11</w:t>
            </w:r>
          </w:p>
        </w:tc>
        <w:tc>
          <w:tcPr>
            <w:tcW w:w="3740" w:type="dxa"/>
            <w:vAlign w:val="bottom"/>
          </w:tcPr>
          <w:p>
            <w:pPr>
              <w:spacing w:after="0"/>
              <w:rPr>
                <w:sz w:val="24"/>
                <w:szCs w:val="24"/>
                <w:color w:val="auto"/>
              </w:rPr>
            </w:pPr>
          </w:p>
        </w:tc>
      </w:tr>
    </w:tbl>
    <w:p>
      <w:pPr>
        <w:sectPr>
          <w:pgSz w:w="11900" w:h="16838" w:orient="portrait"/>
          <w:cols w:equalWidth="0" w:num="1">
            <w:col w:w="11440"/>
          </w:cols>
          <w:pgMar w:left="240" w:top="1224" w:right="21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consent to the incorporation by reference in the Registration Statements (Nos. 033-59563, 333-11860, 333-100004, 333-119504, and 333-215251) on Form S-8 of The Toro Company, of our report dated June 29, 2017, with respect to the statements of net assets available for benefits of The Toro Company Investment, Savings, and Employee Stock Ownership Plan as of December 31, 2016 and 2015, and the related statements of changes in net assets available for benefits for the years then ended, and the supplemental Schedule H, line 4i - Schedule of Assets (Held at End of Year) as of December 31, 2016, which report appears in the December 31, 2016 annual report on Form 11-K of The Toro Company Investment, Savings, and Employee Stock Ownership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159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Minneapolis, Minnesota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29,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2019-12-05T11:21:33Z</dcterms:created>
  <dcterms:modified xsi:type="dcterms:W3CDTF">2019-12-05T11:21:33Z</dcterms:modified>
</cp:coreProperties>
</file>